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307D" w14:textId="77777777" w:rsidR="00145F27" w:rsidRDefault="00145F27" w:rsidP="004A61B6">
      <w:pPr>
        <w:pStyle w:val="Title"/>
        <w:spacing w:after="0"/>
        <w:rPr>
          <w:rFonts w:cs="Arial"/>
        </w:rPr>
      </w:pPr>
    </w:p>
    <w:p w14:paraId="7A96C6C9" w14:textId="77777777" w:rsidR="004A61B6" w:rsidRPr="004A61B6" w:rsidRDefault="004A61B6" w:rsidP="004A61B6">
      <w:pPr>
        <w:spacing w:after="0"/>
        <w:jc w:val="center"/>
      </w:pPr>
    </w:p>
    <w:p w14:paraId="0174C988" w14:textId="2BF2DAA1" w:rsidR="00937888" w:rsidRPr="00937888" w:rsidRDefault="00937888" w:rsidP="004A61B6">
      <w:pPr>
        <w:pStyle w:val="Title"/>
        <w:spacing w:after="0"/>
        <w:rPr>
          <w:rFonts w:cs="Arial"/>
          <w:b w:val="0"/>
        </w:rPr>
      </w:pPr>
      <w:r w:rsidRPr="005B586E">
        <w:rPr>
          <w:rFonts w:cs="Arial"/>
        </w:rPr>
        <w:t>S</w:t>
      </w:r>
      <w:r w:rsidRPr="00937888">
        <w:rPr>
          <w:rFonts w:cs="Arial"/>
        </w:rPr>
        <w:t xml:space="preserve">tudy of </w:t>
      </w:r>
      <w:r w:rsidRPr="005B586E">
        <w:rPr>
          <w:rFonts w:cs="Arial"/>
        </w:rPr>
        <w:t>T</w:t>
      </w:r>
      <w:r w:rsidRPr="00937888">
        <w:rPr>
          <w:rFonts w:cs="Arial"/>
        </w:rPr>
        <w:t xml:space="preserve">rends and </w:t>
      </w:r>
      <w:r w:rsidRPr="005B586E">
        <w:rPr>
          <w:rFonts w:cs="Arial"/>
        </w:rPr>
        <w:t>O</w:t>
      </w:r>
      <w:r w:rsidRPr="00937888">
        <w:rPr>
          <w:rFonts w:cs="Arial"/>
        </w:rPr>
        <w:t xml:space="preserve">utcomes of </w:t>
      </w:r>
      <w:r w:rsidRPr="005B586E">
        <w:rPr>
          <w:rFonts w:cs="Arial"/>
        </w:rPr>
        <w:t>P</w:t>
      </w:r>
      <w:r w:rsidRPr="00937888">
        <w:rPr>
          <w:rFonts w:cs="Arial"/>
        </w:rPr>
        <w:t xml:space="preserve">rescription </w:t>
      </w:r>
      <w:r w:rsidRPr="005B586E">
        <w:rPr>
          <w:rFonts w:cs="Arial"/>
        </w:rPr>
        <w:t>Med</w:t>
      </w:r>
      <w:r w:rsidRPr="00937888">
        <w:rPr>
          <w:rFonts w:cs="Arial"/>
        </w:rPr>
        <w:t xml:space="preserve">ications </w:t>
      </w:r>
      <w:r w:rsidR="00402C46">
        <w:rPr>
          <w:rFonts w:cs="Arial"/>
        </w:rPr>
        <w:t>Continued</w:t>
      </w:r>
      <w:r w:rsidRPr="00937888">
        <w:rPr>
          <w:rFonts w:cs="Arial"/>
        </w:rPr>
        <w:t xml:space="preserve"> During Hospice Care (STOP M</w:t>
      </w:r>
      <w:r w:rsidR="005B586E">
        <w:rPr>
          <w:rFonts w:cs="Arial"/>
        </w:rPr>
        <w:t>ed</w:t>
      </w:r>
      <w:r w:rsidRPr="00937888">
        <w:rPr>
          <w:rFonts w:cs="Arial"/>
        </w:rPr>
        <w:t>)</w:t>
      </w:r>
    </w:p>
    <w:p w14:paraId="63F0BB99" w14:textId="77777777" w:rsidR="0041297F" w:rsidRPr="00937888" w:rsidRDefault="0041297F" w:rsidP="004A61B6">
      <w:pPr>
        <w:spacing w:after="0"/>
        <w:jc w:val="center"/>
        <w:rPr>
          <w:rFonts w:cs="Arial"/>
          <w:szCs w:val="22"/>
        </w:rPr>
      </w:pPr>
    </w:p>
    <w:p w14:paraId="2559CEED" w14:textId="77777777" w:rsidR="00937888" w:rsidRPr="00937888" w:rsidRDefault="00937888" w:rsidP="004A61B6">
      <w:pPr>
        <w:spacing w:after="0"/>
        <w:jc w:val="center"/>
        <w:rPr>
          <w:rFonts w:cs="Arial"/>
          <w:szCs w:val="22"/>
        </w:rPr>
      </w:pPr>
    </w:p>
    <w:p w14:paraId="0164149F" w14:textId="77777777" w:rsidR="00937888" w:rsidRDefault="00937888" w:rsidP="004A61B6">
      <w:pPr>
        <w:spacing w:after="0" w:line="240" w:lineRule="auto"/>
        <w:jc w:val="center"/>
      </w:pPr>
    </w:p>
    <w:p w14:paraId="34408AC9" w14:textId="77777777" w:rsidR="004A61B6" w:rsidRPr="00546FB2" w:rsidRDefault="004A61B6" w:rsidP="004A61B6">
      <w:pPr>
        <w:spacing w:after="0" w:line="240" w:lineRule="auto"/>
        <w:jc w:val="center"/>
      </w:pPr>
    </w:p>
    <w:p w14:paraId="7777C5EA" w14:textId="77777777" w:rsidR="00937888" w:rsidRDefault="00937888" w:rsidP="004A61B6">
      <w:pPr>
        <w:spacing w:after="0" w:line="240" w:lineRule="auto"/>
        <w:jc w:val="center"/>
      </w:pPr>
      <w:bookmarkStart w:id="0" w:name="_Toc495996877"/>
      <w:bookmarkStart w:id="1" w:name="_Toc506034983"/>
      <w:r w:rsidRPr="00546FB2">
        <w:t>BY</w:t>
      </w:r>
      <w:bookmarkEnd w:id="0"/>
      <w:bookmarkEnd w:id="1"/>
    </w:p>
    <w:p w14:paraId="48F09E04" w14:textId="77777777" w:rsidR="0041297F" w:rsidRPr="00546FB2" w:rsidRDefault="0041297F" w:rsidP="0041297F">
      <w:pPr>
        <w:spacing w:after="0" w:line="240" w:lineRule="auto"/>
        <w:jc w:val="center"/>
      </w:pPr>
    </w:p>
    <w:p w14:paraId="51EAD625" w14:textId="77777777" w:rsidR="00937888" w:rsidRPr="00546FB2" w:rsidRDefault="00937888" w:rsidP="0041297F">
      <w:pPr>
        <w:spacing w:after="0" w:line="240" w:lineRule="auto"/>
        <w:jc w:val="center"/>
      </w:pPr>
      <w:bookmarkStart w:id="2" w:name="_Toc506034984"/>
      <w:r w:rsidRPr="00546FB2">
        <w:t>PATRICK ZUEGER</w:t>
      </w:r>
      <w:bookmarkEnd w:id="2"/>
    </w:p>
    <w:p w14:paraId="3926295A" w14:textId="77777777" w:rsidR="00937888" w:rsidRPr="00546FB2" w:rsidRDefault="00937888" w:rsidP="0041297F">
      <w:pPr>
        <w:spacing w:after="0" w:line="240" w:lineRule="auto"/>
        <w:jc w:val="center"/>
      </w:pPr>
      <w:bookmarkStart w:id="3" w:name="_Toc506034985"/>
      <w:bookmarkStart w:id="4" w:name="_Toc449952080"/>
      <w:bookmarkStart w:id="5" w:name="_Toc449952019"/>
      <w:r w:rsidRPr="00546FB2">
        <w:t>B.S., University of Illinois at Urbana-Champaign, 2009</w:t>
      </w:r>
      <w:bookmarkEnd w:id="3"/>
    </w:p>
    <w:p w14:paraId="080D285B" w14:textId="77777777" w:rsidR="00937888" w:rsidRPr="00546FB2" w:rsidRDefault="00937888" w:rsidP="0041297F">
      <w:pPr>
        <w:spacing w:after="0" w:line="240" w:lineRule="auto"/>
        <w:jc w:val="center"/>
      </w:pPr>
      <w:bookmarkStart w:id="6" w:name="_Toc506034986"/>
      <w:r w:rsidRPr="00546FB2">
        <w:t>Pharm.D., University of Illinois at Chicago, 2013</w:t>
      </w:r>
      <w:bookmarkEnd w:id="6"/>
    </w:p>
    <w:p w14:paraId="7BD1E98C" w14:textId="77777777" w:rsidR="00937888" w:rsidRPr="00546FB2" w:rsidRDefault="00937888" w:rsidP="0041297F">
      <w:pPr>
        <w:spacing w:after="0" w:line="240" w:lineRule="auto"/>
        <w:jc w:val="center"/>
      </w:pPr>
    </w:p>
    <w:p w14:paraId="3EF98C6E" w14:textId="77777777" w:rsidR="00937888" w:rsidRDefault="00937888" w:rsidP="0041297F">
      <w:pPr>
        <w:spacing w:after="0" w:line="240" w:lineRule="auto"/>
        <w:jc w:val="center"/>
      </w:pPr>
    </w:p>
    <w:p w14:paraId="068D3972" w14:textId="77777777" w:rsidR="0041297F" w:rsidRDefault="0041297F" w:rsidP="0041297F">
      <w:pPr>
        <w:spacing w:after="0" w:line="240" w:lineRule="auto"/>
        <w:jc w:val="center"/>
      </w:pPr>
    </w:p>
    <w:p w14:paraId="72E189F3" w14:textId="77777777" w:rsidR="0041297F" w:rsidRDefault="0041297F" w:rsidP="0041297F">
      <w:pPr>
        <w:spacing w:after="0" w:line="240" w:lineRule="auto"/>
        <w:jc w:val="center"/>
      </w:pPr>
    </w:p>
    <w:p w14:paraId="4C00AE23" w14:textId="77777777" w:rsidR="00937888" w:rsidRPr="00546FB2" w:rsidRDefault="00937888" w:rsidP="0041297F">
      <w:pPr>
        <w:spacing w:after="0" w:line="240" w:lineRule="auto"/>
        <w:jc w:val="center"/>
      </w:pPr>
    </w:p>
    <w:p w14:paraId="51255539" w14:textId="77777777" w:rsidR="00937888" w:rsidRPr="00546FB2" w:rsidRDefault="00937888" w:rsidP="0041297F">
      <w:pPr>
        <w:spacing w:after="0" w:line="240" w:lineRule="auto"/>
        <w:jc w:val="center"/>
      </w:pPr>
      <w:bookmarkStart w:id="7" w:name="_Toc495996880"/>
      <w:bookmarkStart w:id="8" w:name="_Toc506034987"/>
      <w:r w:rsidRPr="00546FB2">
        <w:t>THESIS</w:t>
      </w:r>
      <w:bookmarkEnd w:id="4"/>
      <w:bookmarkEnd w:id="5"/>
      <w:bookmarkEnd w:id="7"/>
      <w:bookmarkEnd w:id="8"/>
    </w:p>
    <w:p w14:paraId="204343C0" w14:textId="77777777" w:rsidR="00937888" w:rsidRPr="00546FB2" w:rsidRDefault="00937888" w:rsidP="0041297F">
      <w:pPr>
        <w:spacing w:after="0" w:line="240" w:lineRule="auto"/>
        <w:jc w:val="center"/>
      </w:pPr>
    </w:p>
    <w:p w14:paraId="4F8AE0A2" w14:textId="77777777" w:rsidR="00937888" w:rsidRPr="00546FB2" w:rsidRDefault="00937888" w:rsidP="0041297F">
      <w:pPr>
        <w:spacing w:after="0" w:line="240" w:lineRule="auto"/>
        <w:jc w:val="center"/>
      </w:pPr>
      <w:bookmarkStart w:id="9" w:name="_Toc449952081"/>
      <w:bookmarkStart w:id="10" w:name="_Toc449952020"/>
      <w:bookmarkStart w:id="11" w:name="_Toc495996881"/>
      <w:bookmarkStart w:id="12" w:name="_Toc506034988"/>
      <w:r w:rsidRPr="00546FB2">
        <w:t>Submitted as partial fulfillment of the requirements</w:t>
      </w:r>
      <w:bookmarkEnd w:id="9"/>
      <w:bookmarkEnd w:id="10"/>
      <w:bookmarkEnd w:id="11"/>
      <w:bookmarkEnd w:id="12"/>
    </w:p>
    <w:p w14:paraId="1DD8966C" w14:textId="77777777" w:rsidR="00937888" w:rsidRPr="00546FB2" w:rsidRDefault="00937888" w:rsidP="0041297F">
      <w:pPr>
        <w:spacing w:after="0" w:line="240" w:lineRule="auto"/>
        <w:jc w:val="center"/>
      </w:pPr>
      <w:bookmarkStart w:id="13" w:name="_Toc495996882"/>
      <w:bookmarkStart w:id="14" w:name="_Toc506034989"/>
      <w:r w:rsidRPr="00546FB2">
        <w:t>for the degree of Doctor of Philosophy in Pharmacy</w:t>
      </w:r>
      <w:bookmarkEnd w:id="13"/>
      <w:bookmarkEnd w:id="14"/>
    </w:p>
    <w:p w14:paraId="190F7279" w14:textId="77777777" w:rsidR="00937888" w:rsidRPr="00546FB2" w:rsidRDefault="00937888" w:rsidP="0041297F">
      <w:pPr>
        <w:spacing w:after="0" w:line="240" w:lineRule="auto"/>
        <w:jc w:val="center"/>
      </w:pPr>
      <w:bookmarkStart w:id="15" w:name="_Toc495996883"/>
      <w:bookmarkStart w:id="16" w:name="_Toc506034990"/>
      <w:r w:rsidRPr="00546FB2">
        <w:t>in the Graduate College of the</w:t>
      </w:r>
      <w:bookmarkEnd w:id="15"/>
      <w:bookmarkEnd w:id="16"/>
    </w:p>
    <w:p w14:paraId="00A73925" w14:textId="77777777" w:rsidR="00937888" w:rsidRPr="00546FB2" w:rsidRDefault="00937888" w:rsidP="0041297F">
      <w:pPr>
        <w:spacing w:after="0" w:line="240" w:lineRule="auto"/>
        <w:jc w:val="center"/>
      </w:pPr>
      <w:bookmarkStart w:id="17" w:name="_Toc495996884"/>
      <w:bookmarkStart w:id="18" w:name="_Toc506034991"/>
      <w:r w:rsidRPr="00546FB2">
        <w:t xml:space="preserve">University of Illinois at Chicago, </w:t>
      </w:r>
      <w:r w:rsidRPr="00546FB2">
        <w:fldChar w:fldCharType="begin"/>
      </w:r>
      <w:r w:rsidRPr="00546FB2">
        <w:instrText xml:space="preserve"> DATE  \@ "yyyy"  \* MERGEFORMAT </w:instrText>
      </w:r>
      <w:r w:rsidRPr="00546FB2">
        <w:fldChar w:fldCharType="separate"/>
      </w:r>
      <w:r w:rsidR="00B55AC2">
        <w:rPr>
          <w:noProof/>
        </w:rPr>
        <w:t>2018</w:t>
      </w:r>
      <w:bookmarkEnd w:id="17"/>
      <w:bookmarkEnd w:id="18"/>
      <w:r w:rsidRPr="00546FB2">
        <w:fldChar w:fldCharType="end"/>
      </w:r>
    </w:p>
    <w:p w14:paraId="2A47E1DC" w14:textId="77777777" w:rsidR="00937888" w:rsidRPr="00546FB2" w:rsidRDefault="00937888" w:rsidP="0041297F">
      <w:pPr>
        <w:spacing w:after="0" w:line="240" w:lineRule="auto"/>
        <w:jc w:val="center"/>
      </w:pPr>
    </w:p>
    <w:p w14:paraId="22B08F37" w14:textId="77777777" w:rsidR="00937888" w:rsidRDefault="00937888" w:rsidP="0041297F">
      <w:pPr>
        <w:spacing w:after="0" w:line="240" w:lineRule="auto"/>
        <w:jc w:val="center"/>
      </w:pPr>
      <w:bookmarkStart w:id="19" w:name="_Toc449952082"/>
      <w:bookmarkStart w:id="20" w:name="_Toc449952021"/>
      <w:bookmarkStart w:id="21" w:name="_Toc495996885"/>
      <w:bookmarkStart w:id="22" w:name="_Toc506034992"/>
      <w:r w:rsidRPr="00546FB2">
        <w:t>Chicago, Illinoi</w:t>
      </w:r>
      <w:bookmarkEnd w:id="19"/>
      <w:bookmarkEnd w:id="20"/>
      <w:bookmarkEnd w:id="21"/>
      <w:bookmarkEnd w:id="22"/>
      <w:r w:rsidR="0041297F">
        <w:t>s</w:t>
      </w:r>
    </w:p>
    <w:p w14:paraId="2998F351" w14:textId="77777777" w:rsidR="00145F27" w:rsidRDefault="00145F27" w:rsidP="0041297F">
      <w:pPr>
        <w:spacing w:after="0" w:line="240" w:lineRule="auto"/>
        <w:jc w:val="center"/>
      </w:pPr>
    </w:p>
    <w:p w14:paraId="6BBB4430" w14:textId="77777777" w:rsidR="00145F27" w:rsidRPr="00546FB2" w:rsidRDefault="00145F27" w:rsidP="0041297F">
      <w:pPr>
        <w:spacing w:after="0" w:line="240" w:lineRule="auto"/>
        <w:jc w:val="center"/>
      </w:pPr>
    </w:p>
    <w:p w14:paraId="6A72EB3C" w14:textId="77777777" w:rsidR="00937888" w:rsidRPr="00546FB2" w:rsidRDefault="00937888" w:rsidP="004A61B6">
      <w:pPr>
        <w:spacing w:after="0" w:line="240" w:lineRule="auto"/>
        <w:jc w:val="center"/>
      </w:pPr>
    </w:p>
    <w:p w14:paraId="55B75279" w14:textId="77777777" w:rsidR="00937888" w:rsidRDefault="00937888" w:rsidP="004A61B6">
      <w:pPr>
        <w:spacing w:after="0" w:line="240" w:lineRule="auto"/>
        <w:jc w:val="center"/>
      </w:pPr>
    </w:p>
    <w:p w14:paraId="74E3BCE0" w14:textId="77777777" w:rsidR="0041297F" w:rsidRDefault="0041297F" w:rsidP="004A61B6">
      <w:pPr>
        <w:spacing w:after="0" w:line="240" w:lineRule="auto"/>
        <w:jc w:val="center"/>
      </w:pPr>
    </w:p>
    <w:p w14:paraId="5FD1E42B" w14:textId="77777777" w:rsidR="0041297F" w:rsidRDefault="0041297F" w:rsidP="004A61B6">
      <w:pPr>
        <w:spacing w:after="0" w:line="240" w:lineRule="auto"/>
        <w:jc w:val="center"/>
      </w:pPr>
    </w:p>
    <w:p w14:paraId="122B3D23" w14:textId="77777777" w:rsidR="0041297F" w:rsidRDefault="0041297F" w:rsidP="004A61B6">
      <w:pPr>
        <w:spacing w:after="0" w:line="240" w:lineRule="auto"/>
        <w:jc w:val="center"/>
      </w:pPr>
    </w:p>
    <w:p w14:paraId="2B191A1C" w14:textId="77777777" w:rsidR="004A61B6" w:rsidRDefault="004A61B6" w:rsidP="004A61B6">
      <w:pPr>
        <w:spacing w:after="0" w:line="240" w:lineRule="auto"/>
        <w:jc w:val="center"/>
      </w:pPr>
    </w:p>
    <w:p w14:paraId="1FD51054" w14:textId="77777777" w:rsidR="0041297F" w:rsidRPr="00546FB2" w:rsidRDefault="0041297F" w:rsidP="004A61B6">
      <w:pPr>
        <w:spacing w:after="0" w:line="240" w:lineRule="auto"/>
        <w:jc w:val="center"/>
      </w:pPr>
    </w:p>
    <w:p w14:paraId="4BE02B39" w14:textId="77777777" w:rsidR="00937888" w:rsidRPr="00546FB2" w:rsidRDefault="00937888" w:rsidP="0041297F">
      <w:pPr>
        <w:spacing w:after="0" w:line="240" w:lineRule="auto"/>
      </w:pPr>
      <w:bookmarkStart w:id="23" w:name="_Toc495996886"/>
      <w:bookmarkStart w:id="24" w:name="_Toc506034993"/>
      <w:r w:rsidRPr="00546FB2">
        <w:t>Defense Committee:</w:t>
      </w:r>
      <w:bookmarkEnd w:id="23"/>
      <w:bookmarkEnd w:id="24"/>
    </w:p>
    <w:p w14:paraId="71E71933" w14:textId="77777777" w:rsidR="00937888" w:rsidRPr="00546FB2" w:rsidRDefault="00937888" w:rsidP="0041297F">
      <w:pPr>
        <w:spacing w:after="0" w:line="240" w:lineRule="auto"/>
      </w:pPr>
    </w:p>
    <w:p w14:paraId="49BE9E28" w14:textId="77777777" w:rsidR="00937888" w:rsidRPr="00546FB2" w:rsidRDefault="00937888" w:rsidP="00947D52">
      <w:pPr>
        <w:spacing w:after="0" w:line="240" w:lineRule="auto"/>
        <w:ind w:left="1440"/>
      </w:pPr>
      <w:bookmarkStart w:id="25" w:name="_Toc495996887"/>
      <w:bookmarkStart w:id="26" w:name="_Toc506034994"/>
      <w:r w:rsidRPr="00546FB2">
        <w:t>Todd A. Lee, Chair and Advisor</w:t>
      </w:r>
      <w:bookmarkEnd w:id="25"/>
      <w:bookmarkEnd w:id="26"/>
    </w:p>
    <w:p w14:paraId="30C63C46" w14:textId="77777777" w:rsidR="00937888" w:rsidRPr="00546FB2" w:rsidRDefault="00937888" w:rsidP="00947D52">
      <w:pPr>
        <w:spacing w:after="0" w:line="240" w:lineRule="auto"/>
        <w:ind w:left="1440"/>
      </w:pPr>
      <w:bookmarkStart w:id="27" w:name="_Toc506034995"/>
      <w:r w:rsidRPr="00546FB2">
        <w:t>Gregory S. Calip</w:t>
      </w:r>
      <w:bookmarkEnd w:id="27"/>
    </w:p>
    <w:p w14:paraId="400317CE" w14:textId="77777777" w:rsidR="00937888" w:rsidRPr="00546FB2" w:rsidRDefault="00937888" w:rsidP="00947D52">
      <w:pPr>
        <w:spacing w:after="0" w:line="240" w:lineRule="auto"/>
        <w:ind w:left="1440"/>
      </w:pPr>
      <w:bookmarkStart w:id="28" w:name="_Toc506034996"/>
      <w:r w:rsidRPr="00546FB2">
        <w:t>A. Simon Pickard</w:t>
      </w:r>
      <w:bookmarkEnd w:id="28"/>
    </w:p>
    <w:p w14:paraId="51B51386" w14:textId="77777777" w:rsidR="00937888" w:rsidRPr="00546FB2" w:rsidRDefault="00937888" w:rsidP="00947D52">
      <w:pPr>
        <w:spacing w:after="0" w:line="240" w:lineRule="auto"/>
        <w:ind w:left="1440"/>
      </w:pPr>
      <w:bookmarkStart w:id="29" w:name="_Toc506034997"/>
      <w:r w:rsidRPr="00546FB2">
        <w:t>Dima M. Qato</w:t>
      </w:r>
      <w:bookmarkEnd w:id="29"/>
    </w:p>
    <w:p w14:paraId="7AB048A0" w14:textId="77777777" w:rsidR="00273AB5" w:rsidRDefault="00937888" w:rsidP="00947D52">
      <w:pPr>
        <w:spacing w:line="240" w:lineRule="auto"/>
        <w:ind w:left="1440"/>
      </w:pPr>
      <w:bookmarkStart w:id="30" w:name="_Toc495996891"/>
      <w:bookmarkStart w:id="31" w:name="_Toc506034998"/>
      <w:r w:rsidRPr="00546FB2">
        <w:t xml:space="preserve">Holly M. Holmes, </w:t>
      </w:r>
      <w:bookmarkEnd w:id="30"/>
      <w:r w:rsidRPr="00546FB2">
        <w:t>UTHealth McGovern Medical Schoo</w:t>
      </w:r>
      <w:r w:rsidR="00C46250" w:rsidRPr="00546FB2">
        <w:t>l</w:t>
      </w:r>
      <w:bookmarkEnd w:id="31"/>
    </w:p>
    <w:p w14:paraId="0A33D682" w14:textId="77777777" w:rsidR="00145F27" w:rsidRDefault="00145F27" w:rsidP="000D1458">
      <w:pPr>
        <w:jc w:val="center"/>
        <w:rPr>
          <w:b/>
        </w:rPr>
      </w:pPr>
    </w:p>
    <w:p w14:paraId="653603D4" w14:textId="57DF1C55" w:rsidR="009B38FE" w:rsidRPr="00273AB5" w:rsidRDefault="009B38FE" w:rsidP="000D1458">
      <w:pPr>
        <w:jc w:val="center"/>
      </w:pPr>
      <w:r>
        <w:rPr>
          <w:b/>
        </w:rPr>
        <w:lastRenderedPageBreak/>
        <w:t>ACKNOWLEDGMENTS</w:t>
      </w:r>
    </w:p>
    <w:p w14:paraId="643DD3C0" w14:textId="2EF16F77" w:rsidR="009B38FE" w:rsidRDefault="000D1458" w:rsidP="000D1458">
      <w:r>
        <w:tab/>
        <w:t xml:space="preserve">As with </w:t>
      </w:r>
      <w:r w:rsidR="00A45E97">
        <w:t>nearly all</w:t>
      </w:r>
      <w:r>
        <w:t xml:space="preserve"> </w:t>
      </w:r>
      <w:r w:rsidR="00A97705">
        <w:t xml:space="preserve">major </w:t>
      </w:r>
      <w:r>
        <w:t xml:space="preserve">scientific endeavors, this </w:t>
      </w:r>
      <w:r w:rsidR="006034E2">
        <w:t xml:space="preserve">work </w:t>
      </w:r>
      <w:r>
        <w:t>would not have been possible without the support from a number of colleagues, friends, and family. I would</w:t>
      </w:r>
      <w:r w:rsidR="007C1757">
        <w:t xml:space="preserve"> first like to </w:t>
      </w:r>
      <w:r>
        <w:t>thank my dissertation committee members, Dr. Holly Holmes, Dr. Greg Calip, Dr. Dima Qato, and Dr. A. S</w:t>
      </w:r>
      <w:r w:rsidR="006034E2">
        <w:t xml:space="preserve">imon Pickard, for providing </w:t>
      </w:r>
      <w:r w:rsidR="007C1757">
        <w:t>their guidance</w:t>
      </w:r>
      <w:r w:rsidR="006034E2">
        <w:t xml:space="preserve"> and encouragement </w:t>
      </w:r>
      <w:r w:rsidR="001613D2">
        <w:t>throughout the dissertation process</w:t>
      </w:r>
      <w:r w:rsidR="006034E2">
        <w:t>.</w:t>
      </w:r>
      <w:r w:rsidR="00A45E97">
        <w:t xml:space="preserve"> In particular, Dr. Holmes’ exp</w:t>
      </w:r>
      <w:r w:rsidR="007C1757">
        <w:t>ertise</w:t>
      </w:r>
      <w:r w:rsidR="00A45E97">
        <w:t xml:space="preserve"> in the area of medication use at the end of life w</w:t>
      </w:r>
      <w:r w:rsidR="00D62609">
        <w:t>as critical in developing this project and</w:t>
      </w:r>
      <w:r w:rsidR="00511551">
        <w:t xml:space="preserve"> providing meaning to</w:t>
      </w:r>
      <w:r w:rsidR="00D62609">
        <w:t xml:space="preserve"> the results. </w:t>
      </w:r>
      <w:r w:rsidR="00947D52">
        <w:t xml:space="preserve">Dr. Pickard </w:t>
      </w:r>
      <w:r w:rsidR="00521DBE">
        <w:t>played a key role</w:t>
      </w:r>
      <w:r w:rsidR="00947D52">
        <w:t xml:space="preserve"> </w:t>
      </w:r>
      <w:r w:rsidR="00521DBE">
        <w:t>in fostering and supporting</w:t>
      </w:r>
      <w:r w:rsidR="00947D52">
        <w:t xml:space="preserve"> my interest in end of life care early on as a graduate student.  </w:t>
      </w:r>
      <w:r w:rsidR="00D62609">
        <w:t xml:space="preserve">Most of all, I would like to thank my committee chair, Dr. Todd Lee, who has served as my advisor since starting </w:t>
      </w:r>
      <w:r w:rsidR="008B31E4">
        <w:t xml:space="preserve">the doctoral program. </w:t>
      </w:r>
      <w:r w:rsidR="001613D2">
        <w:t>Dr. Lee</w:t>
      </w:r>
      <w:r w:rsidR="008B31E4">
        <w:t xml:space="preserve"> </w:t>
      </w:r>
      <w:r w:rsidR="001613D2">
        <w:t>was</w:t>
      </w:r>
      <w:r w:rsidR="008B31E4">
        <w:t xml:space="preserve"> responsible for first sparking my interest in pharmacoepidemiology and health outcome</w:t>
      </w:r>
      <w:r w:rsidR="001613D2">
        <w:t>s research</w:t>
      </w:r>
      <w:r w:rsidR="008B31E4">
        <w:t xml:space="preserve"> </w:t>
      </w:r>
      <w:r w:rsidR="002A7D99">
        <w:t>as a pharmacy student</w:t>
      </w:r>
      <w:r w:rsidR="00352D82">
        <w:t>,</w:t>
      </w:r>
      <w:r w:rsidR="001613D2">
        <w:t xml:space="preserve"> </w:t>
      </w:r>
      <w:r w:rsidR="008B31E4">
        <w:t xml:space="preserve">and </w:t>
      </w:r>
      <w:r w:rsidR="00352D82">
        <w:t xml:space="preserve">he </w:t>
      </w:r>
      <w:r w:rsidR="008B31E4">
        <w:t xml:space="preserve">has provided me with </w:t>
      </w:r>
      <w:r w:rsidR="002A7D99">
        <w:t xml:space="preserve">a number of </w:t>
      </w:r>
      <w:r w:rsidR="001613D2">
        <w:t xml:space="preserve">opportunities that have </w:t>
      </w:r>
      <w:r w:rsidR="007C1757">
        <w:t>enabled</w:t>
      </w:r>
      <w:r w:rsidR="001613D2">
        <w:t xml:space="preserve"> me to develop into an independent researcher</w:t>
      </w:r>
      <w:r w:rsidR="008B31E4">
        <w:t xml:space="preserve">. </w:t>
      </w:r>
      <w:r w:rsidR="00521DBE">
        <w:t>With a door that is always open</w:t>
      </w:r>
      <w:r w:rsidR="001613D2">
        <w:t>, Dr. Lee’s</w:t>
      </w:r>
      <w:r w:rsidR="00DA6420">
        <w:t xml:space="preserve"> incredible patience, generosity</w:t>
      </w:r>
      <w:r w:rsidR="001613D2">
        <w:t xml:space="preserve">, and support at every step of the way </w:t>
      </w:r>
      <w:r w:rsidR="00211A22">
        <w:t xml:space="preserve">have been integral in getting </w:t>
      </w:r>
      <w:r w:rsidR="00DA6420">
        <w:t>me to where I am today</w:t>
      </w:r>
      <w:r w:rsidR="00561E08">
        <w:t>.</w:t>
      </w:r>
    </w:p>
    <w:p w14:paraId="4CE6E1C8" w14:textId="62FF1A3D" w:rsidR="009B38FE" w:rsidRDefault="00947D52" w:rsidP="00891574">
      <w:pPr>
        <w:ind w:firstLine="720"/>
      </w:pPr>
      <w:r>
        <w:t>I would also like to thank my fellow g</w:t>
      </w:r>
      <w:r w:rsidR="00D62609">
        <w:t>rad</w:t>
      </w:r>
      <w:r>
        <w:t>uate</w:t>
      </w:r>
      <w:r w:rsidR="00D62609">
        <w:t xml:space="preserve"> students</w:t>
      </w:r>
      <w:r w:rsidR="002A7D99">
        <w:t>, an extraordinary group of individuals</w:t>
      </w:r>
      <w:r w:rsidR="00352D82">
        <w:t xml:space="preserve"> whom I am privileged to call my colleagues and friends. </w:t>
      </w:r>
      <w:r w:rsidR="00211A22">
        <w:t xml:space="preserve">They </w:t>
      </w:r>
      <w:r w:rsidR="007C1757">
        <w:t>were</w:t>
      </w:r>
      <w:r w:rsidR="00211A22">
        <w:t xml:space="preserve"> a constant and willing source to l</w:t>
      </w:r>
      <w:r w:rsidR="00E75B3D">
        <w:t>earn from, confide in, and commiserate with</w:t>
      </w:r>
      <w:r w:rsidR="00211A22">
        <w:t xml:space="preserve"> </w:t>
      </w:r>
      <w:r w:rsidR="00521DBE">
        <w:t>throughout my graduate training</w:t>
      </w:r>
      <w:r w:rsidR="00591414">
        <w:t xml:space="preserve">. </w:t>
      </w:r>
      <w:r w:rsidR="009D6D8A">
        <w:t>Finally, I would like to thank my family – my parents</w:t>
      </w:r>
      <w:r w:rsidR="00511551">
        <w:t>,</w:t>
      </w:r>
      <w:r w:rsidR="009D6D8A">
        <w:t xml:space="preserve"> for their unconditional support through more than a decade of higher education</w:t>
      </w:r>
      <w:r w:rsidR="00511551">
        <w:t xml:space="preserve">; my wife, Megan, for her </w:t>
      </w:r>
      <w:r w:rsidR="002A7D99">
        <w:t xml:space="preserve">unwavering </w:t>
      </w:r>
      <w:r w:rsidR="00E75B3D">
        <w:t xml:space="preserve">reassurance </w:t>
      </w:r>
      <w:r w:rsidR="00511551">
        <w:t>and understanding</w:t>
      </w:r>
      <w:r w:rsidR="002A7D99">
        <w:t xml:space="preserve"> through </w:t>
      </w:r>
      <w:r w:rsidR="00891574">
        <w:t>often</w:t>
      </w:r>
      <w:r w:rsidR="002A7D99">
        <w:t xml:space="preserve"> less than ideal circumstances</w:t>
      </w:r>
      <w:r w:rsidR="00511551">
        <w:t xml:space="preserve">; and my daughter, Camille, for </w:t>
      </w:r>
      <w:r w:rsidR="00775DE7">
        <w:t>providing me with</w:t>
      </w:r>
      <w:r w:rsidR="00511551">
        <w:t xml:space="preserve"> newfound perspective and resolve</w:t>
      </w:r>
      <w:r w:rsidR="002A7D99">
        <w:t xml:space="preserve"> that propelled me to the finish line</w:t>
      </w:r>
      <w:r w:rsidR="00511551">
        <w:t>.</w:t>
      </w:r>
    </w:p>
    <w:p w14:paraId="328E09A8" w14:textId="77777777" w:rsidR="00561E08" w:rsidRDefault="00561E08" w:rsidP="00561E08">
      <w:pPr>
        <w:ind w:firstLine="720"/>
        <w:rPr>
          <w:color w:val="222222"/>
          <w:shd w:val="clear" w:color="auto" w:fill="FFFFFF"/>
        </w:rPr>
      </w:pPr>
      <w:r w:rsidRPr="00097893">
        <w:rPr>
          <w:color w:val="222222"/>
          <w:shd w:val="clear" w:color="auto" w:fill="FFFFFF"/>
        </w:rPr>
        <w:t xml:space="preserve">This study used the linked SEER-Medicare database. The interpretation and reporting of these data are the sole responsibility of the authors. The collection of cancer incidence data used in this study was supported by the California Department of Public Health as part of the </w:t>
      </w:r>
    </w:p>
    <w:p w14:paraId="238639CC" w14:textId="6D0C3612" w:rsidR="00561E08" w:rsidRPr="00561E08" w:rsidRDefault="00561E08" w:rsidP="00561E08">
      <w:pPr>
        <w:jc w:val="center"/>
        <w:rPr>
          <w:b/>
          <w:color w:val="222222"/>
          <w:shd w:val="clear" w:color="auto" w:fill="FFFFFF"/>
        </w:rPr>
      </w:pPr>
      <w:r>
        <w:rPr>
          <w:b/>
          <w:color w:val="222222"/>
          <w:shd w:val="clear" w:color="auto" w:fill="FFFFFF"/>
        </w:rPr>
        <w:lastRenderedPageBreak/>
        <w:t>ACKNOWLEDGEMENTS (continued)</w:t>
      </w:r>
    </w:p>
    <w:p w14:paraId="14BD911B" w14:textId="0E1552D8" w:rsidR="00561E08" w:rsidRPr="00A67632" w:rsidRDefault="00561E08" w:rsidP="00561E08">
      <w:pPr>
        <w:rPr>
          <w:color w:val="222222"/>
          <w:shd w:val="clear" w:color="auto" w:fill="FFFFFF"/>
        </w:rPr>
      </w:pPr>
      <w:r w:rsidRPr="00097893">
        <w:rPr>
          <w:color w:val="222222"/>
          <w:shd w:val="clear" w:color="auto" w:fill="FFFFFF"/>
        </w:rPr>
        <w:t>statewide cancer reporting program mandated by California Health and Safety Code Section 103885; the National Cancer Institute's Surveillance, Epidemiology and End Results Program under contract HHSN261201000140C awarded to the Cancer Prevention Institute of California, contract HHSN261201000035C awarded to the University of Southern California, and contract HHSN261201000034C awarded to the Public Health Institute; and the Centers for Disease Control and Prevention's National Program of Cancer Registries, under agreement # U58DP003862-01 awarded to the California Department of Public Health. The ideas and opinions expressed herein are those of the author(s) and endorsement by the State of California Department of Public Health, the National Cancer Institute, and the Centers for Disease Control and Prevention or their Contractors and Subcontractors is not intended nor should be inferred.</w:t>
      </w:r>
      <w:r w:rsidRPr="00097893">
        <w:rPr>
          <w:rStyle w:val="apple-converted-space"/>
          <w:color w:val="222222"/>
          <w:shd w:val="clear" w:color="auto" w:fill="FFFFFF"/>
        </w:rPr>
        <w:t> </w:t>
      </w:r>
      <w:r w:rsidRPr="00097893">
        <w:rPr>
          <w:color w:val="222222"/>
          <w:shd w:val="clear" w:color="auto" w:fill="FFFFFF"/>
        </w:rPr>
        <w:t>The authors acknowledge the efforts of the National Cancer Institute; the Office of Research, Development and Information, CMS; Information Management Services (IMS), Inc.; and the Surveillance, Epidemiology, and End Results (SEER) Program tumor registries in the creation of the SEER-Medicare database</w:t>
      </w:r>
      <w:r>
        <w:rPr>
          <w:color w:val="222222"/>
          <w:shd w:val="clear" w:color="auto" w:fill="FFFFFF"/>
        </w:rPr>
        <w:t>.</w:t>
      </w:r>
    </w:p>
    <w:p w14:paraId="204D8B81" w14:textId="77777777" w:rsidR="00521DBE" w:rsidRDefault="00521DBE" w:rsidP="00591414">
      <w:pPr>
        <w:spacing w:after="0" w:line="240" w:lineRule="auto"/>
      </w:pPr>
    </w:p>
    <w:p w14:paraId="0B9B61AE" w14:textId="77777777" w:rsidR="00521DBE" w:rsidRDefault="00521DBE" w:rsidP="00591414">
      <w:pPr>
        <w:spacing w:after="0" w:line="240" w:lineRule="auto"/>
        <w:jc w:val="right"/>
      </w:pPr>
    </w:p>
    <w:p w14:paraId="4BC0B59C" w14:textId="163DB975" w:rsidR="009B38FE" w:rsidRDefault="00385BDB" w:rsidP="00591414">
      <w:pPr>
        <w:spacing w:after="0" w:line="240" w:lineRule="auto"/>
        <w:jc w:val="right"/>
      </w:pPr>
      <w:r>
        <w:t>PMZ</w:t>
      </w:r>
    </w:p>
    <w:p w14:paraId="47746E75" w14:textId="77777777" w:rsidR="00561E08" w:rsidRDefault="00561E08" w:rsidP="00591414">
      <w:pPr>
        <w:spacing w:after="0" w:line="240" w:lineRule="auto"/>
        <w:jc w:val="right"/>
      </w:pPr>
    </w:p>
    <w:p w14:paraId="58BE5A71" w14:textId="77777777" w:rsidR="00561E08" w:rsidRDefault="00561E08" w:rsidP="00591414">
      <w:pPr>
        <w:spacing w:after="0" w:line="240" w:lineRule="auto"/>
        <w:jc w:val="right"/>
      </w:pPr>
    </w:p>
    <w:p w14:paraId="19A07606" w14:textId="77777777" w:rsidR="00561E08" w:rsidRDefault="00561E08" w:rsidP="00591414">
      <w:pPr>
        <w:spacing w:after="0" w:line="240" w:lineRule="auto"/>
        <w:jc w:val="right"/>
      </w:pPr>
    </w:p>
    <w:p w14:paraId="3BDC76E8" w14:textId="77777777" w:rsidR="00561E08" w:rsidRDefault="00561E08" w:rsidP="00591414">
      <w:pPr>
        <w:spacing w:after="0" w:line="240" w:lineRule="auto"/>
        <w:jc w:val="right"/>
      </w:pPr>
    </w:p>
    <w:p w14:paraId="13CA7B00" w14:textId="77777777" w:rsidR="00561E08" w:rsidRDefault="00561E08" w:rsidP="00591414">
      <w:pPr>
        <w:spacing w:after="0" w:line="240" w:lineRule="auto"/>
        <w:jc w:val="right"/>
      </w:pPr>
    </w:p>
    <w:p w14:paraId="59DD64DF" w14:textId="77777777" w:rsidR="00561E08" w:rsidRDefault="00561E08" w:rsidP="00591414">
      <w:pPr>
        <w:spacing w:after="0" w:line="240" w:lineRule="auto"/>
        <w:jc w:val="right"/>
      </w:pPr>
    </w:p>
    <w:p w14:paraId="1D73AFDB" w14:textId="77777777" w:rsidR="00561E08" w:rsidRDefault="00561E08" w:rsidP="00591414">
      <w:pPr>
        <w:spacing w:after="0" w:line="240" w:lineRule="auto"/>
        <w:jc w:val="right"/>
      </w:pPr>
    </w:p>
    <w:p w14:paraId="7A2E2D29" w14:textId="77777777" w:rsidR="00561E08" w:rsidRDefault="00561E08" w:rsidP="00591414">
      <w:pPr>
        <w:spacing w:after="0" w:line="240" w:lineRule="auto"/>
        <w:jc w:val="right"/>
      </w:pPr>
    </w:p>
    <w:p w14:paraId="58877E78" w14:textId="77777777" w:rsidR="00561E08" w:rsidRDefault="00561E08" w:rsidP="00591414">
      <w:pPr>
        <w:spacing w:after="0" w:line="240" w:lineRule="auto"/>
        <w:jc w:val="right"/>
      </w:pPr>
    </w:p>
    <w:p w14:paraId="7F4DE96A" w14:textId="77777777" w:rsidR="00561E08" w:rsidRDefault="00561E08" w:rsidP="00591414">
      <w:pPr>
        <w:spacing w:after="0" w:line="240" w:lineRule="auto"/>
        <w:jc w:val="right"/>
      </w:pPr>
    </w:p>
    <w:p w14:paraId="6B0088C2" w14:textId="77777777" w:rsidR="00561E08" w:rsidRDefault="00561E08" w:rsidP="00591414">
      <w:pPr>
        <w:spacing w:after="0" w:line="240" w:lineRule="auto"/>
        <w:jc w:val="right"/>
      </w:pPr>
    </w:p>
    <w:p w14:paraId="610BB61B" w14:textId="77777777" w:rsidR="00561E08" w:rsidRDefault="00561E08" w:rsidP="00591414">
      <w:pPr>
        <w:spacing w:after="0" w:line="240" w:lineRule="auto"/>
        <w:jc w:val="right"/>
      </w:pPr>
    </w:p>
    <w:p w14:paraId="195614F5" w14:textId="77777777" w:rsidR="00561E08" w:rsidRDefault="00561E08" w:rsidP="00591414">
      <w:pPr>
        <w:spacing w:after="0" w:line="240" w:lineRule="auto"/>
        <w:jc w:val="right"/>
      </w:pPr>
    </w:p>
    <w:p w14:paraId="166ECB1B" w14:textId="77777777" w:rsidR="00561E08" w:rsidRDefault="00561E08" w:rsidP="00591414">
      <w:pPr>
        <w:spacing w:after="0" w:line="240" w:lineRule="auto"/>
        <w:jc w:val="right"/>
      </w:pPr>
    </w:p>
    <w:p w14:paraId="4B635CAE" w14:textId="77777777" w:rsidR="00561E08" w:rsidRDefault="00561E08" w:rsidP="00561E08">
      <w:pPr>
        <w:spacing w:after="0" w:line="240" w:lineRule="auto"/>
      </w:pPr>
    </w:p>
    <w:p w14:paraId="59ED9C8B" w14:textId="77777777" w:rsidR="00521DBE" w:rsidRDefault="00521DBE" w:rsidP="00591414">
      <w:pPr>
        <w:spacing w:after="0" w:line="240" w:lineRule="auto"/>
        <w:jc w:val="right"/>
      </w:pPr>
    </w:p>
    <w:p w14:paraId="3B040D69" w14:textId="77777777" w:rsidR="009B38FE" w:rsidRDefault="00427FF8" w:rsidP="009B38FE">
      <w:pPr>
        <w:jc w:val="center"/>
        <w:rPr>
          <w:b/>
        </w:rPr>
      </w:pPr>
      <w:r>
        <w:rPr>
          <w:b/>
        </w:rPr>
        <w:lastRenderedPageBreak/>
        <w:t>CONTRIBUTION OF AUTHORS</w:t>
      </w:r>
    </w:p>
    <w:p w14:paraId="0F63E5EE" w14:textId="77777777" w:rsidR="001B5CE5" w:rsidRDefault="00776AEE" w:rsidP="00B05FE3">
      <w:pPr>
        <w:ind w:firstLine="720"/>
        <w:rPr>
          <w:rFonts w:cs="Arial"/>
          <w:color w:val="000000"/>
          <w:szCs w:val="22"/>
        </w:rPr>
      </w:pPr>
      <w:r>
        <w:t>Chapters II, III, and IV</w:t>
      </w:r>
      <w:r w:rsidR="00CB7C35">
        <w:t xml:space="preserve"> </w:t>
      </w:r>
      <w:r>
        <w:t xml:space="preserve">of this dissertation are collaborative works between myself and the </w:t>
      </w:r>
      <w:r w:rsidR="00B05FE3">
        <w:t xml:space="preserve">dissertation </w:t>
      </w:r>
      <w:r>
        <w:t>committee members</w:t>
      </w:r>
      <w:r w:rsidR="00B015E6">
        <w:t>,</w:t>
      </w:r>
      <w:r>
        <w:t xml:space="preserve"> resulting in </w:t>
      </w:r>
      <w:r w:rsidR="00B05FE3">
        <w:t xml:space="preserve">three </w:t>
      </w:r>
      <w:r w:rsidR="00B66040">
        <w:t xml:space="preserve">manuscripts </w:t>
      </w:r>
      <w:r w:rsidR="00B015E6">
        <w:t xml:space="preserve">currently </w:t>
      </w:r>
      <w:r w:rsidR="00B66040">
        <w:t xml:space="preserve">either </w:t>
      </w:r>
      <w:r w:rsidR="006303D2">
        <w:t>published</w:t>
      </w:r>
      <w:r w:rsidR="00B66040">
        <w:t xml:space="preserve"> or under consideration for </w:t>
      </w:r>
      <w:r>
        <w:t xml:space="preserve">peer-reviewed journal </w:t>
      </w:r>
      <w:r w:rsidR="00B66040">
        <w:t>publication</w:t>
      </w:r>
      <w:r>
        <w:t xml:space="preserve">. </w:t>
      </w:r>
      <w:r w:rsidR="006303D2">
        <w:t xml:space="preserve">Chapter II has been published online (ahead of print) as an article in the </w:t>
      </w:r>
      <w:r w:rsidR="006303D2" w:rsidRPr="00E504E0">
        <w:rPr>
          <w:rFonts w:cs="Arial"/>
          <w:i/>
          <w:szCs w:val="22"/>
        </w:rPr>
        <w:t>Journal of the American Geriatrics Society</w:t>
      </w:r>
      <w:r w:rsidR="006303D2" w:rsidRPr="00E504E0">
        <w:rPr>
          <w:rFonts w:cs="Arial"/>
          <w:szCs w:val="22"/>
        </w:rPr>
        <w:t xml:space="preserve"> as: </w:t>
      </w:r>
      <w:r w:rsidR="006303D2" w:rsidRPr="00E504E0">
        <w:rPr>
          <w:rFonts w:cs="Arial"/>
          <w:color w:val="000000"/>
          <w:szCs w:val="22"/>
        </w:rPr>
        <w:t>Zueger PM, Holmes HM, Calip GS, Qato DM, Pickard AS, Lee TA. Medicare Part D</w:t>
      </w:r>
      <w:r w:rsidR="006303D2">
        <w:rPr>
          <w:rFonts w:cs="Arial"/>
          <w:color w:val="000000"/>
          <w:szCs w:val="22"/>
        </w:rPr>
        <w:t xml:space="preserve"> </w:t>
      </w:r>
      <w:r w:rsidR="006303D2" w:rsidRPr="00E504E0">
        <w:rPr>
          <w:rFonts w:cs="Arial"/>
          <w:color w:val="000000"/>
          <w:szCs w:val="22"/>
        </w:rPr>
        <w:t xml:space="preserve">Use of Older Medicare Beneficiaries Admitted to Hospice. J Am Geriatr Soc. 2018 Mar 6. </w:t>
      </w:r>
    </w:p>
    <w:p w14:paraId="25834758" w14:textId="06788FD7" w:rsidR="00427FF8" w:rsidRPr="00CB7C35" w:rsidRDefault="00776AEE" w:rsidP="00B05FE3">
      <w:pPr>
        <w:ind w:firstLine="720"/>
      </w:pPr>
      <w:r>
        <w:t xml:space="preserve">I </w:t>
      </w:r>
      <w:r w:rsidR="00C23CFA">
        <w:t xml:space="preserve">led and </w:t>
      </w:r>
      <w:r>
        <w:t xml:space="preserve">was primarily responsible for study conceptualization and design, data analysis and interpretation, and manuscript development and submission. </w:t>
      </w:r>
      <w:r w:rsidR="00661DA8">
        <w:t xml:space="preserve">All committee members provided input on study conceptualization and design prior to finalization, </w:t>
      </w:r>
      <w:r w:rsidR="002A6A72">
        <w:t xml:space="preserve">aided in interpreting results, </w:t>
      </w:r>
      <w:r w:rsidR="00661DA8">
        <w:t xml:space="preserve">and provided critical review of the final manuscripts prior to journal submission. </w:t>
      </w:r>
      <w:r w:rsidR="00B015E6">
        <w:t xml:space="preserve">Dr. Gregory Calip provided additional guidance on study design, analytic methods, and use of the SEER-Medicare data.  </w:t>
      </w:r>
      <w:r w:rsidR="00581706">
        <w:t xml:space="preserve">Dr. Holly Holmes provided key clinical </w:t>
      </w:r>
      <w:r w:rsidR="00B05FE3">
        <w:t xml:space="preserve">and subject matter </w:t>
      </w:r>
      <w:r w:rsidR="00581706">
        <w:t>expertise</w:t>
      </w:r>
      <w:r w:rsidR="00A45E97">
        <w:t xml:space="preserve"> which </w:t>
      </w:r>
      <w:r w:rsidR="00972C0F">
        <w:t>served to strengthen</w:t>
      </w:r>
      <w:r w:rsidR="00581706">
        <w:t xml:space="preserve"> the validity of the </w:t>
      </w:r>
      <w:r w:rsidR="002A6A72">
        <w:t xml:space="preserve">study approach </w:t>
      </w:r>
      <w:r w:rsidR="00972C0F">
        <w:t>and frame the importan</w:t>
      </w:r>
      <w:r w:rsidR="00B05FE3">
        <w:t xml:space="preserve">ce of the results when discussing implications for clinical practice and health care policy. </w:t>
      </w:r>
      <w:r w:rsidR="00661DA8">
        <w:t>Dr. Todd Lee</w:t>
      </w:r>
      <w:r w:rsidR="00B05FE3">
        <w:t>, advisor and dissertation committee chair,</w:t>
      </w:r>
      <w:r w:rsidR="00661DA8">
        <w:t xml:space="preserve"> </w:t>
      </w:r>
      <w:r w:rsidR="00B05FE3">
        <w:t>assisted in obtaining the data and supervised all study activities.  Dr. Lee provided detailed guidance</w:t>
      </w:r>
      <w:r w:rsidR="00C23CFA">
        <w:t xml:space="preserve"> at each step</w:t>
      </w:r>
      <w:r w:rsidR="00B05FE3">
        <w:t xml:space="preserve"> from study conceptualization to completion of the final manuscripts</w:t>
      </w:r>
      <w:r w:rsidR="00C23CFA">
        <w:t xml:space="preserve">. He serves as senior author on the manuscripts resulting from this dissertation. </w:t>
      </w:r>
    </w:p>
    <w:p w14:paraId="3854B869" w14:textId="77777777" w:rsidR="00427FF8" w:rsidRDefault="00427FF8" w:rsidP="009B38FE">
      <w:pPr>
        <w:jc w:val="center"/>
        <w:rPr>
          <w:b/>
        </w:rPr>
      </w:pPr>
    </w:p>
    <w:p w14:paraId="25336BE3" w14:textId="77777777" w:rsidR="00427FF8" w:rsidRDefault="00427FF8" w:rsidP="009B38FE">
      <w:pPr>
        <w:jc w:val="center"/>
        <w:rPr>
          <w:b/>
        </w:rPr>
      </w:pPr>
    </w:p>
    <w:p w14:paraId="40BEB1D7" w14:textId="77777777" w:rsidR="00427FF8" w:rsidRDefault="00427FF8" w:rsidP="009B38FE">
      <w:pPr>
        <w:jc w:val="center"/>
        <w:rPr>
          <w:b/>
        </w:rPr>
      </w:pPr>
    </w:p>
    <w:p w14:paraId="20670EB3" w14:textId="77777777" w:rsidR="00427FF8" w:rsidRDefault="00427FF8" w:rsidP="00A61543">
      <w:pPr>
        <w:rPr>
          <w:b/>
        </w:rPr>
      </w:pPr>
    </w:p>
    <w:p w14:paraId="2CABBE5F" w14:textId="77777777" w:rsidR="00427FF8" w:rsidRDefault="00427FF8" w:rsidP="00427FF8">
      <w:pPr>
        <w:jc w:val="center"/>
        <w:rPr>
          <w:b/>
        </w:rPr>
      </w:pPr>
      <w:r>
        <w:rPr>
          <w:b/>
        </w:rPr>
        <w:lastRenderedPageBreak/>
        <w:t>TABLE OF CONTENTS</w:t>
      </w:r>
    </w:p>
    <w:p w14:paraId="53B31814" w14:textId="77777777" w:rsidR="009860CD" w:rsidRPr="009860CD" w:rsidRDefault="009860CD" w:rsidP="009860CD">
      <w:pPr>
        <w:rPr>
          <w:u w:val="single"/>
        </w:rPr>
      </w:pPr>
      <w:r>
        <w:rPr>
          <w:u w:val="single"/>
        </w:rPr>
        <w:t>CHAPTER</w:t>
      </w:r>
      <w:r>
        <w:tab/>
      </w:r>
      <w:r>
        <w:tab/>
      </w:r>
      <w:r>
        <w:tab/>
      </w:r>
      <w:r>
        <w:tab/>
      </w:r>
      <w:r>
        <w:tab/>
      </w:r>
      <w:r>
        <w:tab/>
      </w:r>
      <w:r>
        <w:tab/>
      </w:r>
      <w:r>
        <w:tab/>
      </w:r>
      <w:r>
        <w:tab/>
      </w:r>
      <w:r>
        <w:tab/>
      </w:r>
      <w:r>
        <w:tab/>
        <w:t xml:space="preserve"> </w:t>
      </w:r>
      <w:r>
        <w:rPr>
          <w:u w:val="single"/>
        </w:rPr>
        <w:t>PAGE</w:t>
      </w:r>
    </w:p>
    <w:p w14:paraId="7A04CF32" w14:textId="77777777" w:rsidR="00773BB0" w:rsidRDefault="00831FF1">
      <w:pPr>
        <w:pStyle w:val="TOC1"/>
        <w:tabs>
          <w:tab w:val="right" w:leader="dot" w:pos="9350"/>
        </w:tabs>
        <w:rPr>
          <w:rFonts w:asciiTheme="minorHAnsi" w:hAnsiTheme="minorHAnsi" w:cstheme="minorBidi"/>
          <w:noProof/>
        </w:rPr>
      </w:pPr>
      <w:r w:rsidRPr="00831FF1">
        <w:rPr>
          <w:rFonts w:cs="Arial"/>
          <w:b/>
        </w:rPr>
        <w:fldChar w:fldCharType="begin"/>
      </w:r>
      <w:r w:rsidRPr="00831FF1">
        <w:rPr>
          <w:rFonts w:cs="Arial"/>
          <w:b/>
        </w:rPr>
        <w:instrText xml:space="preserve"> TOC \o "2-3" \h \z \t "Heading 1,1,Single Space,1,Style1,1,Style2,2,Style3,3" </w:instrText>
      </w:r>
      <w:r w:rsidRPr="00831FF1">
        <w:rPr>
          <w:rFonts w:cs="Arial"/>
          <w:b/>
        </w:rPr>
        <w:fldChar w:fldCharType="separate"/>
      </w:r>
      <w:hyperlink w:anchor="_Toc507326034" w:history="1">
        <w:r w:rsidR="00773BB0" w:rsidRPr="0051317B">
          <w:rPr>
            <w:rStyle w:val="Hyperlink"/>
            <w:noProof/>
          </w:rPr>
          <w:t>I. INTRODUCTION</w:t>
        </w:r>
        <w:r w:rsidR="00773BB0">
          <w:rPr>
            <w:noProof/>
            <w:webHidden/>
          </w:rPr>
          <w:tab/>
        </w:r>
        <w:r w:rsidR="00773BB0">
          <w:rPr>
            <w:noProof/>
            <w:webHidden/>
          </w:rPr>
          <w:fldChar w:fldCharType="begin"/>
        </w:r>
        <w:r w:rsidR="00773BB0">
          <w:rPr>
            <w:noProof/>
            <w:webHidden/>
          </w:rPr>
          <w:instrText xml:space="preserve"> PAGEREF _Toc507326034 \h </w:instrText>
        </w:r>
        <w:r w:rsidR="00773BB0">
          <w:rPr>
            <w:noProof/>
            <w:webHidden/>
          </w:rPr>
        </w:r>
        <w:r w:rsidR="00773BB0">
          <w:rPr>
            <w:noProof/>
            <w:webHidden/>
          </w:rPr>
          <w:fldChar w:fldCharType="separate"/>
        </w:r>
        <w:r w:rsidR="00B55AC2">
          <w:rPr>
            <w:noProof/>
            <w:webHidden/>
          </w:rPr>
          <w:t>1</w:t>
        </w:r>
        <w:r w:rsidR="00773BB0">
          <w:rPr>
            <w:noProof/>
            <w:webHidden/>
          </w:rPr>
          <w:fldChar w:fldCharType="end"/>
        </w:r>
      </w:hyperlink>
    </w:p>
    <w:p w14:paraId="258DB0B2" w14:textId="77777777" w:rsidR="00773BB0" w:rsidRDefault="00EA5D91">
      <w:pPr>
        <w:pStyle w:val="TOC2"/>
        <w:tabs>
          <w:tab w:val="right" w:leader="dot" w:pos="9350"/>
        </w:tabs>
        <w:rPr>
          <w:rFonts w:asciiTheme="minorHAnsi" w:hAnsiTheme="minorHAnsi" w:cstheme="minorBidi"/>
          <w:noProof/>
        </w:rPr>
      </w:pPr>
      <w:hyperlink w:anchor="_Toc507326035" w:history="1">
        <w:r w:rsidR="00773BB0" w:rsidRPr="0051317B">
          <w:rPr>
            <w:rStyle w:val="Hyperlink"/>
            <w:noProof/>
          </w:rPr>
          <w:t>1.1 Hospice Care in the United States</w:t>
        </w:r>
        <w:r w:rsidR="00773BB0">
          <w:rPr>
            <w:noProof/>
            <w:webHidden/>
          </w:rPr>
          <w:tab/>
        </w:r>
        <w:r w:rsidR="00773BB0">
          <w:rPr>
            <w:noProof/>
            <w:webHidden/>
          </w:rPr>
          <w:fldChar w:fldCharType="begin"/>
        </w:r>
        <w:r w:rsidR="00773BB0">
          <w:rPr>
            <w:noProof/>
            <w:webHidden/>
          </w:rPr>
          <w:instrText xml:space="preserve"> PAGEREF _Toc507326035 \h </w:instrText>
        </w:r>
        <w:r w:rsidR="00773BB0">
          <w:rPr>
            <w:noProof/>
            <w:webHidden/>
          </w:rPr>
        </w:r>
        <w:r w:rsidR="00773BB0">
          <w:rPr>
            <w:noProof/>
            <w:webHidden/>
          </w:rPr>
          <w:fldChar w:fldCharType="separate"/>
        </w:r>
        <w:r w:rsidR="00B55AC2">
          <w:rPr>
            <w:noProof/>
            <w:webHidden/>
          </w:rPr>
          <w:t>1</w:t>
        </w:r>
        <w:r w:rsidR="00773BB0">
          <w:rPr>
            <w:noProof/>
            <w:webHidden/>
          </w:rPr>
          <w:fldChar w:fldCharType="end"/>
        </w:r>
      </w:hyperlink>
    </w:p>
    <w:p w14:paraId="47C05622" w14:textId="77777777" w:rsidR="00773BB0" w:rsidRDefault="00EA5D91">
      <w:pPr>
        <w:pStyle w:val="TOC2"/>
        <w:tabs>
          <w:tab w:val="right" w:leader="dot" w:pos="9350"/>
        </w:tabs>
        <w:rPr>
          <w:rFonts w:asciiTheme="minorHAnsi" w:hAnsiTheme="minorHAnsi" w:cstheme="minorBidi"/>
          <w:noProof/>
        </w:rPr>
      </w:pPr>
      <w:hyperlink w:anchor="_Toc507326036" w:history="1">
        <w:r w:rsidR="00773BB0" w:rsidRPr="0051317B">
          <w:rPr>
            <w:rStyle w:val="Hyperlink"/>
            <w:noProof/>
          </w:rPr>
          <w:t>1.2 US Hospice Patient Characteristics and Utilization Trends</w:t>
        </w:r>
        <w:r w:rsidR="00773BB0">
          <w:rPr>
            <w:noProof/>
            <w:webHidden/>
          </w:rPr>
          <w:tab/>
        </w:r>
        <w:r w:rsidR="00773BB0">
          <w:rPr>
            <w:noProof/>
            <w:webHidden/>
          </w:rPr>
          <w:fldChar w:fldCharType="begin"/>
        </w:r>
        <w:r w:rsidR="00773BB0">
          <w:rPr>
            <w:noProof/>
            <w:webHidden/>
          </w:rPr>
          <w:instrText xml:space="preserve"> PAGEREF _Toc507326036 \h </w:instrText>
        </w:r>
        <w:r w:rsidR="00773BB0">
          <w:rPr>
            <w:noProof/>
            <w:webHidden/>
          </w:rPr>
        </w:r>
        <w:r w:rsidR="00773BB0">
          <w:rPr>
            <w:noProof/>
            <w:webHidden/>
          </w:rPr>
          <w:fldChar w:fldCharType="separate"/>
        </w:r>
        <w:r w:rsidR="00B55AC2">
          <w:rPr>
            <w:noProof/>
            <w:webHidden/>
          </w:rPr>
          <w:t>3</w:t>
        </w:r>
        <w:r w:rsidR="00773BB0">
          <w:rPr>
            <w:noProof/>
            <w:webHidden/>
          </w:rPr>
          <w:fldChar w:fldCharType="end"/>
        </w:r>
      </w:hyperlink>
    </w:p>
    <w:p w14:paraId="38B53C68" w14:textId="77777777" w:rsidR="00773BB0" w:rsidRDefault="00EA5D91">
      <w:pPr>
        <w:pStyle w:val="TOC2"/>
        <w:tabs>
          <w:tab w:val="right" w:leader="dot" w:pos="9350"/>
        </w:tabs>
        <w:rPr>
          <w:rFonts w:asciiTheme="minorHAnsi" w:hAnsiTheme="minorHAnsi" w:cstheme="minorBidi"/>
          <w:noProof/>
        </w:rPr>
      </w:pPr>
      <w:hyperlink w:anchor="_Toc507326037" w:history="1">
        <w:r w:rsidR="00773BB0" w:rsidRPr="0051317B">
          <w:rPr>
            <w:rStyle w:val="Hyperlink"/>
            <w:noProof/>
          </w:rPr>
          <w:t>1.3 The Medicare Hospice Benefit: Eligibility and Health Care Service Coverage</w:t>
        </w:r>
        <w:r w:rsidR="00773BB0">
          <w:rPr>
            <w:noProof/>
            <w:webHidden/>
          </w:rPr>
          <w:tab/>
        </w:r>
        <w:r w:rsidR="00773BB0">
          <w:rPr>
            <w:noProof/>
            <w:webHidden/>
          </w:rPr>
          <w:fldChar w:fldCharType="begin"/>
        </w:r>
        <w:r w:rsidR="00773BB0">
          <w:rPr>
            <w:noProof/>
            <w:webHidden/>
          </w:rPr>
          <w:instrText xml:space="preserve"> PAGEREF _Toc507326037 \h </w:instrText>
        </w:r>
        <w:r w:rsidR="00773BB0">
          <w:rPr>
            <w:noProof/>
            <w:webHidden/>
          </w:rPr>
        </w:r>
        <w:r w:rsidR="00773BB0">
          <w:rPr>
            <w:noProof/>
            <w:webHidden/>
          </w:rPr>
          <w:fldChar w:fldCharType="separate"/>
        </w:r>
        <w:r w:rsidR="00B55AC2">
          <w:rPr>
            <w:noProof/>
            <w:webHidden/>
          </w:rPr>
          <w:t>5</w:t>
        </w:r>
        <w:r w:rsidR="00773BB0">
          <w:rPr>
            <w:noProof/>
            <w:webHidden/>
          </w:rPr>
          <w:fldChar w:fldCharType="end"/>
        </w:r>
      </w:hyperlink>
    </w:p>
    <w:p w14:paraId="1BDB2465" w14:textId="77777777" w:rsidR="00773BB0" w:rsidRDefault="00EA5D91">
      <w:pPr>
        <w:pStyle w:val="TOC2"/>
        <w:tabs>
          <w:tab w:val="right" w:leader="dot" w:pos="9350"/>
        </w:tabs>
        <w:rPr>
          <w:rFonts w:asciiTheme="minorHAnsi" w:hAnsiTheme="minorHAnsi" w:cstheme="minorBidi"/>
          <w:noProof/>
        </w:rPr>
      </w:pPr>
      <w:hyperlink w:anchor="_Toc507326038" w:history="1">
        <w:r w:rsidR="00773BB0" w:rsidRPr="0051317B">
          <w:rPr>
            <w:rStyle w:val="Hyperlink"/>
            <w:noProof/>
          </w:rPr>
          <w:t>1.4 Polypharmacy in the Elderly and Those with Limited Life Expectancy</w:t>
        </w:r>
        <w:r w:rsidR="00773BB0">
          <w:rPr>
            <w:noProof/>
            <w:webHidden/>
          </w:rPr>
          <w:tab/>
        </w:r>
        <w:r w:rsidR="00773BB0">
          <w:rPr>
            <w:noProof/>
            <w:webHidden/>
          </w:rPr>
          <w:fldChar w:fldCharType="begin"/>
        </w:r>
        <w:r w:rsidR="00773BB0">
          <w:rPr>
            <w:noProof/>
            <w:webHidden/>
          </w:rPr>
          <w:instrText xml:space="preserve"> PAGEREF _Toc507326038 \h </w:instrText>
        </w:r>
        <w:r w:rsidR="00773BB0">
          <w:rPr>
            <w:noProof/>
            <w:webHidden/>
          </w:rPr>
        </w:r>
        <w:r w:rsidR="00773BB0">
          <w:rPr>
            <w:noProof/>
            <w:webHidden/>
          </w:rPr>
          <w:fldChar w:fldCharType="separate"/>
        </w:r>
        <w:r w:rsidR="00B55AC2">
          <w:rPr>
            <w:noProof/>
            <w:webHidden/>
          </w:rPr>
          <w:t>9</w:t>
        </w:r>
        <w:r w:rsidR="00773BB0">
          <w:rPr>
            <w:noProof/>
            <w:webHidden/>
          </w:rPr>
          <w:fldChar w:fldCharType="end"/>
        </w:r>
      </w:hyperlink>
    </w:p>
    <w:p w14:paraId="410FFC86" w14:textId="77777777" w:rsidR="00773BB0" w:rsidRDefault="00EA5D91">
      <w:pPr>
        <w:pStyle w:val="TOC2"/>
        <w:tabs>
          <w:tab w:val="right" w:leader="dot" w:pos="9350"/>
        </w:tabs>
        <w:rPr>
          <w:rFonts w:asciiTheme="minorHAnsi" w:hAnsiTheme="minorHAnsi" w:cstheme="minorBidi"/>
          <w:noProof/>
        </w:rPr>
      </w:pPr>
      <w:hyperlink w:anchor="_Toc507326039" w:history="1">
        <w:r w:rsidR="00773BB0" w:rsidRPr="0051317B">
          <w:rPr>
            <w:rStyle w:val="Hyperlink"/>
            <w:noProof/>
          </w:rPr>
          <w:t>1.5 Appropriate Prescribing in End of Life and Hospice Patients</w:t>
        </w:r>
        <w:r w:rsidR="00773BB0">
          <w:rPr>
            <w:noProof/>
            <w:webHidden/>
          </w:rPr>
          <w:tab/>
        </w:r>
        <w:r w:rsidR="00773BB0">
          <w:rPr>
            <w:noProof/>
            <w:webHidden/>
          </w:rPr>
          <w:fldChar w:fldCharType="begin"/>
        </w:r>
        <w:r w:rsidR="00773BB0">
          <w:rPr>
            <w:noProof/>
            <w:webHidden/>
          </w:rPr>
          <w:instrText xml:space="preserve"> PAGEREF _Toc507326039 \h </w:instrText>
        </w:r>
        <w:r w:rsidR="00773BB0">
          <w:rPr>
            <w:noProof/>
            <w:webHidden/>
          </w:rPr>
        </w:r>
        <w:r w:rsidR="00773BB0">
          <w:rPr>
            <w:noProof/>
            <w:webHidden/>
          </w:rPr>
          <w:fldChar w:fldCharType="separate"/>
        </w:r>
        <w:r w:rsidR="00B55AC2">
          <w:rPr>
            <w:noProof/>
            <w:webHidden/>
          </w:rPr>
          <w:t>11</w:t>
        </w:r>
        <w:r w:rsidR="00773BB0">
          <w:rPr>
            <w:noProof/>
            <w:webHidden/>
          </w:rPr>
          <w:fldChar w:fldCharType="end"/>
        </w:r>
      </w:hyperlink>
    </w:p>
    <w:p w14:paraId="1D57859C" w14:textId="77777777" w:rsidR="00773BB0" w:rsidRDefault="00EA5D91">
      <w:pPr>
        <w:pStyle w:val="TOC2"/>
        <w:tabs>
          <w:tab w:val="right" w:leader="dot" w:pos="9350"/>
        </w:tabs>
        <w:rPr>
          <w:rFonts w:asciiTheme="minorHAnsi" w:hAnsiTheme="minorHAnsi" w:cstheme="minorBidi"/>
          <w:noProof/>
        </w:rPr>
      </w:pPr>
      <w:hyperlink w:anchor="_Toc507326040" w:history="1">
        <w:r w:rsidR="00773BB0" w:rsidRPr="0051317B">
          <w:rPr>
            <w:rStyle w:val="Hyperlink"/>
            <w:noProof/>
          </w:rPr>
          <w:t>1.6 Research Gaps</w:t>
        </w:r>
        <w:r w:rsidR="00773BB0">
          <w:rPr>
            <w:noProof/>
            <w:webHidden/>
          </w:rPr>
          <w:tab/>
        </w:r>
        <w:r w:rsidR="00773BB0">
          <w:rPr>
            <w:noProof/>
            <w:webHidden/>
          </w:rPr>
          <w:fldChar w:fldCharType="begin"/>
        </w:r>
        <w:r w:rsidR="00773BB0">
          <w:rPr>
            <w:noProof/>
            <w:webHidden/>
          </w:rPr>
          <w:instrText xml:space="preserve"> PAGEREF _Toc507326040 \h </w:instrText>
        </w:r>
        <w:r w:rsidR="00773BB0">
          <w:rPr>
            <w:noProof/>
            <w:webHidden/>
          </w:rPr>
        </w:r>
        <w:r w:rsidR="00773BB0">
          <w:rPr>
            <w:noProof/>
            <w:webHidden/>
          </w:rPr>
          <w:fldChar w:fldCharType="separate"/>
        </w:r>
        <w:r w:rsidR="00B55AC2">
          <w:rPr>
            <w:noProof/>
            <w:webHidden/>
          </w:rPr>
          <w:t>16</w:t>
        </w:r>
        <w:r w:rsidR="00773BB0">
          <w:rPr>
            <w:noProof/>
            <w:webHidden/>
          </w:rPr>
          <w:fldChar w:fldCharType="end"/>
        </w:r>
      </w:hyperlink>
    </w:p>
    <w:p w14:paraId="41AD7ED9" w14:textId="77777777" w:rsidR="00773BB0" w:rsidRDefault="00EA5D91">
      <w:pPr>
        <w:pStyle w:val="TOC2"/>
        <w:tabs>
          <w:tab w:val="right" w:leader="dot" w:pos="9350"/>
        </w:tabs>
        <w:rPr>
          <w:rFonts w:asciiTheme="minorHAnsi" w:hAnsiTheme="minorHAnsi" w:cstheme="minorBidi"/>
          <w:noProof/>
        </w:rPr>
      </w:pPr>
      <w:hyperlink w:anchor="_Toc507326041" w:history="1">
        <w:r w:rsidR="00773BB0" w:rsidRPr="0051317B">
          <w:rPr>
            <w:rStyle w:val="Hyperlink"/>
            <w:noProof/>
          </w:rPr>
          <w:t>1.7 Dissertation Objective</w:t>
        </w:r>
        <w:r w:rsidR="00773BB0">
          <w:rPr>
            <w:noProof/>
            <w:webHidden/>
          </w:rPr>
          <w:tab/>
        </w:r>
        <w:r w:rsidR="00773BB0">
          <w:rPr>
            <w:noProof/>
            <w:webHidden/>
          </w:rPr>
          <w:fldChar w:fldCharType="begin"/>
        </w:r>
        <w:r w:rsidR="00773BB0">
          <w:rPr>
            <w:noProof/>
            <w:webHidden/>
          </w:rPr>
          <w:instrText xml:space="preserve"> PAGEREF _Toc507326041 \h </w:instrText>
        </w:r>
        <w:r w:rsidR="00773BB0">
          <w:rPr>
            <w:noProof/>
            <w:webHidden/>
          </w:rPr>
        </w:r>
        <w:r w:rsidR="00773BB0">
          <w:rPr>
            <w:noProof/>
            <w:webHidden/>
          </w:rPr>
          <w:fldChar w:fldCharType="separate"/>
        </w:r>
        <w:r w:rsidR="00B55AC2">
          <w:rPr>
            <w:noProof/>
            <w:webHidden/>
          </w:rPr>
          <w:t>17</w:t>
        </w:r>
        <w:r w:rsidR="00773BB0">
          <w:rPr>
            <w:noProof/>
            <w:webHidden/>
          </w:rPr>
          <w:fldChar w:fldCharType="end"/>
        </w:r>
      </w:hyperlink>
    </w:p>
    <w:p w14:paraId="37E8281E" w14:textId="77777777" w:rsidR="00773BB0" w:rsidRDefault="00EA5D91">
      <w:pPr>
        <w:pStyle w:val="TOC2"/>
        <w:tabs>
          <w:tab w:val="right" w:leader="dot" w:pos="9350"/>
        </w:tabs>
        <w:rPr>
          <w:rFonts w:asciiTheme="minorHAnsi" w:hAnsiTheme="minorHAnsi" w:cstheme="minorBidi"/>
          <w:noProof/>
        </w:rPr>
      </w:pPr>
      <w:hyperlink w:anchor="_Toc507326042" w:history="1">
        <w:r w:rsidR="00773BB0" w:rsidRPr="0051317B">
          <w:rPr>
            <w:rStyle w:val="Hyperlink"/>
            <w:noProof/>
          </w:rPr>
          <w:t>1.8 Conceptual Framework</w:t>
        </w:r>
        <w:r w:rsidR="00773BB0">
          <w:rPr>
            <w:noProof/>
            <w:webHidden/>
          </w:rPr>
          <w:tab/>
        </w:r>
        <w:r w:rsidR="00773BB0">
          <w:rPr>
            <w:noProof/>
            <w:webHidden/>
          </w:rPr>
          <w:fldChar w:fldCharType="begin"/>
        </w:r>
        <w:r w:rsidR="00773BB0">
          <w:rPr>
            <w:noProof/>
            <w:webHidden/>
          </w:rPr>
          <w:instrText xml:space="preserve"> PAGEREF _Toc507326042 \h </w:instrText>
        </w:r>
        <w:r w:rsidR="00773BB0">
          <w:rPr>
            <w:noProof/>
            <w:webHidden/>
          </w:rPr>
        </w:r>
        <w:r w:rsidR="00773BB0">
          <w:rPr>
            <w:noProof/>
            <w:webHidden/>
          </w:rPr>
          <w:fldChar w:fldCharType="separate"/>
        </w:r>
        <w:r w:rsidR="00B55AC2">
          <w:rPr>
            <w:noProof/>
            <w:webHidden/>
          </w:rPr>
          <w:t>18</w:t>
        </w:r>
        <w:r w:rsidR="00773BB0">
          <w:rPr>
            <w:noProof/>
            <w:webHidden/>
          </w:rPr>
          <w:fldChar w:fldCharType="end"/>
        </w:r>
      </w:hyperlink>
    </w:p>
    <w:p w14:paraId="6057E635" w14:textId="77777777" w:rsidR="00773BB0" w:rsidRDefault="00EA5D91">
      <w:pPr>
        <w:pStyle w:val="TOC1"/>
        <w:tabs>
          <w:tab w:val="right" w:leader="dot" w:pos="9350"/>
        </w:tabs>
        <w:rPr>
          <w:rFonts w:asciiTheme="minorHAnsi" w:hAnsiTheme="minorHAnsi" w:cstheme="minorBidi"/>
          <w:noProof/>
        </w:rPr>
      </w:pPr>
      <w:hyperlink w:anchor="_Toc507326043" w:history="1">
        <w:r w:rsidR="00773BB0" w:rsidRPr="0051317B">
          <w:rPr>
            <w:rStyle w:val="Hyperlink"/>
            <w:noProof/>
          </w:rPr>
          <w:t>II. MEDICARE PART D USE AMONG OLDER MEDICARE BENEFICIARIES ADMITTED TO HOSPICE</w:t>
        </w:r>
        <w:r w:rsidR="00773BB0">
          <w:rPr>
            <w:noProof/>
            <w:webHidden/>
          </w:rPr>
          <w:tab/>
        </w:r>
        <w:r w:rsidR="00773BB0">
          <w:rPr>
            <w:noProof/>
            <w:webHidden/>
          </w:rPr>
          <w:fldChar w:fldCharType="begin"/>
        </w:r>
        <w:r w:rsidR="00773BB0">
          <w:rPr>
            <w:noProof/>
            <w:webHidden/>
          </w:rPr>
          <w:instrText xml:space="preserve"> PAGEREF _Toc507326043 \h </w:instrText>
        </w:r>
        <w:r w:rsidR="00773BB0">
          <w:rPr>
            <w:noProof/>
            <w:webHidden/>
          </w:rPr>
        </w:r>
        <w:r w:rsidR="00773BB0">
          <w:rPr>
            <w:noProof/>
            <w:webHidden/>
          </w:rPr>
          <w:fldChar w:fldCharType="separate"/>
        </w:r>
        <w:r w:rsidR="00B55AC2">
          <w:rPr>
            <w:noProof/>
            <w:webHidden/>
          </w:rPr>
          <w:t>21</w:t>
        </w:r>
        <w:r w:rsidR="00773BB0">
          <w:rPr>
            <w:noProof/>
            <w:webHidden/>
          </w:rPr>
          <w:fldChar w:fldCharType="end"/>
        </w:r>
      </w:hyperlink>
    </w:p>
    <w:p w14:paraId="27275AE5" w14:textId="77777777" w:rsidR="00773BB0" w:rsidRDefault="00EA5D91">
      <w:pPr>
        <w:pStyle w:val="TOC2"/>
        <w:tabs>
          <w:tab w:val="right" w:leader="dot" w:pos="9350"/>
        </w:tabs>
        <w:rPr>
          <w:rFonts w:asciiTheme="minorHAnsi" w:hAnsiTheme="minorHAnsi" w:cstheme="minorBidi"/>
          <w:noProof/>
        </w:rPr>
      </w:pPr>
      <w:hyperlink w:anchor="_Toc507326044" w:history="1">
        <w:r w:rsidR="00773BB0" w:rsidRPr="0051317B">
          <w:rPr>
            <w:rStyle w:val="Hyperlink"/>
            <w:noProof/>
          </w:rPr>
          <w:t>2.1 Preface</w:t>
        </w:r>
        <w:r w:rsidR="00773BB0">
          <w:rPr>
            <w:noProof/>
            <w:webHidden/>
          </w:rPr>
          <w:tab/>
        </w:r>
        <w:r w:rsidR="00773BB0">
          <w:rPr>
            <w:noProof/>
            <w:webHidden/>
          </w:rPr>
          <w:fldChar w:fldCharType="begin"/>
        </w:r>
        <w:r w:rsidR="00773BB0">
          <w:rPr>
            <w:noProof/>
            <w:webHidden/>
          </w:rPr>
          <w:instrText xml:space="preserve"> PAGEREF _Toc507326044 \h </w:instrText>
        </w:r>
        <w:r w:rsidR="00773BB0">
          <w:rPr>
            <w:noProof/>
            <w:webHidden/>
          </w:rPr>
        </w:r>
        <w:r w:rsidR="00773BB0">
          <w:rPr>
            <w:noProof/>
            <w:webHidden/>
          </w:rPr>
          <w:fldChar w:fldCharType="separate"/>
        </w:r>
        <w:r w:rsidR="00B55AC2">
          <w:rPr>
            <w:noProof/>
            <w:webHidden/>
          </w:rPr>
          <w:t>21</w:t>
        </w:r>
        <w:r w:rsidR="00773BB0">
          <w:rPr>
            <w:noProof/>
            <w:webHidden/>
          </w:rPr>
          <w:fldChar w:fldCharType="end"/>
        </w:r>
      </w:hyperlink>
    </w:p>
    <w:p w14:paraId="2BD6BC4A" w14:textId="77777777" w:rsidR="00773BB0" w:rsidRDefault="00EA5D91">
      <w:pPr>
        <w:pStyle w:val="TOC2"/>
        <w:tabs>
          <w:tab w:val="right" w:leader="dot" w:pos="9350"/>
        </w:tabs>
        <w:rPr>
          <w:rFonts w:asciiTheme="minorHAnsi" w:hAnsiTheme="minorHAnsi" w:cstheme="minorBidi"/>
          <w:noProof/>
        </w:rPr>
      </w:pPr>
      <w:hyperlink w:anchor="_Toc507326045" w:history="1">
        <w:r w:rsidR="00773BB0" w:rsidRPr="0051317B">
          <w:rPr>
            <w:rStyle w:val="Hyperlink"/>
            <w:noProof/>
          </w:rPr>
          <w:t>2.2 Introduction</w:t>
        </w:r>
        <w:r w:rsidR="00773BB0">
          <w:rPr>
            <w:noProof/>
            <w:webHidden/>
          </w:rPr>
          <w:tab/>
        </w:r>
        <w:r w:rsidR="00773BB0">
          <w:rPr>
            <w:noProof/>
            <w:webHidden/>
          </w:rPr>
          <w:fldChar w:fldCharType="begin"/>
        </w:r>
        <w:r w:rsidR="00773BB0">
          <w:rPr>
            <w:noProof/>
            <w:webHidden/>
          </w:rPr>
          <w:instrText xml:space="preserve"> PAGEREF _Toc507326045 \h </w:instrText>
        </w:r>
        <w:r w:rsidR="00773BB0">
          <w:rPr>
            <w:noProof/>
            <w:webHidden/>
          </w:rPr>
        </w:r>
        <w:r w:rsidR="00773BB0">
          <w:rPr>
            <w:noProof/>
            <w:webHidden/>
          </w:rPr>
          <w:fldChar w:fldCharType="separate"/>
        </w:r>
        <w:r w:rsidR="00B55AC2">
          <w:rPr>
            <w:noProof/>
            <w:webHidden/>
          </w:rPr>
          <w:t>21</w:t>
        </w:r>
        <w:r w:rsidR="00773BB0">
          <w:rPr>
            <w:noProof/>
            <w:webHidden/>
          </w:rPr>
          <w:fldChar w:fldCharType="end"/>
        </w:r>
      </w:hyperlink>
    </w:p>
    <w:p w14:paraId="68022617" w14:textId="77777777" w:rsidR="00773BB0" w:rsidRDefault="00EA5D91">
      <w:pPr>
        <w:pStyle w:val="TOC2"/>
        <w:tabs>
          <w:tab w:val="right" w:leader="dot" w:pos="9350"/>
        </w:tabs>
        <w:rPr>
          <w:rFonts w:asciiTheme="minorHAnsi" w:hAnsiTheme="minorHAnsi" w:cstheme="minorBidi"/>
          <w:noProof/>
        </w:rPr>
      </w:pPr>
      <w:hyperlink w:anchor="_Toc507326046" w:history="1">
        <w:r w:rsidR="00773BB0" w:rsidRPr="0051317B">
          <w:rPr>
            <w:rStyle w:val="Hyperlink"/>
            <w:noProof/>
          </w:rPr>
          <w:t>2.3 Methods</w:t>
        </w:r>
        <w:r w:rsidR="00773BB0">
          <w:rPr>
            <w:noProof/>
            <w:webHidden/>
          </w:rPr>
          <w:tab/>
        </w:r>
        <w:r w:rsidR="00773BB0">
          <w:rPr>
            <w:noProof/>
            <w:webHidden/>
          </w:rPr>
          <w:fldChar w:fldCharType="begin"/>
        </w:r>
        <w:r w:rsidR="00773BB0">
          <w:rPr>
            <w:noProof/>
            <w:webHidden/>
          </w:rPr>
          <w:instrText xml:space="preserve"> PAGEREF _Toc507326046 \h </w:instrText>
        </w:r>
        <w:r w:rsidR="00773BB0">
          <w:rPr>
            <w:noProof/>
            <w:webHidden/>
          </w:rPr>
        </w:r>
        <w:r w:rsidR="00773BB0">
          <w:rPr>
            <w:noProof/>
            <w:webHidden/>
          </w:rPr>
          <w:fldChar w:fldCharType="separate"/>
        </w:r>
        <w:r w:rsidR="00B55AC2">
          <w:rPr>
            <w:noProof/>
            <w:webHidden/>
          </w:rPr>
          <w:t>23</w:t>
        </w:r>
        <w:r w:rsidR="00773BB0">
          <w:rPr>
            <w:noProof/>
            <w:webHidden/>
          </w:rPr>
          <w:fldChar w:fldCharType="end"/>
        </w:r>
      </w:hyperlink>
    </w:p>
    <w:p w14:paraId="357C3DF0" w14:textId="77777777" w:rsidR="00773BB0" w:rsidRDefault="00EA5D91">
      <w:pPr>
        <w:pStyle w:val="TOC3"/>
        <w:tabs>
          <w:tab w:val="right" w:leader="dot" w:pos="9350"/>
        </w:tabs>
        <w:rPr>
          <w:rFonts w:asciiTheme="minorHAnsi" w:hAnsiTheme="minorHAnsi" w:cstheme="minorBidi"/>
          <w:noProof/>
        </w:rPr>
      </w:pPr>
      <w:hyperlink w:anchor="_Toc507326047" w:history="1">
        <w:r w:rsidR="00773BB0" w:rsidRPr="0051317B">
          <w:rPr>
            <w:rStyle w:val="Hyperlink"/>
            <w:noProof/>
          </w:rPr>
          <w:t>2.3.1 Data Source and Study Population</w:t>
        </w:r>
        <w:r w:rsidR="00773BB0">
          <w:rPr>
            <w:noProof/>
            <w:webHidden/>
          </w:rPr>
          <w:tab/>
        </w:r>
        <w:r w:rsidR="00773BB0">
          <w:rPr>
            <w:noProof/>
            <w:webHidden/>
          </w:rPr>
          <w:fldChar w:fldCharType="begin"/>
        </w:r>
        <w:r w:rsidR="00773BB0">
          <w:rPr>
            <w:noProof/>
            <w:webHidden/>
          </w:rPr>
          <w:instrText xml:space="preserve"> PAGEREF _Toc507326047 \h </w:instrText>
        </w:r>
        <w:r w:rsidR="00773BB0">
          <w:rPr>
            <w:noProof/>
            <w:webHidden/>
          </w:rPr>
        </w:r>
        <w:r w:rsidR="00773BB0">
          <w:rPr>
            <w:noProof/>
            <w:webHidden/>
          </w:rPr>
          <w:fldChar w:fldCharType="separate"/>
        </w:r>
        <w:r w:rsidR="00B55AC2">
          <w:rPr>
            <w:noProof/>
            <w:webHidden/>
          </w:rPr>
          <w:t>23</w:t>
        </w:r>
        <w:r w:rsidR="00773BB0">
          <w:rPr>
            <w:noProof/>
            <w:webHidden/>
          </w:rPr>
          <w:fldChar w:fldCharType="end"/>
        </w:r>
      </w:hyperlink>
    </w:p>
    <w:p w14:paraId="7A60E425" w14:textId="77777777" w:rsidR="00773BB0" w:rsidRDefault="00EA5D91">
      <w:pPr>
        <w:pStyle w:val="TOC3"/>
        <w:tabs>
          <w:tab w:val="right" w:leader="dot" w:pos="9350"/>
        </w:tabs>
        <w:rPr>
          <w:rFonts w:asciiTheme="minorHAnsi" w:hAnsiTheme="minorHAnsi" w:cstheme="minorBidi"/>
          <w:noProof/>
        </w:rPr>
      </w:pPr>
      <w:hyperlink w:anchor="_Toc507326048" w:history="1">
        <w:r w:rsidR="00773BB0" w:rsidRPr="0051317B">
          <w:rPr>
            <w:rStyle w:val="Hyperlink"/>
            <w:noProof/>
          </w:rPr>
          <w:t>2.3.2 Medications Dispensed Through Medicare Part D</w:t>
        </w:r>
        <w:r w:rsidR="00773BB0">
          <w:rPr>
            <w:noProof/>
            <w:webHidden/>
          </w:rPr>
          <w:tab/>
        </w:r>
        <w:r w:rsidR="00773BB0">
          <w:rPr>
            <w:noProof/>
            <w:webHidden/>
          </w:rPr>
          <w:fldChar w:fldCharType="begin"/>
        </w:r>
        <w:r w:rsidR="00773BB0">
          <w:rPr>
            <w:noProof/>
            <w:webHidden/>
          </w:rPr>
          <w:instrText xml:space="preserve"> PAGEREF _Toc507326048 \h </w:instrText>
        </w:r>
        <w:r w:rsidR="00773BB0">
          <w:rPr>
            <w:noProof/>
            <w:webHidden/>
          </w:rPr>
        </w:r>
        <w:r w:rsidR="00773BB0">
          <w:rPr>
            <w:noProof/>
            <w:webHidden/>
          </w:rPr>
          <w:fldChar w:fldCharType="separate"/>
        </w:r>
        <w:r w:rsidR="00B55AC2">
          <w:rPr>
            <w:noProof/>
            <w:webHidden/>
          </w:rPr>
          <w:t>24</w:t>
        </w:r>
        <w:r w:rsidR="00773BB0">
          <w:rPr>
            <w:noProof/>
            <w:webHidden/>
          </w:rPr>
          <w:fldChar w:fldCharType="end"/>
        </w:r>
      </w:hyperlink>
    </w:p>
    <w:p w14:paraId="721D55FA" w14:textId="77777777" w:rsidR="00773BB0" w:rsidRDefault="00EA5D91">
      <w:pPr>
        <w:pStyle w:val="TOC3"/>
        <w:tabs>
          <w:tab w:val="right" w:leader="dot" w:pos="9350"/>
        </w:tabs>
        <w:rPr>
          <w:rFonts w:asciiTheme="minorHAnsi" w:hAnsiTheme="minorHAnsi" w:cstheme="minorBidi"/>
          <w:noProof/>
        </w:rPr>
      </w:pPr>
      <w:hyperlink w:anchor="_Toc507326049" w:history="1">
        <w:r w:rsidR="00773BB0" w:rsidRPr="0051317B">
          <w:rPr>
            <w:rStyle w:val="Hyperlink"/>
            <w:noProof/>
          </w:rPr>
          <w:t>2.3.3 Statistical Analysis</w:t>
        </w:r>
        <w:r w:rsidR="00773BB0">
          <w:rPr>
            <w:noProof/>
            <w:webHidden/>
          </w:rPr>
          <w:tab/>
        </w:r>
        <w:r w:rsidR="00773BB0">
          <w:rPr>
            <w:noProof/>
            <w:webHidden/>
          </w:rPr>
          <w:fldChar w:fldCharType="begin"/>
        </w:r>
        <w:r w:rsidR="00773BB0">
          <w:rPr>
            <w:noProof/>
            <w:webHidden/>
          </w:rPr>
          <w:instrText xml:space="preserve"> PAGEREF _Toc507326049 \h </w:instrText>
        </w:r>
        <w:r w:rsidR="00773BB0">
          <w:rPr>
            <w:noProof/>
            <w:webHidden/>
          </w:rPr>
        </w:r>
        <w:r w:rsidR="00773BB0">
          <w:rPr>
            <w:noProof/>
            <w:webHidden/>
          </w:rPr>
          <w:fldChar w:fldCharType="separate"/>
        </w:r>
        <w:r w:rsidR="00B55AC2">
          <w:rPr>
            <w:noProof/>
            <w:webHidden/>
          </w:rPr>
          <w:t>24</w:t>
        </w:r>
        <w:r w:rsidR="00773BB0">
          <w:rPr>
            <w:noProof/>
            <w:webHidden/>
          </w:rPr>
          <w:fldChar w:fldCharType="end"/>
        </w:r>
      </w:hyperlink>
    </w:p>
    <w:p w14:paraId="6A783F72" w14:textId="77777777" w:rsidR="00773BB0" w:rsidRDefault="00EA5D91">
      <w:pPr>
        <w:pStyle w:val="TOC2"/>
        <w:tabs>
          <w:tab w:val="right" w:leader="dot" w:pos="9350"/>
        </w:tabs>
        <w:rPr>
          <w:rFonts w:asciiTheme="minorHAnsi" w:hAnsiTheme="minorHAnsi" w:cstheme="minorBidi"/>
          <w:noProof/>
        </w:rPr>
      </w:pPr>
      <w:hyperlink w:anchor="_Toc507326050" w:history="1">
        <w:r w:rsidR="00773BB0" w:rsidRPr="0051317B">
          <w:rPr>
            <w:rStyle w:val="Hyperlink"/>
            <w:noProof/>
          </w:rPr>
          <w:t>2.4 Results</w:t>
        </w:r>
        <w:r w:rsidR="00773BB0">
          <w:rPr>
            <w:noProof/>
            <w:webHidden/>
          </w:rPr>
          <w:tab/>
        </w:r>
        <w:r w:rsidR="00773BB0">
          <w:rPr>
            <w:noProof/>
            <w:webHidden/>
          </w:rPr>
          <w:fldChar w:fldCharType="begin"/>
        </w:r>
        <w:r w:rsidR="00773BB0">
          <w:rPr>
            <w:noProof/>
            <w:webHidden/>
          </w:rPr>
          <w:instrText xml:space="preserve"> PAGEREF _Toc507326050 \h </w:instrText>
        </w:r>
        <w:r w:rsidR="00773BB0">
          <w:rPr>
            <w:noProof/>
            <w:webHidden/>
          </w:rPr>
        </w:r>
        <w:r w:rsidR="00773BB0">
          <w:rPr>
            <w:noProof/>
            <w:webHidden/>
          </w:rPr>
          <w:fldChar w:fldCharType="separate"/>
        </w:r>
        <w:r w:rsidR="00B55AC2">
          <w:rPr>
            <w:noProof/>
            <w:webHidden/>
          </w:rPr>
          <w:t>27</w:t>
        </w:r>
        <w:r w:rsidR="00773BB0">
          <w:rPr>
            <w:noProof/>
            <w:webHidden/>
          </w:rPr>
          <w:fldChar w:fldCharType="end"/>
        </w:r>
      </w:hyperlink>
    </w:p>
    <w:p w14:paraId="2226DA59" w14:textId="77777777" w:rsidR="00773BB0" w:rsidRDefault="00EA5D91">
      <w:pPr>
        <w:pStyle w:val="TOC2"/>
        <w:tabs>
          <w:tab w:val="right" w:leader="dot" w:pos="9350"/>
        </w:tabs>
        <w:rPr>
          <w:rFonts w:asciiTheme="minorHAnsi" w:hAnsiTheme="minorHAnsi" w:cstheme="minorBidi"/>
          <w:noProof/>
        </w:rPr>
      </w:pPr>
      <w:hyperlink w:anchor="_Toc507326051" w:history="1">
        <w:r w:rsidR="00773BB0" w:rsidRPr="0051317B">
          <w:rPr>
            <w:rStyle w:val="Hyperlink"/>
            <w:noProof/>
          </w:rPr>
          <w:t>2.5 Discussion</w:t>
        </w:r>
        <w:r w:rsidR="00773BB0">
          <w:rPr>
            <w:noProof/>
            <w:webHidden/>
          </w:rPr>
          <w:tab/>
        </w:r>
        <w:r w:rsidR="00773BB0">
          <w:rPr>
            <w:noProof/>
            <w:webHidden/>
          </w:rPr>
          <w:fldChar w:fldCharType="begin"/>
        </w:r>
        <w:r w:rsidR="00773BB0">
          <w:rPr>
            <w:noProof/>
            <w:webHidden/>
          </w:rPr>
          <w:instrText xml:space="preserve"> PAGEREF _Toc507326051 \h </w:instrText>
        </w:r>
        <w:r w:rsidR="00773BB0">
          <w:rPr>
            <w:noProof/>
            <w:webHidden/>
          </w:rPr>
        </w:r>
        <w:r w:rsidR="00773BB0">
          <w:rPr>
            <w:noProof/>
            <w:webHidden/>
          </w:rPr>
          <w:fldChar w:fldCharType="separate"/>
        </w:r>
        <w:r w:rsidR="00B55AC2">
          <w:rPr>
            <w:noProof/>
            <w:webHidden/>
          </w:rPr>
          <w:t>39</w:t>
        </w:r>
        <w:r w:rsidR="00773BB0">
          <w:rPr>
            <w:noProof/>
            <w:webHidden/>
          </w:rPr>
          <w:fldChar w:fldCharType="end"/>
        </w:r>
      </w:hyperlink>
    </w:p>
    <w:p w14:paraId="47934B51" w14:textId="77777777" w:rsidR="00773BB0" w:rsidRDefault="00EA5D91">
      <w:pPr>
        <w:pStyle w:val="TOC2"/>
        <w:tabs>
          <w:tab w:val="right" w:leader="dot" w:pos="9350"/>
        </w:tabs>
        <w:rPr>
          <w:rFonts w:asciiTheme="minorHAnsi" w:hAnsiTheme="minorHAnsi" w:cstheme="minorBidi"/>
          <w:noProof/>
        </w:rPr>
      </w:pPr>
      <w:hyperlink w:anchor="_Toc507326052" w:history="1">
        <w:r w:rsidR="00773BB0" w:rsidRPr="0051317B">
          <w:rPr>
            <w:rStyle w:val="Hyperlink"/>
            <w:noProof/>
          </w:rPr>
          <w:t>2.6 Conclusion</w:t>
        </w:r>
        <w:r w:rsidR="00773BB0">
          <w:rPr>
            <w:noProof/>
            <w:webHidden/>
          </w:rPr>
          <w:tab/>
        </w:r>
        <w:r w:rsidR="00773BB0">
          <w:rPr>
            <w:noProof/>
            <w:webHidden/>
          </w:rPr>
          <w:fldChar w:fldCharType="begin"/>
        </w:r>
        <w:r w:rsidR="00773BB0">
          <w:rPr>
            <w:noProof/>
            <w:webHidden/>
          </w:rPr>
          <w:instrText xml:space="preserve"> PAGEREF _Toc507326052 \h </w:instrText>
        </w:r>
        <w:r w:rsidR="00773BB0">
          <w:rPr>
            <w:noProof/>
            <w:webHidden/>
          </w:rPr>
        </w:r>
        <w:r w:rsidR="00773BB0">
          <w:rPr>
            <w:noProof/>
            <w:webHidden/>
          </w:rPr>
          <w:fldChar w:fldCharType="separate"/>
        </w:r>
        <w:r w:rsidR="00B55AC2">
          <w:rPr>
            <w:noProof/>
            <w:webHidden/>
          </w:rPr>
          <w:t>43</w:t>
        </w:r>
        <w:r w:rsidR="00773BB0">
          <w:rPr>
            <w:noProof/>
            <w:webHidden/>
          </w:rPr>
          <w:fldChar w:fldCharType="end"/>
        </w:r>
      </w:hyperlink>
    </w:p>
    <w:p w14:paraId="78BD4B19" w14:textId="77777777" w:rsidR="00773BB0" w:rsidRDefault="00EA5D91">
      <w:pPr>
        <w:pStyle w:val="TOC1"/>
        <w:tabs>
          <w:tab w:val="right" w:leader="dot" w:pos="9350"/>
        </w:tabs>
        <w:rPr>
          <w:rFonts w:asciiTheme="minorHAnsi" w:hAnsiTheme="minorHAnsi" w:cstheme="minorBidi"/>
          <w:noProof/>
        </w:rPr>
      </w:pPr>
      <w:hyperlink w:anchor="_Toc507326053" w:history="1">
        <w:r w:rsidR="00773BB0" w:rsidRPr="0051317B">
          <w:rPr>
            <w:rStyle w:val="Hyperlink"/>
            <w:noProof/>
          </w:rPr>
          <w:t>III.</w:t>
        </w:r>
        <w:r w:rsidR="00773BB0" w:rsidRPr="0051317B">
          <w:rPr>
            <w:rStyle w:val="Hyperlink"/>
            <w:caps/>
            <w:noProof/>
          </w:rPr>
          <w:t xml:space="preserve"> Continuation of Medications with Limited Benefit in Older Hospice Patients</w:t>
        </w:r>
        <w:r w:rsidR="00773BB0">
          <w:rPr>
            <w:noProof/>
            <w:webHidden/>
          </w:rPr>
          <w:tab/>
        </w:r>
        <w:r w:rsidR="00773BB0">
          <w:rPr>
            <w:noProof/>
            <w:webHidden/>
          </w:rPr>
          <w:fldChar w:fldCharType="begin"/>
        </w:r>
        <w:r w:rsidR="00773BB0">
          <w:rPr>
            <w:noProof/>
            <w:webHidden/>
          </w:rPr>
          <w:instrText xml:space="preserve"> PAGEREF _Toc507326053 \h </w:instrText>
        </w:r>
        <w:r w:rsidR="00773BB0">
          <w:rPr>
            <w:noProof/>
            <w:webHidden/>
          </w:rPr>
        </w:r>
        <w:r w:rsidR="00773BB0">
          <w:rPr>
            <w:noProof/>
            <w:webHidden/>
          </w:rPr>
          <w:fldChar w:fldCharType="separate"/>
        </w:r>
        <w:r w:rsidR="00B55AC2">
          <w:rPr>
            <w:noProof/>
            <w:webHidden/>
          </w:rPr>
          <w:t>44</w:t>
        </w:r>
        <w:r w:rsidR="00773BB0">
          <w:rPr>
            <w:noProof/>
            <w:webHidden/>
          </w:rPr>
          <w:fldChar w:fldCharType="end"/>
        </w:r>
      </w:hyperlink>
    </w:p>
    <w:p w14:paraId="10F6F4C6" w14:textId="77777777" w:rsidR="00773BB0" w:rsidRDefault="00EA5D91">
      <w:pPr>
        <w:pStyle w:val="TOC2"/>
        <w:tabs>
          <w:tab w:val="right" w:leader="dot" w:pos="9350"/>
        </w:tabs>
        <w:rPr>
          <w:rFonts w:asciiTheme="minorHAnsi" w:hAnsiTheme="minorHAnsi" w:cstheme="minorBidi"/>
          <w:noProof/>
        </w:rPr>
      </w:pPr>
      <w:hyperlink w:anchor="_Toc507326054" w:history="1">
        <w:r w:rsidR="00773BB0" w:rsidRPr="0051317B">
          <w:rPr>
            <w:rStyle w:val="Hyperlink"/>
            <w:noProof/>
          </w:rPr>
          <w:t>3.1 Preface</w:t>
        </w:r>
        <w:r w:rsidR="00773BB0">
          <w:rPr>
            <w:noProof/>
            <w:webHidden/>
          </w:rPr>
          <w:tab/>
        </w:r>
        <w:r w:rsidR="00773BB0">
          <w:rPr>
            <w:noProof/>
            <w:webHidden/>
          </w:rPr>
          <w:fldChar w:fldCharType="begin"/>
        </w:r>
        <w:r w:rsidR="00773BB0">
          <w:rPr>
            <w:noProof/>
            <w:webHidden/>
          </w:rPr>
          <w:instrText xml:space="preserve"> PAGEREF _Toc507326054 \h </w:instrText>
        </w:r>
        <w:r w:rsidR="00773BB0">
          <w:rPr>
            <w:noProof/>
            <w:webHidden/>
          </w:rPr>
        </w:r>
        <w:r w:rsidR="00773BB0">
          <w:rPr>
            <w:noProof/>
            <w:webHidden/>
          </w:rPr>
          <w:fldChar w:fldCharType="separate"/>
        </w:r>
        <w:r w:rsidR="00B55AC2">
          <w:rPr>
            <w:noProof/>
            <w:webHidden/>
          </w:rPr>
          <w:t>44</w:t>
        </w:r>
        <w:r w:rsidR="00773BB0">
          <w:rPr>
            <w:noProof/>
            <w:webHidden/>
          </w:rPr>
          <w:fldChar w:fldCharType="end"/>
        </w:r>
      </w:hyperlink>
    </w:p>
    <w:p w14:paraId="6D18F89D" w14:textId="77777777" w:rsidR="00773BB0" w:rsidRDefault="00EA5D91">
      <w:pPr>
        <w:pStyle w:val="TOC2"/>
        <w:tabs>
          <w:tab w:val="right" w:leader="dot" w:pos="9350"/>
        </w:tabs>
        <w:rPr>
          <w:rFonts w:asciiTheme="minorHAnsi" w:hAnsiTheme="minorHAnsi" w:cstheme="minorBidi"/>
          <w:noProof/>
        </w:rPr>
      </w:pPr>
      <w:hyperlink w:anchor="_Toc507326055" w:history="1">
        <w:r w:rsidR="00773BB0" w:rsidRPr="0051317B">
          <w:rPr>
            <w:rStyle w:val="Hyperlink"/>
            <w:noProof/>
          </w:rPr>
          <w:t>3.2 Introduction</w:t>
        </w:r>
        <w:r w:rsidR="00773BB0">
          <w:rPr>
            <w:noProof/>
            <w:webHidden/>
          </w:rPr>
          <w:tab/>
        </w:r>
        <w:r w:rsidR="00773BB0">
          <w:rPr>
            <w:noProof/>
            <w:webHidden/>
          </w:rPr>
          <w:fldChar w:fldCharType="begin"/>
        </w:r>
        <w:r w:rsidR="00773BB0">
          <w:rPr>
            <w:noProof/>
            <w:webHidden/>
          </w:rPr>
          <w:instrText xml:space="preserve"> PAGEREF _Toc507326055 \h </w:instrText>
        </w:r>
        <w:r w:rsidR="00773BB0">
          <w:rPr>
            <w:noProof/>
            <w:webHidden/>
          </w:rPr>
        </w:r>
        <w:r w:rsidR="00773BB0">
          <w:rPr>
            <w:noProof/>
            <w:webHidden/>
          </w:rPr>
          <w:fldChar w:fldCharType="separate"/>
        </w:r>
        <w:r w:rsidR="00B55AC2">
          <w:rPr>
            <w:noProof/>
            <w:webHidden/>
          </w:rPr>
          <w:t>44</w:t>
        </w:r>
        <w:r w:rsidR="00773BB0">
          <w:rPr>
            <w:noProof/>
            <w:webHidden/>
          </w:rPr>
          <w:fldChar w:fldCharType="end"/>
        </w:r>
      </w:hyperlink>
    </w:p>
    <w:p w14:paraId="72069113" w14:textId="77777777" w:rsidR="00773BB0" w:rsidRDefault="00EA5D91">
      <w:pPr>
        <w:pStyle w:val="TOC2"/>
        <w:tabs>
          <w:tab w:val="right" w:leader="dot" w:pos="9350"/>
        </w:tabs>
        <w:rPr>
          <w:rFonts w:asciiTheme="minorHAnsi" w:hAnsiTheme="minorHAnsi" w:cstheme="minorBidi"/>
          <w:noProof/>
        </w:rPr>
      </w:pPr>
      <w:hyperlink w:anchor="_Toc507326056" w:history="1">
        <w:r w:rsidR="00773BB0" w:rsidRPr="0051317B">
          <w:rPr>
            <w:rStyle w:val="Hyperlink"/>
            <w:noProof/>
          </w:rPr>
          <w:t>3.3 Methods</w:t>
        </w:r>
        <w:r w:rsidR="00773BB0">
          <w:rPr>
            <w:noProof/>
            <w:webHidden/>
          </w:rPr>
          <w:tab/>
        </w:r>
        <w:r w:rsidR="00773BB0">
          <w:rPr>
            <w:noProof/>
            <w:webHidden/>
          </w:rPr>
          <w:fldChar w:fldCharType="begin"/>
        </w:r>
        <w:r w:rsidR="00773BB0">
          <w:rPr>
            <w:noProof/>
            <w:webHidden/>
          </w:rPr>
          <w:instrText xml:space="preserve"> PAGEREF _Toc507326056 \h </w:instrText>
        </w:r>
        <w:r w:rsidR="00773BB0">
          <w:rPr>
            <w:noProof/>
            <w:webHidden/>
          </w:rPr>
        </w:r>
        <w:r w:rsidR="00773BB0">
          <w:rPr>
            <w:noProof/>
            <w:webHidden/>
          </w:rPr>
          <w:fldChar w:fldCharType="separate"/>
        </w:r>
        <w:r w:rsidR="00B55AC2">
          <w:rPr>
            <w:noProof/>
            <w:webHidden/>
          </w:rPr>
          <w:t>45</w:t>
        </w:r>
        <w:r w:rsidR="00773BB0">
          <w:rPr>
            <w:noProof/>
            <w:webHidden/>
          </w:rPr>
          <w:fldChar w:fldCharType="end"/>
        </w:r>
      </w:hyperlink>
    </w:p>
    <w:p w14:paraId="00F8716E" w14:textId="77777777" w:rsidR="00773BB0" w:rsidRDefault="00EA5D91">
      <w:pPr>
        <w:pStyle w:val="TOC3"/>
        <w:tabs>
          <w:tab w:val="right" w:leader="dot" w:pos="9350"/>
        </w:tabs>
        <w:rPr>
          <w:rFonts w:asciiTheme="minorHAnsi" w:hAnsiTheme="minorHAnsi" w:cstheme="minorBidi"/>
          <w:noProof/>
        </w:rPr>
      </w:pPr>
      <w:hyperlink w:anchor="_Toc507326057" w:history="1">
        <w:r w:rsidR="00773BB0" w:rsidRPr="0051317B">
          <w:rPr>
            <w:rStyle w:val="Hyperlink"/>
            <w:noProof/>
          </w:rPr>
          <w:t>3.3.1 Data Source and Study Population</w:t>
        </w:r>
        <w:r w:rsidR="00773BB0">
          <w:rPr>
            <w:noProof/>
            <w:webHidden/>
          </w:rPr>
          <w:tab/>
        </w:r>
        <w:r w:rsidR="00773BB0">
          <w:rPr>
            <w:noProof/>
            <w:webHidden/>
          </w:rPr>
          <w:fldChar w:fldCharType="begin"/>
        </w:r>
        <w:r w:rsidR="00773BB0">
          <w:rPr>
            <w:noProof/>
            <w:webHidden/>
          </w:rPr>
          <w:instrText xml:space="preserve"> PAGEREF _Toc507326057 \h </w:instrText>
        </w:r>
        <w:r w:rsidR="00773BB0">
          <w:rPr>
            <w:noProof/>
            <w:webHidden/>
          </w:rPr>
        </w:r>
        <w:r w:rsidR="00773BB0">
          <w:rPr>
            <w:noProof/>
            <w:webHidden/>
          </w:rPr>
          <w:fldChar w:fldCharType="separate"/>
        </w:r>
        <w:r w:rsidR="00B55AC2">
          <w:rPr>
            <w:noProof/>
            <w:webHidden/>
          </w:rPr>
          <w:t>45</w:t>
        </w:r>
        <w:r w:rsidR="00773BB0">
          <w:rPr>
            <w:noProof/>
            <w:webHidden/>
          </w:rPr>
          <w:fldChar w:fldCharType="end"/>
        </w:r>
      </w:hyperlink>
    </w:p>
    <w:p w14:paraId="56242F40" w14:textId="77777777" w:rsidR="00773BB0" w:rsidRDefault="00EA5D91">
      <w:pPr>
        <w:pStyle w:val="TOC3"/>
        <w:tabs>
          <w:tab w:val="right" w:leader="dot" w:pos="9350"/>
        </w:tabs>
        <w:rPr>
          <w:rFonts w:asciiTheme="minorHAnsi" w:hAnsiTheme="minorHAnsi" w:cstheme="minorBidi"/>
          <w:noProof/>
        </w:rPr>
      </w:pPr>
      <w:hyperlink w:anchor="_Toc507326058" w:history="1">
        <w:r w:rsidR="00773BB0" w:rsidRPr="0051317B">
          <w:rPr>
            <w:rStyle w:val="Hyperlink"/>
            <w:noProof/>
          </w:rPr>
          <w:t>3.3.2 Preventative Medications with Limited Benefit Definition</w:t>
        </w:r>
        <w:r w:rsidR="00773BB0">
          <w:rPr>
            <w:noProof/>
            <w:webHidden/>
          </w:rPr>
          <w:tab/>
        </w:r>
        <w:r w:rsidR="00773BB0">
          <w:rPr>
            <w:noProof/>
            <w:webHidden/>
          </w:rPr>
          <w:fldChar w:fldCharType="begin"/>
        </w:r>
        <w:r w:rsidR="00773BB0">
          <w:rPr>
            <w:noProof/>
            <w:webHidden/>
          </w:rPr>
          <w:instrText xml:space="preserve"> PAGEREF _Toc507326058 \h </w:instrText>
        </w:r>
        <w:r w:rsidR="00773BB0">
          <w:rPr>
            <w:noProof/>
            <w:webHidden/>
          </w:rPr>
        </w:r>
        <w:r w:rsidR="00773BB0">
          <w:rPr>
            <w:noProof/>
            <w:webHidden/>
          </w:rPr>
          <w:fldChar w:fldCharType="separate"/>
        </w:r>
        <w:r w:rsidR="00B55AC2">
          <w:rPr>
            <w:noProof/>
            <w:webHidden/>
          </w:rPr>
          <w:t>46</w:t>
        </w:r>
        <w:r w:rsidR="00773BB0">
          <w:rPr>
            <w:noProof/>
            <w:webHidden/>
          </w:rPr>
          <w:fldChar w:fldCharType="end"/>
        </w:r>
      </w:hyperlink>
    </w:p>
    <w:p w14:paraId="45357D1F" w14:textId="77777777" w:rsidR="00773BB0" w:rsidRDefault="00EA5D91">
      <w:pPr>
        <w:pStyle w:val="TOC3"/>
        <w:tabs>
          <w:tab w:val="right" w:leader="dot" w:pos="9350"/>
        </w:tabs>
        <w:rPr>
          <w:rFonts w:asciiTheme="minorHAnsi" w:hAnsiTheme="minorHAnsi" w:cstheme="minorBidi"/>
          <w:noProof/>
        </w:rPr>
      </w:pPr>
      <w:hyperlink w:anchor="_Toc507326059" w:history="1">
        <w:r w:rsidR="00773BB0" w:rsidRPr="0051317B">
          <w:rPr>
            <w:rStyle w:val="Hyperlink"/>
            <w:noProof/>
          </w:rPr>
          <w:t>3.3.3 Limited Benefit Medication Use</w:t>
        </w:r>
        <w:r w:rsidR="00773BB0">
          <w:rPr>
            <w:noProof/>
            <w:webHidden/>
          </w:rPr>
          <w:tab/>
        </w:r>
        <w:r w:rsidR="00773BB0">
          <w:rPr>
            <w:noProof/>
            <w:webHidden/>
          </w:rPr>
          <w:fldChar w:fldCharType="begin"/>
        </w:r>
        <w:r w:rsidR="00773BB0">
          <w:rPr>
            <w:noProof/>
            <w:webHidden/>
          </w:rPr>
          <w:instrText xml:space="preserve"> PAGEREF _Toc507326059 \h </w:instrText>
        </w:r>
        <w:r w:rsidR="00773BB0">
          <w:rPr>
            <w:noProof/>
            <w:webHidden/>
          </w:rPr>
        </w:r>
        <w:r w:rsidR="00773BB0">
          <w:rPr>
            <w:noProof/>
            <w:webHidden/>
          </w:rPr>
          <w:fldChar w:fldCharType="separate"/>
        </w:r>
        <w:r w:rsidR="00B55AC2">
          <w:rPr>
            <w:noProof/>
            <w:webHidden/>
          </w:rPr>
          <w:t>48</w:t>
        </w:r>
        <w:r w:rsidR="00773BB0">
          <w:rPr>
            <w:noProof/>
            <w:webHidden/>
          </w:rPr>
          <w:fldChar w:fldCharType="end"/>
        </w:r>
      </w:hyperlink>
    </w:p>
    <w:p w14:paraId="300DEF85" w14:textId="77777777" w:rsidR="00773BB0" w:rsidRDefault="00EA5D91">
      <w:pPr>
        <w:pStyle w:val="TOC3"/>
        <w:tabs>
          <w:tab w:val="right" w:leader="dot" w:pos="9350"/>
        </w:tabs>
        <w:rPr>
          <w:rFonts w:asciiTheme="minorHAnsi" w:hAnsiTheme="minorHAnsi" w:cstheme="minorBidi"/>
          <w:noProof/>
        </w:rPr>
      </w:pPr>
      <w:hyperlink w:anchor="_Toc507326060" w:history="1">
        <w:r w:rsidR="00773BB0" w:rsidRPr="0051317B">
          <w:rPr>
            <w:rStyle w:val="Hyperlink"/>
            <w:noProof/>
          </w:rPr>
          <w:t>3.3.4 Statistical Analysis</w:t>
        </w:r>
        <w:r w:rsidR="00773BB0">
          <w:rPr>
            <w:noProof/>
            <w:webHidden/>
          </w:rPr>
          <w:tab/>
        </w:r>
        <w:r w:rsidR="00773BB0">
          <w:rPr>
            <w:noProof/>
            <w:webHidden/>
          </w:rPr>
          <w:fldChar w:fldCharType="begin"/>
        </w:r>
        <w:r w:rsidR="00773BB0">
          <w:rPr>
            <w:noProof/>
            <w:webHidden/>
          </w:rPr>
          <w:instrText xml:space="preserve"> PAGEREF _Toc507326060 \h </w:instrText>
        </w:r>
        <w:r w:rsidR="00773BB0">
          <w:rPr>
            <w:noProof/>
            <w:webHidden/>
          </w:rPr>
        </w:r>
        <w:r w:rsidR="00773BB0">
          <w:rPr>
            <w:noProof/>
            <w:webHidden/>
          </w:rPr>
          <w:fldChar w:fldCharType="separate"/>
        </w:r>
        <w:r w:rsidR="00B55AC2">
          <w:rPr>
            <w:noProof/>
            <w:webHidden/>
          </w:rPr>
          <w:t>48</w:t>
        </w:r>
        <w:r w:rsidR="00773BB0">
          <w:rPr>
            <w:noProof/>
            <w:webHidden/>
          </w:rPr>
          <w:fldChar w:fldCharType="end"/>
        </w:r>
      </w:hyperlink>
    </w:p>
    <w:p w14:paraId="21AA9251" w14:textId="77777777" w:rsidR="00773BB0" w:rsidRDefault="00EA5D91">
      <w:pPr>
        <w:pStyle w:val="TOC2"/>
        <w:tabs>
          <w:tab w:val="right" w:leader="dot" w:pos="9350"/>
        </w:tabs>
        <w:rPr>
          <w:rFonts w:asciiTheme="minorHAnsi" w:hAnsiTheme="minorHAnsi" w:cstheme="minorBidi"/>
          <w:noProof/>
        </w:rPr>
      </w:pPr>
      <w:hyperlink w:anchor="_Toc507326061" w:history="1">
        <w:r w:rsidR="00773BB0" w:rsidRPr="0051317B">
          <w:rPr>
            <w:rStyle w:val="Hyperlink"/>
            <w:noProof/>
          </w:rPr>
          <w:t>3.4 Results</w:t>
        </w:r>
        <w:r w:rsidR="00773BB0">
          <w:rPr>
            <w:noProof/>
            <w:webHidden/>
          </w:rPr>
          <w:tab/>
        </w:r>
        <w:r w:rsidR="00773BB0">
          <w:rPr>
            <w:noProof/>
            <w:webHidden/>
          </w:rPr>
          <w:fldChar w:fldCharType="begin"/>
        </w:r>
        <w:r w:rsidR="00773BB0">
          <w:rPr>
            <w:noProof/>
            <w:webHidden/>
          </w:rPr>
          <w:instrText xml:space="preserve"> PAGEREF _Toc507326061 \h </w:instrText>
        </w:r>
        <w:r w:rsidR="00773BB0">
          <w:rPr>
            <w:noProof/>
            <w:webHidden/>
          </w:rPr>
        </w:r>
        <w:r w:rsidR="00773BB0">
          <w:rPr>
            <w:noProof/>
            <w:webHidden/>
          </w:rPr>
          <w:fldChar w:fldCharType="separate"/>
        </w:r>
        <w:r w:rsidR="00B55AC2">
          <w:rPr>
            <w:noProof/>
            <w:webHidden/>
          </w:rPr>
          <w:t>49</w:t>
        </w:r>
        <w:r w:rsidR="00773BB0">
          <w:rPr>
            <w:noProof/>
            <w:webHidden/>
          </w:rPr>
          <w:fldChar w:fldCharType="end"/>
        </w:r>
      </w:hyperlink>
    </w:p>
    <w:p w14:paraId="27BBEE77" w14:textId="77777777" w:rsidR="00773BB0" w:rsidRDefault="00EA5D91">
      <w:pPr>
        <w:pStyle w:val="TOC2"/>
        <w:tabs>
          <w:tab w:val="right" w:leader="dot" w:pos="9350"/>
        </w:tabs>
        <w:rPr>
          <w:rFonts w:asciiTheme="minorHAnsi" w:hAnsiTheme="minorHAnsi" w:cstheme="minorBidi"/>
          <w:noProof/>
        </w:rPr>
      </w:pPr>
      <w:hyperlink w:anchor="_Toc507326062" w:history="1">
        <w:r w:rsidR="00773BB0" w:rsidRPr="0051317B">
          <w:rPr>
            <w:rStyle w:val="Hyperlink"/>
            <w:noProof/>
          </w:rPr>
          <w:t>3.5 Discussion</w:t>
        </w:r>
        <w:r w:rsidR="00773BB0">
          <w:rPr>
            <w:noProof/>
            <w:webHidden/>
          </w:rPr>
          <w:tab/>
        </w:r>
        <w:r w:rsidR="00773BB0">
          <w:rPr>
            <w:noProof/>
            <w:webHidden/>
          </w:rPr>
          <w:fldChar w:fldCharType="begin"/>
        </w:r>
        <w:r w:rsidR="00773BB0">
          <w:rPr>
            <w:noProof/>
            <w:webHidden/>
          </w:rPr>
          <w:instrText xml:space="preserve"> PAGEREF _Toc507326062 \h </w:instrText>
        </w:r>
        <w:r w:rsidR="00773BB0">
          <w:rPr>
            <w:noProof/>
            <w:webHidden/>
          </w:rPr>
        </w:r>
        <w:r w:rsidR="00773BB0">
          <w:rPr>
            <w:noProof/>
            <w:webHidden/>
          </w:rPr>
          <w:fldChar w:fldCharType="separate"/>
        </w:r>
        <w:r w:rsidR="00B55AC2">
          <w:rPr>
            <w:noProof/>
            <w:webHidden/>
          </w:rPr>
          <w:t>61</w:t>
        </w:r>
        <w:r w:rsidR="00773BB0">
          <w:rPr>
            <w:noProof/>
            <w:webHidden/>
          </w:rPr>
          <w:fldChar w:fldCharType="end"/>
        </w:r>
      </w:hyperlink>
    </w:p>
    <w:p w14:paraId="6FB8182E" w14:textId="77777777" w:rsidR="00773BB0" w:rsidRDefault="00EA5D91">
      <w:pPr>
        <w:pStyle w:val="TOC2"/>
        <w:tabs>
          <w:tab w:val="right" w:leader="dot" w:pos="9350"/>
        </w:tabs>
        <w:rPr>
          <w:rFonts w:asciiTheme="minorHAnsi" w:hAnsiTheme="minorHAnsi" w:cstheme="minorBidi"/>
          <w:noProof/>
        </w:rPr>
      </w:pPr>
      <w:hyperlink w:anchor="_Toc507326063" w:history="1">
        <w:r w:rsidR="00773BB0" w:rsidRPr="0051317B">
          <w:rPr>
            <w:rStyle w:val="Hyperlink"/>
            <w:noProof/>
          </w:rPr>
          <w:t>3.6 Conclusion</w:t>
        </w:r>
        <w:r w:rsidR="00773BB0">
          <w:rPr>
            <w:noProof/>
            <w:webHidden/>
          </w:rPr>
          <w:tab/>
        </w:r>
        <w:r w:rsidR="00773BB0">
          <w:rPr>
            <w:noProof/>
            <w:webHidden/>
          </w:rPr>
          <w:fldChar w:fldCharType="begin"/>
        </w:r>
        <w:r w:rsidR="00773BB0">
          <w:rPr>
            <w:noProof/>
            <w:webHidden/>
          </w:rPr>
          <w:instrText xml:space="preserve"> PAGEREF _Toc507326063 \h </w:instrText>
        </w:r>
        <w:r w:rsidR="00773BB0">
          <w:rPr>
            <w:noProof/>
            <w:webHidden/>
          </w:rPr>
        </w:r>
        <w:r w:rsidR="00773BB0">
          <w:rPr>
            <w:noProof/>
            <w:webHidden/>
          </w:rPr>
          <w:fldChar w:fldCharType="separate"/>
        </w:r>
        <w:r w:rsidR="00B55AC2">
          <w:rPr>
            <w:noProof/>
            <w:webHidden/>
          </w:rPr>
          <w:t>63</w:t>
        </w:r>
        <w:r w:rsidR="00773BB0">
          <w:rPr>
            <w:noProof/>
            <w:webHidden/>
          </w:rPr>
          <w:fldChar w:fldCharType="end"/>
        </w:r>
      </w:hyperlink>
    </w:p>
    <w:p w14:paraId="04848B75" w14:textId="77777777" w:rsidR="00773BB0" w:rsidRDefault="00EA5D91">
      <w:pPr>
        <w:pStyle w:val="TOC1"/>
        <w:tabs>
          <w:tab w:val="right" w:leader="dot" w:pos="9350"/>
        </w:tabs>
        <w:rPr>
          <w:rFonts w:asciiTheme="minorHAnsi" w:hAnsiTheme="minorHAnsi" w:cstheme="minorBidi"/>
          <w:noProof/>
        </w:rPr>
      </w:pPr>
      <w:hyperlink w:anchor="_Toc507326064" w:history="1">
        <w:r w:rsidR="00773BB0" w:rsidRPr="0051317B">
          <w:rPr>
            <w:rStyle w:val="Hyperlink"/>
            <w:noProof/>
          </w:rPr>
          <w:t xml:space="preserve">IV. </w:t>
        </w:r>
        <w:r w:rsidR="00773BB0" w:rsidRPr="0051317B">
          <w:rPr>
            <w:rStyle w:val="Hyperlink"/>
            <w:caps/>
            <w:noProof/>
          </w:rPr>
          <w:t>Use of Non-Palliative Medications Following Burdensome Health Care Transitions in Hospice Patients: A Matched Cohort Analysis</w:t>
        </w:r>
        <w:r w:rsidR="00773BB0">
          <w:rPr>
            <w:noProof/>
            <w:webHidden/>
          </w:rPr>
          <w:tab/>
        </w:r>
        <w:r w:rsidR="00773BB0">
          <w:rPr>
            <w:noProof/>
            <w:webHidden/>
          </w:rPr>
          <w:fldChar w:fldCharType="begin"/>
        </w:r>
        <w:r w:rsidR="00773BB0">
          <w:rPr>
            <w:noProof/>
            <w:webHidden/>
          </w:rPr>
          <w:instrText xml:space="preserve"> PAGEREF _Toc507326064 \h </w:instrText>
        </w:r>
        <w:r w:rsidR="00773BB0">
          <w:rPr>
            <w:noProof/>
            <w:webHidden/>
          </w:rPr>
        </w:r>
        <w:r w:rsidR="00773BB0">
          <w:rPr>
            <w:noProof/>
            <w:webHidden/>
          </w:rPr>
          <w:fldChar w:fldCharType="separate"/>
        </w:r>
        <w:r w:rsidR="00B55AC2">
          <w:rPr>
            <w:noProof/>
            <w:webHidden/>
          </w:rPr>
          <w:t>65</w:t>
        </w:r>
        <w:r w:rsidR="00773BB0">
          <w:rPr>
            <w:noProof/>
            <w:webHidden/>
          </w:rPr>
          <w:fldChar w:fldCharType="end"/>
        </w:r>
      </w:hyperlink>
    </w:p>
    <w:p w14:paraId="6BE6CCF6" w14:textId="77777777" w:rsidR="00773BB0" w:rsidRDefault="00EA5D91">
      <w:pPr>
        <w:pStyle w:val="TOC2"/>
        <w:tabs>
          <w:tab w:val="right" w:leader="dot" w:pos="9350"/>
        </w:tabs>
        <w:rPr>
          <w:rFonts w:asciiTheme="minorHAnsi" w:hAnsiTheme="minorHAnsi" w:cstheme="minorBidi"/>
          <w:noProof/>
        </w:rPr>
      </w:pPr>
      <w:hyperlink w:anchor="_Toc507326065" w:history="1">
        <w:r w:rsidR="00773BB0" w:rsidRPr="0051317B">
          <w:rPr>
            <w:rStyle w:val="Hyperlink"/>
            <w:noProof/>
          </w:rPr>
          <w:t>4.1 Preface</w:t>
        </w:r>
        <w:r w:rsidR="00773BB0">
          <w:rPr>
            <w:noProof/>
            <w:webHidden/>
          </w:rPr>
          <w:tab/>
        </w:r>
        <w:r w:rsidR="00773BB0">
          <w:rPr>
            <w:noProof/>
            <w:webHidden/>
          </w:rPr>
          <w:fldChar w:fldCharType="begin"/>
        </w:r>
        <w:r w:rsidR="00773BB0">
          <w:rPr>
            <w:noProof/>
            <w:webHidden/>
          </w:rPr>
          <w:instrText xml:space="preserve"> PAGEREF _Toc507326065 \h </w:instrText>
        </w:r>
        <w:r w:rsidR="00773BB0">
          <w:rPr>
            <w:noProof/>
            <w:webHidden/>
          </w:rPr>
        </w:r>
        <w:r w:rsidR="00773BB0">
          <w:rPr>
            <w:noProof/>
            <w:webHidden/>
          </w:rPr>
          <w:fldChar w:fldCharType="separate"/>
        </w:r>
        <w:r w:rsidR="00B55AC2">
          <w:rPr>
            <w:noProof/>
            <w:webHidden/>
          </w:rPr>
          <w:t>65</w:t>
        </w:r>
        <w:r w:rsidR="00773BB0">
          <w:rPr>
            <w:noProof/>
            <w:webHidden/>
          </w:rPr>
          <w:fldChar w:fldCharType="end"/>
        </w:r>
      </w:hyperlink>
    </w:p>
    <w:p w14:paraId="1051E1D2" w14:textId="77777777" w:rsidR="00773BB0" w:rsidRDefault="00EA5D91">
      <w:pPr>
        <w:pStyle w:val="TOC2"/>
        <w:tabs>
          <w:tab w:val="right" w:leader="dot" w:pos="9350"/>
        </w:tabs>
        <w:rPr>
          <w:rFonts w:asciiTheme="minorHAnsi" w:hAnsiTheme="minorHAnsi" w:cstheme="minorBidi"/>
          <w:noProof/>
        </w:rPr>
      </w:pPr>
      <w:hyperlink w:anchor="_Toc507326066" w:history="1">
        <w:r w:rsidR="00773BB0" w:rsidRPr="0051317B">
          <w:rPr>
            <w:rStyle w:val="Hyperlink"/>
            <w:noProof/>
          </w:rPr>
          <w:t>4.2 Introduction</w:t>
        </w:r>
        <w:r w:rsidR="00773BB0">
          <w:rPr>
            <w:noProof/>
            <w:webHidden/>
          </w:rPr>
          <w:tab/>
        </w:r>
        <w:r w:rsidR="00773BB0">
          <w:rPr>
            <w:noProof/>
            <w:webHidden/>
          </w:rPr>
          <w:fldChar w:fldCharType="begin"/>
        </w:r>
        <w:r w:rsidR="00773BB0">
          <w:rPr>
            <w:noProof/>
            <w:webHidden/>
          </w:rPr>
          <w:instrText xml:space="preserve"> PAGEREF _Toc507326066 \h </w:instrText>
        </w:r>
        <w:r w:rsidR="00773BB0">
          <w:rPr>
            <w:noProof/>
            <w:webHidden/>
          </w:rPr>
        </w:r>
        <w:r w:rsidR="00773BB0">
          <w:rPr>
            <w:noProof/>
            <w:webHidden/>
          </w:rPr>
          <w:fldChar w:fldCharType="separate"/>
        </w:r>
        <w:r w:rsidR="00B55AC2">
          <w:rPr>
            <w:noProof/>
            <w:webHidden/>
          </w:rPr>
          <w:t>65</w:t>
        </w:r>
        <w:r w:rsidR="00773BB0">
          <w:rPr>
            <w:noProof/>
            <w:webHidden/>
          </w:rPr>
          <w:fldChar w:fldCharType="end"/>
        </w:r>
      </w:hyperlink>
    </w:p>
    <w:p w14:paraId="3050F0DC" w14:textId="77777777" w:rsidR="00773BB0" w:rsidRDefault="00EA5D91">
      <w:pPr>
        <w:pStyle w:val="TOC2"/>
        <w:tabs>
          <w:tab w:val="right" w:leader="dot" w:pos="9350"/>
        </w:tabs>
        <w:rPr>
          <w:rFonts w:asciiTheme="minorHAnsi" w:hAnsiTheme="minorHAnsi" w:cstheme="minorBidi"/>
          <w:noProof/>
        </w:rPr>
      </w:pPr>
      <w:hyperlink w:anchor="_Toc507326067" w:history="1">
        <w:r w:rsidR="00773BB0" w:rsidRPr="0051317B">
          <w:rPr>
            <w:rStyle w:val="Hyperlink"/>
            <w:noProof/>
          </w:rPr>
          <w:t>4.3 Methods</w:t>
        </w:r>
        <w:r w:rsidR="00773BB0">
          <w:rPr>
            <w:noProof/>
            <w:webHidden/>
          </w:rPr>
          <w:tab/>
        </w:r>
        <w:r w:rsidR="00773BB0">
          <w:rPr>
            <w:noProof/>
            <w:webHidden/>
          </w:rPr>
          <w:fldChar w:fldCharType="begin"/>
        </w:r>
        <w:r w:rsidR="00773BB0">
          <w:rPr>
            <w:noProof/>
            <w:webHidden/>
          </w:rPr>
          <w:instrText xml:space="preserve"> PAGEREF _Toc507326067 \h </w:instrText>
        </w:r>
        <w:r w:rsidR="00773BB0">
          <w:rPr>
            <w:noProof/>
            <w:webHidden/>
          </w:rPr>
        </w:r>
        <w:r w:rsidR="00773BB0">
          <w:rPr>
            <w:noProof/>
            <w:webHidden/>
          </w:rPr>
          <w:fldChar w:fldCharType="separate"/>
        </w:r>
        <w:r w:rsidR="00B55AC2">
          <w:rPr>
            <w:noProof/>
            <w:webHidden/>
          </w:rPr>
          <w:t>66</w:t>
        </w:r>
        <w:r w:rsidR="00773BB0">
          <w:rPr>
            <w:noProof/>
            <w:webHidden/>
          </w:rPr>
          <w:fldChar w:fldCharType="end"/>
        </w:r>
      </w:hyperlink>
    </w:p>
    <w:p w14:paraId="2C34EAE9" w14:textId="77777777" w:rsidR="00773BB0" w:rsidRDefault="00EA5D91">
      <w:pPr>
        <w:pStyle w:val="TOC3"/>
        <w:tabs>
          <w:tab w:val="right" w:leader="dot" w:pos="9350"/>
        </w:tabs>
        <w:rPr>
          <w:rFonts w:asciiTheme="minorHAnsi" w:hAnsiTheme="minorHAnsi" w:cstheme="minorBidi"/>
          <w:noProof/>
        </w:rPr>
      </w:pPr>
      <w:hyperlink w:anchor="_Toc507326068" w:history="1">
        <w:r w:rsidR="00773BB0" w:rsidRPr="0051317B">
          <w:rPr>
            <w:rStyle w:val="Hyperlink"/>
            <w:noProof/>
          </w:rPr>
          <w:t>4.3.1 Data Source and Study Population</w:t>
        </w:r>
        <w:r w:rsidR="00773BB0">
          <w:rPr>
            <w:noProof/>
            <w:webHidden/>
          </w:rPr>
          <w:tab/>
        </w:r>
        <w:r w:rsidR="00773BB0">
          <w:rPr>
            <w:noProof/>
            <w:webHidden/>
          </w:rPr>
          <w:fldChar w:fldCharType="begin"/>
        </w:r>
        <w:r w:rsidR="00773BB0">
          <w:rPr>
            <w:noProof/>
            <w:webHidden/>
          </w:rPr>
          <w:instrText xml:space="preserve"> PAGEREF _Toc507326068 \h </w:instrText>
        </w:r>
        <w:r w:rsidR="00773BB0">
          <w:rPr>
            <w:noProof/>
            <w:webHidden/>
          </w:rPr>
        </w:r>
        <w:r w:rsidR="00773BB0">
          <w:rPr>
            <w:noProof/>
            <w:webHidden/>
          </w:rPr>
          <w:fldChar w:fldCharType="separate"/>
        </w:r>
        <w:r w:rsidR="00B55AC2">
          <w:rPr>
            <w:noProof/>
            <w:webHidden/>
          </w:rPr>
          <w:t>66</w:t>
        </w:r>
        <w:r w:rsidR="00773BB0">
          <w:rPr>
            <w:noProof/>
            <w:webHidden/>
          </w:rPr>
          <w:fldChar w:fldCharType="end"/>
        </w:r>
      </w:hyperlink>
    </w:p>
    <w:p w14:paraId="0524AEF6" w14:textId="77777777" w:rsidR="00773BB0" w:rsidRDefault="00EA5D91">
      <w:pPr>
        <w:pStyle w:val="TOC3"/>
        <w:tabs>
          <w:tab w:val="right" w:leader="dot" w:pos="9350"/>
        </w:tabs>
        <w:rPr>
          <w:rFonts w:asciiTheme="minorHAnsi" w:hAnsiTheme="minorHAnsi" w:cstheme="minorBidi"/>
          <w:noProof/>
        </w:rPr>
      </w:pPr>
      <w:hyperlink w:anchor="_Toc507326069" w:history="1">
        <w:r w:rsidR="00773BB0" w:rsidRPr="0051317B">
          <w:rPr>
            <w:rStyle w:val="Hyperlink"/>
            <w:noProof/>
          </w:rPr>
          <w:t>4.3.2 Measures</w:t>
        </w:r>
        <w:r w:rsidR="00773BB0">
          <w:rPr>
            <w:noProof/>
            <w:webHidden/>
          </w:rPr>
          <w:tab/>
        </w:r>
        <w:r w:rsidR="00773BB0">
          <w:rPr>
            <w:noProof/>
            <w:webHidden/>
          </w:rPr>
          <w:fldChar w:fldCharType="begin"/>
        </w:r>
        <w:r w:rsidR="00773BB0">
          <w:rPr>
            <w:noProof/>
            <w:webHidden/>
          </w:rPr>
          <w:instrText xml:space="preserve"> PAGEREF _Toc507326069 \h </w:instrText>
        </w:r>
        <w:r w:rsidR="00773BB0">
          <w:rPr>
            <w:noProof/>
            <w:webHidden/>
          </w:rPr>
        </w:r>
        <w:r w:rsidR="00773BB0">
          <w:rPr>
            <w:noProof/>
            <w:webHidden/>
          </w:rPr>
          <w:fldChar w:fldCharType="separate"/>
        </w:r>
        <w:r w:rsidR="00B55AC2">
          <w:rPr>
            <w:noProof/>
            <w:webHidden/>
          </w:rPr>
          <w:t>67</w:t>
        </w:r>
        <w:r w:rsidR="00773BB0">
          <w:rPr>
            <w:noProof/>
            <w:webHidden/>
          </w:rPr>
          <w:fldChar w:fldCharType="end"/>
        </w:r>
      </w:hyperlink>
    </w:p>
    <w:p w14:paraId="6B58BD53" w14:textId="77777777" w:rsidR="00773BB0" w:rsidRDefault="00EA5D91">
      <w:pPr>
        <w:pStyle w:val="TOC3"/>
        <w:tabs>
          <w:tab w:val="right" w:leader="dot" w:pos="9350"/>
        </w:tabs>
        <w:rPr>
          <w:rFonts w:asciiTheme="minorHAnsi" w:hAnsiTheme="minorHAnsi" w:cstheme="minorBidi"/>
          <w:noProof/>
        </w:rPr>
      </w:pPr>
      <w:hyperlink w:anchor="_Toc507326070" w:history="1">
        <w:r w:rsidR="00773BB0" w:rsidRPr="0051317B">
          <w:rPr>
            <w:rStyle w:val="Hyperlink"/>
            <w:noProof/>
          </w:rPr>
          <w:t>4.3.3 Study Cohort</w:t>
        </w:r>
        <w:r w:rsidR="00773BB0">
          <w:rPr>
            <w:noProof/>
            <w:webHidden/>
          </w:rPr>
          <w:tab/>
        </w:r>
        <w:r w:rsidR="00773BB0">
          <w:rPr>
            <w:noProof/>
            <w:webHidden/>
          </w:rPr>
          <w:fldChar w:fldCharType="begin"/>
        </w:r>
        <w:r w:rsidR="00773BB0">
          <w:rPr>
            <w:noProof/>
            <w:webHidden/>
          </w:rPr>
          <w:instrText xml:space="preserve"> PAGEREF _Toc507326070 \h </w:instrText>
        </w:r>
        <w:r w:rsidR="00773BB0">
          <w:rPr>
            <w:noProof/>
            <w:webHidden/>
          </w:rPr>
        </w:r>
        <w:r w:rsidR="00773BB0">
          <w:rPr>
            <w:noProof/>
            <w:webHidden/>
          </w:rPr>
          <w:fldChar w:fldCharType="separate"/>
        </w:r>
        <w:r w:rsidR="00B55AC2">
          <w:rPr>
            <w:noProof/>
            <w:webHidden/>
          </w:rPr>
          <w:t>68</w:t>
        </w:r>
        <w:r w:rsidR="00773BB0">
          <w:rPr>
            <w:noProof/>
            <w:webHidden/>
          </w:rPr>
          <w:fldChar w:fldCharType="end"/>
        </w:r>
      </w:hyperlink>
    </w:p>
    <w:p w14:paraId="46640E91" w14:textId="77777777" w:rsidR="00773BB0" w:rsidRDefault="00EA5D91">
      <w:pPr>
        <w:pStyle w:val="TOC3"/>
        <w:tabs>
          <w:tab w:val="right" w:leader="dot" w:pos="9350"/>
        </w:tabs>
        <w:rPr>
          <w:rFonts w:asciiTheme="minorHAnsi" w:hAnsiTheme="minorHAnsi" w:cstheme="minorBidi"/>
          <w:noProof/>
        </w:rPr>
      </w:pPr>
      <w:hyperlink w:anchor="_Toc507326071" w:history="1">
        <w:r w:rsidR="00773BB0" w:rsidRPr="0051317B">
          <w:rPr>
            <w:rStyle w:val="Hyperlink"/>
            <w:noProof/>
          </w:rPr>
          <w:t>4.3.4 Outcomes</w:t>
        </w:r>
        <w:r w:rsidR="00773BB0">
          <w:rPr>
            <w:noProof/>
            <w:webHidden/>
          </w:rPr>
          <w:tab/>
        </w:r>
        <w:r w:rsidR="00773BB0">
          <w:rPr>
            <w:noProof/>
            <w:webHidden/>
          </w:rPr>
          <w:fldChar w:fldCharType="begin"/>
        </w:r>
        <w:r w:rsidR="00773BB0">
          <w:rPr>
            <w:noProof/>
            <w:webHidden/>
          </w:rPr>
          <w:instrText xml:space="preserve"> PAGEREF _Toc507326071 \h </w:instrText>
        </w:r>
        <w:r w:rsidR="00773BB0">
          <w:rPr>
            <w:noProof/>
            <w:webHidden/>
          </w:rPr>
        </w:r>
        <w:r w:rsidR="00773BB0">
          <w:rPr>
            <w:noProof/>
            <w:webHidden/>
          </w:rPr>
          <w:fldChar w:fldCharType="separate"/>
        </w:r>
        <w:r w:rsidR="00B55AC2">
          <w:rPr>
            <w:noProof/>
            <w:webHidden/>
          </w:rPr>
          <w:t>68</w:t>
        </w:r>
        <w:r w:rsidR="00773BB0">
          <w:rPr>
            <w:noProof/>
            <w:webHidden/>
          </w:rPr>
          <w:fldChar w:fldCharType="end"/>
        </w:r>
      </w:hyperlink>
    </w:p>
    <w:p w14:paraId="078F9C6F" w14:textId="77777777" w:rsidR="00773BB0" w:rsidRDefault="00EA5D91">
      <w:pPr>
        <w:pStyle w:val="TOC3"/>
        <w:tabs>
          <w:tab w:val="right" w:leader="dot" w:pos="9350"/>
        </w:tabs>
        <w:rPr>
          <w:rFonts w:asciiTheme="minorHAnsi" w:hAnsiTheme="minorHAnsi" w:cstheme="minorBidi"/>
          <w:noProof/>
        </w:rPr>
      </w:pPr>
      <w:hyperlink w:anchor="_Toc507326072" w:history="1">
        <w:r w:rsidR="00773BB0" w:rsidRPr="0051317B">
          <w:rPr>
            <w:rStyle w:val="Hyperlink"/>
            <w:noProof/>
          </w:rPr>
          <w:t>4.3.5 Statistical Analysis</w:t>
        </w:r>
        <w:r w:rsidR="00773BB0">
          <w:rPr>
            <w:noProof/>
            <w:webHidden/>
          </w:rPr>
          <w:tab/>
        </w:r>
        <w:r w:rsidR="00773BB0">
          <w:rPr>
            <w:noProof/>
            <w:webHidden/>
          </w:rPr>
          <w:fldChar w:fldCharType="begin"/>
        </w:r>
        <w:r w:rsidR="00773BB0">
          <w:rPr>
            <w:noProof/>
            <w:webHidden/>
          </w:rPr>
          <w:instrText xml:space="preserve"> PAGEREF _Toc507326072 \h </w:instrText>
        </w:r>
        <w:r w:rsidR="00773BB0">
          <w:rPr>
            <w:noProof/>
            <w:webHidden/>
          </w:rPr>
        </w:r>
        <w:r w:rsidR="00773BB0">
          <w:rPr>
            <w:noProof/>
            <w:webHidden/>
          </w:rPr>
          <w:fldChar w:fldCharType="separate"/>
        </w:r>
        <w:r w:rsidR="00B55AC2">
          <w:rPr>
            <w:noProof/>
            <w:webHidden/>
          </w:rPr>
          <w:t>70</w:t>
        </w:r>
        <w:r w:rsidR="00773BB0">
          <w:rPr>
            <w:noProof/>
            <w:webHidden/>
          </w:rPr>
          <w:fldChar w:fldCharType="end"/>
        </w:r>
      </w:hyperlink>
    </w:p>
    <w:p w14:paraId="2B70F3F1" w14:textId="77777777" w:rsidR="00773BB0" w:rsidRDefault="00EA5D91">
      <w:pPr>
        <w:pStyle w:val="TOC3"/>
        <w:tabs>
          <w:tab w:val="right" w:leader="dot" w:pos="9350"/>
        </w:tabs>
        <w:rPr>
          <w:rFonts w:asciiTheme="minorHAnsi" w:hAnsiTheme="minorHAnsi" w:cstheme="minorBidi"/>
          <w:noProof/>
        </w:rPr>
      </w:pPr>
      <w:hyperlink w:anchor="_Toc507326073" w:history="1">
        <w:r w:rsidR="00773BB0" w:rsidRPr="0051317B">
          <w:rPr>
            <w:rStyle w:val="Hyperlink"/>
            <w:noProof/>
          </w:rPr>
          <w:t>4.3.6 Sensitivity Analysis</w:t>
        </w:r>
        <w:r w:rsidR="00773BB0">
          <w:rPr>
            <w:noProof/>
            <w:webHidden/>
          </w:rPr>
          <w:tab/>
        </w:r>
        <w:r w:rsidR="00773BB0">
          <w:rPr>
            <w:noProof/>
            <w:webHidden/>
          </w:rPr>
          <w:fldChar w:fldCharType="begin"/>
        </w:r>
        <w:r w:rsidR="00773BB0">
          <w:rPr>
            <w:noProof/>
            <w:webHidden/>
          </w:rPr>
          <w:instrText xml:space="preserve"> PAGEREF _Toc507326073 \h </w:instrText>
        </w:r>
        <w:r w:rsidR="00773BB0">
          <w:rPr>
            <w:noProof/>
            <w:webHidden/>
          </w:rPr>
        </w:r>
        <w:r w:rsidR="00773BB0">
          <w:rPr>
            <w:noProof/>
            <w:webHidden/>
          </w:rPr>
          <w:fldChar w:fldCharType="separate"/>
        </w:r>
        <w:r w:rsidR="00B55AC2">
          <w:rPr>
            <w:noProof/>
            <w:webHidden/>
          </w:rPr>
          <w:t>70</w:t>
        </w:r>
        <w:r w:rsidR="00773BB0">
          <w:rPr>
            <w:noProof/>
            <w:webHidden/>
          </w:rPr>
          <w:fldChar w:fldCharType="end"/>
        </w:r>
      </w:hyperlink>
    </w:p>
    <w:p w14:paraId="274B1F12" w14:textId="77777777" w:rsidR="00773BB0" w:rsidRDefault="00EA5D91">
      <w:pPr>
        <w:pStyle w:val="TOC2"/>
        <w:tabs>
          <w:tab w:val="right" w:leader="dot" w:pos="9350"/>
        </w:tabs>
        <w:rPr>
          <w:rFonts w:asciiTheme="minorHAnsi" w:hAnsiTheme="minorHAnsi" w:cstheme="minorBidi"/>
          <w:noProof/>
        </w:rPr>
      </w:pPr>
      <w:hyperlink w:anchor="_Toc507326074" w:history="1">
        <w:r w:rsidR="00773BB0" w:rsidRPr="0051317B">
          <w:rPr>
            <w:rStyle w:val="Hyperlink"/>
            <w:noProof/>
          </w:rPr>
          <w:t>4.4 Results</w:t>
        </w:r>
        <w:r w:rsidR="00773BB0">
          <w:rPr>
            <w:noProof/>
            <w:webHidden/>
          </w:rPr>
          <w:tab/>
        </w:r>
        <w:r w:rsidR="00773BB0">
          <w:rPr>
            <w:noProof/>
            <w:webHidden/>
          </w:rPr>
          <w:fldChar w:fldCharType="begin"/>
        </w:r>
        <w:r w:rsidR="00773BB0">
          <w:rPr>
            <w:noProof/>
            <w:webHidden/>
          </w:rPr>
          <w:instrText xml:space="preserve"> PAGEREF _Toc507326074 \h </w:instrText>
        </w:r>
        <w:r w:rsidR="00773BB0">
          <w:rPr>
            <w:noProof/>
            <w:webHidden/>
          </w:rPr>
        </w:r>
        <w:r w:rsidR="00773BB0">
          <w:rPr>
            <w:noProof/>
            <w:webHidden/>
          </w:rPr>
          <w:fldChar w:fldCharType="separate"/>
        </w:r>
        <w:r w:rsidR="00B55AC2">
          <w:rPr>
            <w:noProof/>
            <w:webHidden/>
          </w:rPr>
          <w:t>71</w:t>
        </w:r>
        <w:r w:rsidR="00773BB0">
          <w:rPr>
            <w:noProof/>
            <w:webHidden/>
          </w:rPr>
          <w:fldChar w:fldCharType="end"/>
        </w:r>
      </w:hyperlink>
    </w:p>
    <w:p w14:paraId="07F3CA10" w14:textId="77777777" w:rsidR="00773BB0" w:rsidRDefault="00EA5D91">
      <w:pPr>
        <w:pStyle w:val="TOC2"/>
        <w:tabs>
          <w:tab w:val="right" w:leader="dot" w:pos="9350"/>
        </w:tabs>
        <w:rPr>
          <w:rFonts w:asciiTheme="minorHAnsi" w:hAnsiTheme="minorHAnsi" w:cstheme="minorBidi"/>
          <w:noProof/>
        </w:rPr>
      </w:pPr>
      <w:hyperlink w:anchor="_Toc507326075" w:history="1">
        <w:r w:rsidR="00773BB0" w:rsidRPr="0051317B">
          <w:rPr>
            <w:rStyle w:val="Hyperlink"/>
            <w:noProof/>
          </w:rPr>
          <w:t>4.5 Discussion</w:t>
        </w:r>
        <w:r w:rsidR="00773BB0">
          <w:rPr>
            <w:noProof/>
            <w:webHidden/>
          </w:rPr>
          <w:tab/>
        </w:r>
        <w:r w:rsidR="00773BB0">
          <w:rPr>
            <w:noProof/>
            <w:webHidden/>
          </w:rPr>
          <w:fldChar w:fldCharType="begin"/>
        </w:r>
        <w:r w:rsidR="00773BB0">
          <w:rPr>
            <w:noProof/>
            <w:webHidden/>
          </w:rPr>
          <w:instrText xml:space="preserve"> PAGEREF _Toc507326075 \h </w:instrText>
        </w:r>
        <w:r w:rsidR="00773BB0">
          <w:rPr>
            <w:noProof/>
            <w:webHidden/>
          </w:rPr>
        </w:r>
        <w:r w:rsidR="00773BB0">
          <w:rPr>
            <w:noProof/>
            <w:webHidden/>
          </w:rPr>
          <w:fldChar w:fldCharType="separate"/>
        </w:r>
        <w:r w:rsidR="00B55AC2">
          <w:rPr>
            <w:noProof/>
            <w:webHidden/>
          </w:rPr>
          <w:t>78</w:t>
        </w:r>
        <w:r w:rsidR="00773BB0">
          <w:rPr>
            <w:noProof/>
            <w:webHidden/>
          </w:rPr>
          <w:fldChar w:fldCharType="end"/>
        </w:r>
      </w:hyperlink>
    </w:p>
    <w:p w14:paraId="2E9B7718" w14:textId="77777777" w:rsidR="00773BB0" w:rsidRDefault="00EA5D91">
      <w:pPr>
        <w:pStyle w:val="TOC2"/>
        <w:tabs>
          <w:tab w:val="right" w:leader="dot" w:pos="9350"/>
        </w:tabs>
        <w:rPr>
          <w:rFonts w:asciiTheme="minorHAnsi" w:hAnsiTheme="minorHAnsi" w:cstheme="minorBidi"/>
          <w:noProof/>
        </w:rPr>
      </w:pPr>
      <w:hyperlink w:anchor="_Toc507326076" w:history="1">
        <w:r w:rsidR="00773BB0" w:rsidRPr="0051317B">
          <w:rPr>
            <w:rStyle w:val="Hyperlink"/>
            <w:noProof/>
          </w:rPr>
          <w:t>4.6 Conclusion</w:t>
        </w:r>
        <w:r w:rsidR="00773BB0">
          <w:rPr>
            <w:noProof/>
            <w:webHidden/>
          </w:rPr>
          <w:tab/>
        </w:r>
        <w:r w:rsidR="00773BB0">
          <w:rPr>
            <w:noProof/>
            <w:webHidden/>
          </w:rPr>
          <w:fldChar w:fldCharType="begin"/>
        </w:r>
        <w:r w:rsidR="00773BB0">
          <w:rPr>
            <w:noProof/>
            <w:webHidden/>
          </w:rPr>
          <w:instrText xml:space="preserve"> PAGEREF _Toc507326076 \h </w:instrText>
        </w:r>
        <w:r w:rsidR="00773BB0">
          <w:rPr>
            <w:noProof/>
            <w:webHidden/>
          </w:rPr>
        </w:r>
        <w:r w:rsidR="00773BB0">
          <w:rPr>
            <w:noProof/>
            <w:webHidden/>
          </w:rPr>
          <w:fldChar w:fldCharType="separate"/>
        </w:r>
        <w:r w:rsidR="00B55AC2">
          <w:rPr>
            <w:noProof/>
            <w:webHidden/>
          </w:rPr>
          <w:t>81</w:t>
        </w:r>
        <w:r w:rsidR="00773BB0">
          <w:rPr>
            <w:noProof/>
            <w:webHidden/>
          </w:rPr>
          <w:fldChar w:fldCharType="end"/>
        </w:r>
      </w:hyperlink>
    </w:p>
    <w:p w14:paraId="1D349ECD" w14:textId="77777777" w:rsidR="00773BB0" w:rsidRDefault="00EA5D91">
      <w:pPr>
        <w:pStyle w:val="TOC1"/>
        <w:tabs>
          <w:tab w:val="right" w:leader="dot" w:pos="9350"/>
        </w:tabs>
        <w:rPr>
          <w:rFonts w:asciiTheme="minorHAnsi" w:hAnsiTheme="minorHAnsi" w:cstheme="minorBidi"/>
          <w:noProof/>
        </w:rPr>
      </w:pPr>
      <w:hyperlink w:anchor="_Toc507326077" w:history="1">
        <w:r w:rsidR="00773BB0" w:rsidRPr="0051317B">
          <w:rPr>
            <w:rStyle w:val="Hyperlink"/>
            <w:noProof/>
          </w:rPr>
          <w:t>V. CONCLUSIONS</w:t>
        </w:r>
        <w:r w:rsidR="00773BB0">
          <w:rPr>
            <w:noProof/>
            <w:webHidden/>
          </w:rPr>
          <w:tab/>
        </w:r>
        <w:r w:rsidR="00773BB0">
          <w:rPr>
            <w:noProof/>
            <w:webHidden/>
          </w:rPr>
          <w:fldChar w:fldCharType="begin"/>
        </w:r>
        <w:r w:rsidR="00773BB0">
          <w:rPr>
            <w:noProof/>
            <w:webHidden/>
          </w:rPr>
          <w:instrText xml:space="preserve"> PAGEREF _Toc507326077 \h </w:instrText>
        </w:r>
        <w:r w:rsidR="00773BB0">
          <w:rPr>
            <w:noProof/>
            <w:webHidden/>
          </w:rPr>
        </w:r>
        <w:r w:rsidR="00773BB0">
          <w:rPr>
            <w:noProof/>
            <w:webHidden/>
          </w:rPr>
          <w:fldChar w:fldCharType="separate"/>
        </w:r>
        <w:r w:rsidR="00B55AC2">
          <w:rPr>
            <w:noProof/>
            <w:webHidden/>
          </w:rPr>
          <w:t>82</w:t>
        </w:r>
        <w:r w:rsidR="00773BB0">
          <w:rPr>
            <w:noProof/>
            <w:webHidden/>
          </w:rPr>
          <w:fldChar w:fldCharType="end"/>
        </w:r>
      </w:hyperlink>
    </w:p>
    <w:p w14:paraId="06BCD21A" w14:textId="77777777" w:rsidR="00773BB0" w:rsidRDefault="00EA5D91">
      <w:pPr>
        <w:pStyle w:val="TOC1"/>
        <w:tabs>
          <w:tab w:val="right" w:leader="dot" w:pos="9350"/>
        </w:tabs>
        <w:rPr>
          <w:rFonts w:asciiTheme="minorHAnsi" w:hAnsiTheme="minorHAnsi" w:cstheme="minorBidi"/>
          <w:noProof/>
        </w:rPr>
      </w:pPr>
      <w:hyperlink w:anchor="_Toc507326078" w:history="1">
        <w:r w:rsidR="00773BB0" w:rsidRPr="0051317B">
          <w:rPr>
            <w:rStyle w:val="Hyperlink"/>
            <w:noProof/>
          </w:rPr>
          <w:t>VI. CITED LITERATURE</w:t>
        </w:r>
        <w:r w:rsidR="00773BB0">
          <w:rPr>
            <w:noProof/>
            <w:webHidden/>
          </w:rPr>
          <w:tab/>
        </w:r>
        <w:r w:rsidR="00773BB0">
          <w:rPr>
            <w:noProof/>
            <w:webHidden/>
          </w:rPr>
          <w:fldChar w:fldCharType="begin"/>
        </w:r>
        <w:r w:rsidR="00773BB0">
          <w:rPr>
            <w:noProof/>
            <w:webHidden/>
          </w:rPr>
          <w:instrText xml:space="preserve"> PAGEREF _Toc507326078 \h </w:instrText>
        </w:r>
        <w:r w:rsidR="00773BB0">
          <w:rPr>
            <w:noProof/>
            <w:webHidden/>
          </w:rPr>
        </w:r>
        <w:r w:rsidR="00773BB0">
          <w:rPr>
            <w:noProof/>
            <w:webHidden/>
          </w:rPr>
          <w:fldChar w:fldCharType="separate"/>
        </w:r>
        <w:r w:rsidR="00B55AC2">
          <w:rPr>
            <w:noProof/>
            <w:webHidden/>
          </w:rPr>
          <w:t>90</w:t>
        </w:r>
        <w:r w:rsidR="00773BB0">
          <w:rPr>
            <w:noProof/>
            <w:webHidden/>
          </w:rPr>
          <w:fldChar w:fldCharType="end"/>
        </w:r>
      </w:hyperlink>
    </w:p>
    <w:p w14:paraId="14D4E8B2" w14:textId="77777777" w:rsidR="00773BB0" w:rsidRDefault="00EA5D91">
      <w:pPr>
        <w:pStyle w:val="TOC1"/>
        <w:tabs>
          <w:tab w:val="right" w:leader="dot" w:pos="9350"/>
        </w:tabs>
        <w:rPr>
          <w:rFonts w:asciiTheme="minorHAnsi" w:hAnsiTheme="minorHAnsi" w:cstheme="minorBidi"/>
          <w:noProof/>
        </w:rPr>
      </w:pPr>
      <w:hyperlink w:anchor="_Toc507326079" w:history="1">
        <w:r w:rsidR="00773BB0" w:rsidRPr="0051317B">
          <w:rPr>
            <w:rStyle w:val="Hyperlink"/>
            <w:noProof/>
          </w:rPr>
          <w:t>VII. APPENDIX</w:t>
        </w:r>
        <w:r w:rsidR="00773BB0">
          <w:rPr>
            <w:noProof/>
            <w:webHidden/>
          </w:rPr>
          <w:tab/>
        </w:r>
        <w:r w:rsidR="00773BB0">
          <w:rPr>
            <w:noProof/>
            <w:webHidden/>
          </w:rPr>
          <w:fldChar w:fldCharType="begin"/>
        </w:r>
        <w:r w:rsidR="00773BB0">
          <w:rPr>
            <w:noProof/>
            <w:webHidden/>
          </w:rPr>
          <w:instrText xml:space="preserve"> PAGEREF _Toc507326079 \h </w:instrText>
        </w:r>
        <w:r w:rsidR="00773BB0">
          <w:rPr>
            <w:noProof/>
            <w:webHidden/>
          </w:rPr>
        </w:r>
        <w:r w:rsidR="00773BB0">
          <w:rPr>
            <w:noProof/>
            <w:webHidden/>
          </w:rPr>
          <w:fldChar w:fldCharType="separate"/>
        </w:r>
        <w:r w:rsidR="00B55AC2">
          <w:rPr>
            <w:noProof/>
            <w:webHidden/>
          </w:rPr>
          <w:t>101</w:t>
        </w:r>
        <w:r w:rsidR="00773BB0">
          <w:rPr>
            <w:noProof/>
            <w:webHidden/>
          </w:rPr>
          <w:fldChar w:fldCharType="end"/>
        </w:r>
      </w:hyperlink>
    </w:p>
    <w:p w14:paraId="46EF9F73" w14:textId="77777777" w:rsidR="00773BB0" w:rsidRDefault="00EA5D91">
      <w:pPr>
        <w:pStyle w:val="TOC1"/>
        <w:tabs>
          <w:tab w:val="right" w:leader="dot" w:pos="9350"/>
        </w:tabs>
        <w:rPr>
          <w:rFonts w:asciiTheme="minorHAnsi" w:hAnsiTheme="minorHAnsi" w:cstheme="minorBidi"/>
          <w:noProof/>
        </w:rPr>
      </w:pPr>
      <w:hyperlink w:anchor="_Toc507326080" w:history="1">
        <w:r w:rsidR="00773BB0" w:rsidRPr="0051317B">
          <w:rPr>
            <w:rStyle w:val="Hyperlink"/>
            <w:noProof/>
          </w:rPr>
          <w:t>VIII. VITA</w:t>
        </w:r>
        <w:r w:rsidR="00773BB0">
          <w:rPr>
            <w:noProof/>
            <w:webHidden/>
          </w:rPr>
          <w:tab/>
        </w:r>
        <w:r w:rsidR="00773BB0">
          <w:rPr>
            <w:noProof/>
            <w:webHidden/>
          </w:rPr>
          <w:fldChar w:fldCharType="begin"/>
        </w:r>
        <w:r w:rsidR="00773BB0">
          <w:rPr>
            <w:noProof/>
            <w:webHidden/>
          </w:rPr>
          <w:instrText xml:space="preserve"> PAGEREF _Toc507326080 \h </w:instrText>
        </w:r>
        <w:r w:rsidR="00773BB0">
          <w:rPr>
            <w:noProof/>
            <w:webHidden/>
          </w:rPr>
        </w:r>
        <w:r w:rsidR="00773BB0">
          <w:rPr>
            <w:noProof/>
            <w:webHidden/>
          </w:rPr>
          <w:fldChar w:fldCharType="separate"/>
        </w:r>
        <w:r w:rsidR="00B55AC2">
          <w:rPr>
            <w:noProof/>
            <w:webHidden/>
          </w:rPr>
          <w:t>102</w:t>
        </w:r>
        <w:r w:rsidR="00773BB0">
          <w:rPr>
            <w:noProof/>
            <w:webHidden/>
          </w:rPr>
          <w:fldChar w:fldCharType="end"/>
        </w:r>
      </w:hyperlink>
    </w:p>
    <w:p w14:paraId="28E0202C" w14:textId="4FCE9EA0" w:rsidR="000C132A" w:rsidRDefault="00831FF1" w:rsidP="00427FF8">
      <w:pPr>
        <w:jc w:val="center"/>
        <w:rPr>
          <w:rFonts w:eastAsiaTheme="minorEastAsia" w:cs="Arial"/>
          <w:b/>
          <w:szCs w:val="22"/>
        </w:rPr>
      </w:pPr>
      <w:r w:rsidRPr="00831FF1">
        <w:rPr>
          <w:rFonts w:eastAsiaTheme="minorEastAsia" w:cs="Arial"/>
          <w:b/>
          <w:szCs w:val="22"/>
        </w:rPr>
        <w:fldChar w:fldCharType="end"/>
      </w:r>
    </w:p>
    <w:p w14:paraId="3F400831" w14:textId="77777777" w:rsidR="00BA343E" w:rsidRDefault="00BA343E" w:rsidP="00427FF8">
      <w:pPr>
        <w:jc w:val="center"/>
        <w:rPr>
          <w:rFonts w:eastAsiaTheme="minorEastAsia" w:cs="Arial"/>
          <w:b/>
          <w:szCs w:val="22"/>
        </w:rPr>
      </w:pPr>
    </w:p>
    <w:p w14:paraId="168724CF" w14:textId="77777777" w:rsidR="00BA343E" w:rsidRDefault="00BA343E" w:rsidP="00427FF8">
      <w:pPr>
        <w:jc w:val="center"/>
        <w:rPr>
          <w:rFonts w:eastAsiaTheme="minorEastAsia" w:cs="Arial"/>
          <w:b/>
          <w:szCs w:val="22"/>
        </w:rPr>
      </w:pPr>
    </w:p>
    <w:p w14:paraId="599BC6FB" w14:textId="77777777" w:rsidR="00BA343E" w:rsidRDefault="00BA343E" w:rsidP="00427FF8">
      <w:pPr>
        <w:jc w:val="center"/>
        <w:rPr>
          <w:rFonts w:eastAsiaTheme="minorEastAsia" w:cs="Arial"/>
          <w:b/>
          <w:szCs w:val="22"/>
        </w:rPr>
      </w:pPr>
    </w:p>
    <w:p w14:paraId="482D6459" w14:textId="77777777" w:rsidR="00BA343E" w:rsidRDefault="00BA343E" w:rsidP="00427FF8">
      <w:pPr>
        <w:jc w:val="center"/>
        <w:rPr>
          <w:rFonts w:eastAsiaTheme="minorEastAsia" w:cs="Arial"/>
          <w:b/>
          <w:szCs w:val="22"/>
        </w:rPr>
      </w:pPr>
    </w:p>
    <w:p w14:paraId="106F8A05" w14:textId="77777777" w:rsidR="00BA343E" w:rsidRDefault="00BA343E" w:rsidP="00427FF8">
      <w:pPr>
        <w:jc w:val="center"/>
        <w:rPr>
          <w:rFonts w:eastAsiaTheme="minorEastAsia" w:cs="Arial"/>
          <w:b/>
          <w:szCs w:val="22"/>
        </w:rPr>
      </w:pPr>
    </w:p>
    <w:p w14:paraId="220E9392" w14:textId="77777777" w:rsidR="00BA343E" w:rsidRDefault="00BA343E" w:rsidP="00427FF8">
      <w:pPr>
        <w:jc w:val="center"/>
        <w:rPr>
          <w:b/>
        </w:rPr>
      </w:pPr>
    </w:p>
    <w:p w14:paraId="683FB888" w14:textId="77777777" w:rsidR="00BA343E" w:rsidRDefault="00BA343E" w:rsidP="00427FF8">
      <w:pPr>
        <w:jc w:val="center"/>
        <w:rPr>
          <w:b/>
        </w:rPr>
      </w:pPr>
    </w:p>
    <w:p w14:paraId="6F9719C3" w14:textId="77777777" w:rsidR="00BA343E" w:rsidRDefault="00BA343E" w:rsidP="00427FF8">
      <w:pPr>
        <w:jc w:val="center"/>
        <w:rPr>
          <w:b/>
        </w:rPr>
      </w:pPr>
    </w:p>
    <w:p w14:paraId="49138002" w14:textId="77777777" w:rsidR="005318B5" w:rsidRDefault="005318B5" w:rsidP="00427FF8">
      <w:pPr>
        <w:jc w:val="center"/>
        <w:rPr>
          <w:b/>
        </w:rPr>
      </w:pPr>
    </w:p>
    <w:p w14:paraId="65952E46" w14:textId="77777777" w:rsidR="00DA3C24" w:rsidRDefault="00DA3C24" w:rsidP="00DA3C24">
      <w:pPr>
        <w:jc w:val="center"/>
        <w:rPr>
          <w:b/>
        </w:rPr>
      </w:pPr>
      <w:r w:rsidRPr="002B2951">
        <w:rPr>
          <w:b/>
        </w:rPr>
        <w:lastRenderedPageBreak/>
        <w:t>LIST OF TABLES</w:t>
      </w:r>
    </w:p>
    <w:p w14:paraId="12C43E4F" w14:textId="2427EF7D" w:rsidR="00BA343E" w:rsidRPr="00DA3C24" w:rsidRDefault="00DA3C24" w:rsidP="00DA3C24">
      <w:pPr>
        <w:spacing w:line="240" w:lineRule="auto"/>
        <w:rPr>
          <w:u w:val="single"/>
        </w:rPr>
      </w:pPr>
      <w:r w:rsidRPr="003B4760">
        <w:rPr>
          <w:u w:val="single"/>
        </w:rPr>
        <w:t>TABLE</w:t>
      </w:r>
      <w:r w:rsidRPr="003B4760">
        <w:rPr>
          <w:u w:val="single"/>
        </w:rPr>
        <w:tab/>
      </w:r>
      <w:r w:rsidRPr="003B4760">
        <w:tab/>
      </w:r>
      <w:r w:rsidRPr="003B4760">
        <w:tab/>
      </w:r>
      <w:r w:rsidRPr="003B4760">
        <w:tab/>
      </w:r>
      <w:r w:rsidRPr="003B4760">
        <w:tab/>
      </w:r>
      <w:r w:rsidRPr="003B4760">
        <w:tab/>
      </w:r>
      <w:r w:rsidRPr="003B4760">
        <w:tab/>
      </w:r>
      <w:r w:rsidRPr="003B4760">
        <w:tab/>
      </w:r>
      <w:r w:rsidRPr="003B4760">
        <w:tab/>
      </w:r>
      <w:r w:rsidRPr="003B4760">
        <w:tab/>
      </w:r>
      <w:r w:rsidRPr="003B4760">
        <w:tab/>
      </w:r>
      <w:r w:rsidRPr="003B4760">
        <w:tab/>
        <w:t xml:space="preserve"> </w:t>
      </w:r>
      <w:r>
        <w:rPr>
          <w:u w:val="single"/>
        </w:rPr>
        <w:t>PAGE</w:t>
      </w:r>
    </w:p>
    <w:p w14:paraId="5C10F78D" w14:textId="77777777" w:rsidR="00165E80" w:rsidRPr="00DF4C41" w:rsidRDefault="00165E80" w:rsidP="00DA3C24">
      <w:pPr>
        <w:pStyle w:val="ListofTables"/>
        <w:keepNext w:val="0"/>
        <w:rPr>
          <w:noProof/>
        </w:rPr>
      </w:pPr>
      <w:r w:rsidRPr="00DF4C41">
        <w:fldChar w:fldCharType="begin"/>
      </w:r>
      <w:r w:rsidRPr="00DF4C41">
        <w:instrText xml:space="preserve"> TOC \c "Table" </w:instrText>
      </w:r>
      <w:r w:rsidRPr="00DF4C41">
        <w:fldChar w:fldCharType="separate"/>
      </w:r>
      <w:r w:rsidRPr="00DF4C41">
        <w:rPr>
          <w:noProof/>
        </w:rPr>
        <w:t>DISTRIBUTION OF PRIMARY HOSPICE ADMISSION DIAGNOSES, 2010-2014</w:t>
      </w:r>
      <w:r w:rsidRPr="00DF4C41">
        <w:rPr>
          <w:noProof/>
        </w:rPr>
        <w:tab/>
      </w:r>
      <w:r w:rsidRPr="00DF4C41">
        <w:rPr>
          <w:noProof/>
        </w:rPr>
        <w:fldChar w:fldCharType="begin"/>
      </w:r>
      <w:r w:rsidRPr="00DF4C41">
        <w:rPr>
          <w:noProof/>
        </w:rPr>
        <w:instrText xml:space="preserve"> PAGEREF _Toc507329270 \h </w:instrText>
      </w:r>
      <w:r w:rsidRPr="00DF4C41">
        <w:rPr>
          <w:noProof/>
        </w:rPr>
      </w:r>
      <w:r w:rsidRPr="00DF4C41">
        <w:rPr>
          <w:noProof/>
        </w:rPr>
        <w:fldChar w:fldCharType="separate"/>
      </w:r>
      <w:r w:rsidR="00B55AC2">
        <w:rPr>
          <w:noProof/>
        </w:rPr>
        <w:t>4</w:t>
      </w:r>
      <w:r w:rsidRPr="00DF4C41">
        <w:rPr>
          <w:noProof/>
        </w:rPr>
        <w:fldChar w:fldCharType="end"/>
      </w:r>
    </w:p>
    <w:p w14:paraId="11F5D203" w14:textId="57D8ED3F" w:rsidR="00165E80" w:rsidRPr="00DF4C41" w:rsidRDefault="00165E80" w:rsidP="00DA3C24">
      <w:pPr>
        <w:pStyle w:val="ListofTables"/>
        <w:keepNext w:val="0"/>
        <w:rPr>
          <w:noProof/>
        </w:rPr>
      </w:pPr>
      <w:r w:rsidRPr="00DF4C41">
        <w:rPr>
          <w:noProof/>
        </w:rPr>
        <w:t>HEALTH CARE COVERAGE UNDER MEDICARE FOR PATIENTS ENROLLED IN HOSPICE</w:t>
      </w:r>
      <w:r w:rsidRPr="00DF4C41">
        <w:rPr>
          <w:noProof/>
        </w:rPr>
        <w:tab/>
      </w:r>
      <w:r w:rsidRPr="00DF4C41">
        <w:rPr>
          <w:noProof/>
        </w:rPr>
        <w:fldChar w:fldCharType="begin"/>
      </w:r>
      <w:r w:rsidRPr="00DF4C41">
        <w:rPr>
          <w:noProof/>
        </w:rPr>
        <w:instrText xml:space="preserve"> PAGEREF _Toc507329271 \h </w:instrText>
      </w:r>
      <w:r w:rsidRPr="00DF4C41">
        <w:rPr>
          <w:noProof/>
        </w:rPr>
      </w:r>
      <w:r w:rsidRPr="00DF4C41">
        <w:rPr>
          <w:noProof/>
        </w:rPr>
        <w:fldChar w:fldCharType="separate"/>
      </w:r>
      <w:r w:rsidR="00B55AC2">
        <w:rPr>
          <w:noProof/>
        </w:rPr>
        <w:t>6</w:t>
      </w:r>
      <w:r w:rsidRPr="00DF4C41">
        <w:rPr>
          <w:noProof/>
        </w:rPr>
        <w:fldChar w:fldCharType="end"/>
      </w:r>
    </w:p>
    <w:p w14:paraId="1E868540" w14:textId="38126B25" w:rsidR="00165E80" w:rsidRPr="00DF4C41" w:rsidRDefault="00165E80" w:rsidP="00DA3C24">
      <w:pPr>
        <w:pStyle w:val="ListofTables"/>
        <w:keepNext w:val="0"/>
        <w:rPr>
          <w:noProof/>
        </w:rPr>
      </w:pPr>
      <w:r w:rsidRPr="00DF4C41">
        <w:rPr>
          <w:noProof/>
        </w:rPr>
        <w:t>IAHPC LIST OF ESSENTIAL MEDICATIONS AND INDICATIONS FOR PALLIATIVE CARE</w:t>
      </w:r>
      <w:r w:rsidRPr="00DF4C41">
        <w:rPr>
          <w:noProof/>
        </w:rPr>
        <w:tab/>
      </w:r>
      <w:r w:rsidRPr="00DF4C41">
        <w:rPr>
          <w:noProof/>
        </w:rPr>
        <w:fldChar w:fldCharType="begin"/>
      </w:r>
      <w:r w:rsidRPr="00DF4C41">
        <w:rPr>
          <w:noProof/>
        </w:rPr>
        <w:instrText xml:space="preserve"> PAGEREF _Toc507329272 \h </w:instrText>
      </w:r>
      <w:r w:rsidRPr="00DF4C41">
        <w:rPr>
          <w:noProof/>
        </w:rPr>
      </w:r>
      <w:r w:rsidRPr="00DF4C41">
        <w:rPr>
          <w:noProof/>
        </w:rPr>
        <w:fldChar w:fldCharType="separate"/>
      </w:r>
      <w:r w:rsidR="00B55AC2">
        <w:rPr>
          <w:noProof/>
        </w:rPr>
        <w:t>8</w:t>
      </w:r>
      <w:r w:rsidRPr="00DF4C41">
        <w:rPr>
          <w:noProof/>
        </w:rPr>
        <w:fldChar w:fldCharType="end"/>
      </w:r>
    </w:p>
    <w:p w14:paraId="29B298A8" w14:textId="35A53B71" w:rsidR="00165E80" w:rsidRPr="00DF4C41" w:rsidRDefault="00165E80" w:rsidP="00DA3C24">
      <w:pPr>
        <w:pStyle w:val="ListofTables"/>
        <w:keepNext w:val="0"/>
        <w:rPr>
          <w:noProof/>
        </w:rPr>
      </w:pPr>
      <w:r w:rsidRPr="00DF4C41">
        <w:rPr>
          <w:noProof/>
        </w:rPr>
        <w:t>PREVENTATIVE THERAPEUTIC CLASSES AND DRUG CLASSES ASSESSED FOR RECEIPT THROUGH PART D AFTER HOSPICE ADMISSION</w:t>
      </w:r>
      <w:r w:rsidRPr="00DF4C41">
        <w:rPr>
          <w:noProof/>
        </w:rPr>
        <w:tab/>
      </w:r>
      <w:r w:rsidRPr="00DF4C41">
        <w:rPr>
          <w:noProof/>
        </w:rPr>
        <w:fldChar w:fldCharType="begin"/>
      </w:r>
      <w:r w:rsidRPr="00DF4C41">
        <w:rPr>
          <w:noProof/>
        </w:rPr>
        <w:instrText xml:space="preserve"> PAGEREF _Toc507329273 \h </w:instrText>
      </w:r>
      <w:r w:rsidRPr="00DF4C41">
        <w:rPr>
          <w:noProof/>
        </w:rPr>
      </w:r>
      <w:r w:rsidRPr="00DF4C41">
        <w:rPr>
          <w:noProof/>
        </w:rPr>
        <w:fldChar w:fldCharType="separate"/>
      </w:r>
      <w:r w:rsidR="00B55AC2">
        <w:rPr>
          <w:noProof/>
        </w:rPr>
        <w:t>26</w:t>
      </w:r>
      <w:r w:rsidRPr="00DF4C41">
        <w:rPr>
          <w:noProof/>
        </w:rPr>
        <w:fldChar w:fldCharType="end"/>
      </w:r>
    </w:p>
    <w:p w14:paraId="4397258B" w14:textId="1EE61F17" w:rsidR="00165E80" w:rsidRPr="00DF4C41" w:rsidRDefault="00165E80" w:rsidP="00DA3C24">
      <w:pPr>
        <w:pStyle w:val="ListofTables"/>
        <w:keepNext w:val="0"/>
        <w:rPr>
          <w:noProof/>
        </w:rPr>
      </w:pPr>
      <w:r w:rsidRPr="00DF4C41">
        <w:rPr>
          <w:noProof/>
        </w:rPr>
        <w:t>DEMOGRAPHIC AND CLINICAL CHARACTERISTICS OF STUDY COHORT, OVERALL AND BY CANCER AND NON-CANCER PRIMARY ADMISSION DIAGNOSIS</w:t>
      </w:r>
      <w:r w:rsidRPr="00DF4C41">
        <w:rPr>
          <w:noProof/>
        </w:rPr>
        <w:tab/>
      </w:r>
      <w:r w:rsidRPr="00DF4C41">
        <w:rPr>
          <w:noProof/>
        </w:rPr>
        <w:fldChar w:fldCharType="begin"/>
      </w:r>
      <w:r w:rsidRPr="00DF4C41">
        <w:rPr>
          <w:noProof/>
        </w:rPr>
        <w:instrText xml:space="preserve"> PAGEREF _Toc507329274 \h </w:instrText>
      </w:r>
      <w:r w:rsidRPr="00DF4C41">
        <w:rPr>
          <w:noProof/>
        </w:rPr>
      </w:r>
      <w:r w:rsidRPr="00DF4C41">
        <w:rPr>
          <w:noProof/>
        </w:rPr>
        <w:fldChar w:fldCharType="separate"/>
      </w:r>
      <w:r w:rsidR="00B55AC2">
        <w:rPr>
          <w:noProof/>
        </w:rPr>
        <w:t>29</w:t>
      </w:r>
      <w:r w:rsidRPr="00DF4C41">
        <w:rPr>
          <w:noProof/>
        </w:rPr>
        <w:fldChar w:fldCharType="end"/>
      </w:r>
    </w:p>
    <w:p w14:paraId="18882E66" w14:textId="7D43824E" w:rsidR="00165E80" w:rsidRPr="00DF4C41" w:rsidRDefault="00165E80" w:rsidP="00DA3C24">
      <w:pPr>
        <w:pStyle w:val="ListofTables"/>
        <w:keepNext w:val="0"/>
        <w:rPr>
          <w:noProof/>
        </w:rPr>
      </w:pPr>
      <w:r w:rsidRPr="00DF4C41">
        <w:rPr>
          <w:noProof/>
        </w:rPr>
        <w:t>TOP 25 MEDICATIONS RECEIVED AFTER HOSPICE ADMISSION THROUGH MEDICARE PART D, OVERALL AND BY CANCER VS NON-CANCER PRIMARY ADMISSION DIAGNOSIS</w:t>
      </w:r>
      <w:r w:rsidRPr="00DF4C41">
        <w:rPr>
          <w:noProof/>
        </w:rPr>
        <w:tab/>
      </w:r>
      <w:r w:rsidRPr="00DF4C41">
        <w:rPr>
          <w:noProof/>
        </w:rPr>
        <w:fldChar w:fldCharType="begin"/>
      </w:r>
      <w:r w:rsidRPr="00DF4C41">
        <w:rPr>
          <w:noProof/>
        </w:rPr>
        <w:instrText xml:space="preserve"> PAGEREF _Toc507329275 \h </w:instrText>
      </w:r>
      <w:r w:rsidRPr="00DF4C41">
        <w:rPr>
          <w:noProof/>
        </w:rPr>
      </w:r>
      <w:r w:rsidRPr="00DF4C41">
        <w:rPr>
          <w:noProof/>
        </w:rPr>
        <w:fldChar w:fldCharType="separate"/>
      </w:r>
      <w:r w:rsidR="00B55AC2">
        <w:rPr>
          <w:noProof/>
        </w:rPr>
        <w:t>31</w:t>
      </w:r>
      <w:r w:rsidRPr="00DF4C41">
        <w:rPr>
          <w:noProof/>
        </w:rPr>
        <w:fldChar w:fldCharType="end"/>
      </w:r>
    </w:p>
    <w:p w14:paraId="3B68BDEC" w14:textId="21EAD915" w:rsidR="00165E80" w:rsidRPr="00DF4C41" w:rsidRDefault="00165E80" w:rsidP="00DA3C24">
      <w:pPr>
        <w:pStyle w:val="ListofTables"/>
        <w:keepNext w:val="0"/>
        <w:rPr>
          <w:noProof/>
        </w:rPr>
      </w:pPr>
      <w:r w:rsidRPr="00DF4C41">
        <w:rPr>
          <w:noProof/>
        </w:rPr>
        <w:t>TOP 25 MEDICATIONS RECEIVED THROUGH MEDICARE PART D AFTER HOSPICE ADMISSION BY NON-CANCER HOSPICE ADMISSION DIAGNOSIS</w:t>
      </w:r>
      <w:r w:rsidRPr="00DF4C41">
        <w:rPr>
          <w:noProof/>
        </w:rPr>
        <w:tab/>
      </w:r>
      <w:r w:rsidRPr="00DF4C41">
        <w:rPr>
          <w:noProof/>
        </w:rPr>
        <w:fldChar w:fldCharType="begin"/>
      </w:r>
      <w:r w:rsidRPr="00DF4C41">
        <w:rPr>
          <w:noProof/>
        </w:rPr>
        <w:instrText xml:space="preserve"> PAGEREF _Toc507329276 \h </w:instrText>
      </w:r>
      <w:r w:rsidRPr="00DF4C41">
        <w:rPr>
          <w:noProof/>
        </w:rPr>
      </w:r>
      <w:r w:rsidRPr="00DF4C41">
        <w:rPr>
          <w:noProof/>
        </w:rPr>
        <w:fldChar w:fldCharType="separate"/>
      </w:r>
      <w:r w:rsidR="00B55AC2">
        <w:rPr>
          <w:noProof/>
        </w:rPr>
        <w:t>32</w:t>
      </w:r>
      <w:r w:rsidRPr="00DF4C41">
        <w:rPr>
          <w:noProof/>
        </w:rPr>
        <w:fldChar w:fldCharType="end"/>
      </w:r>
    </w:p>
    <w:p w14:paraId="3C4AC96C" w14:textId="4996C016" w:rsidR="00165E80" w:rsidRPr="00DF4C41" w:rsidRDefault="00165E80" w:rsidP="00DA3C24">
      <w:pPr>
        <w:pStyle w:val="ListofTables"/>
        <w:keepNext w:val="0"/>
        <w:rPr>
          <w:noProof/>
        </w:rPr>
      </w:pPr>
      <w:r w:rsidRPr="00DF4C41">
        <w:rPr>
          <w:noProof/>
        </w:rPr>
        <w:t>RECEIPT OF SELECTED DRUG AND THERAPEUTIC CLASSES THROUGH PART D AFTER HOSPICE ADMISSION, OVERALL AND BY CANCER AND NON-CANCER PRIMARY ADMISSION DIAGNOSIS</w:t>
      </w:r>
      <w:r w:rsidRPr="00DF4C41">
        <w:rPr>
          <w:noProof/>
        </w:rPr>
        <w:tab/>
      </w:r>
      <w:r w:rsidRPr="00DF4C41">
        <w:rPr>
          <w:noProof/>
        </w:rPr>
        <w:fldChar w:fldCharType="begin"/>
      </w:r>
      <w:r w:rsidRPr="00DF4C41">
        <w:rPr>
          <w:noProof/>
        </w:rPr>
        <w:instrText xml:space="preserve"> PAGEREF _Toc507329277 \h </w:instrText>
      </w:r>
      <w:r w:rsidRPr="00DF4C41">
        <w:rPr>
          <w:noProof/>
        </w:rPr>
      </w:r>
      <w:r w:rsidRPr="00DF4C41">
        <w:rPr>
          <w:noProof/>
        </w:rPr>
        <w:fldChar w:fldCharType="separate"/>
      </w:r>
      <w:r w:rsidR="00B55AC2">
        <w:rPr>
          <w:noProof/>
        </w:rPr>
        <w:t>35</w:t>
      </w:r>
      <w:r w:rsidRPr="00DF4C41">
        <w:rPr>
          <w:noProof/>
        </w:rPr>
        <w:fldChar w:fldCharType="end"/>
      </w:r>
    </w:p>
    <w:p w14:paraId="1C1E010A" w14:textId="3753F471" w:rsidR="00165E80" w:rsidRPr="00DF4C41" w:rsidRDefault="00165E80" w:rsidP="00DA3C24">
      <w:pPr>
        <w:pStyle w:val="ListofTables"/>
        <w:keepNext w:val="0"/>
        <w:rPr>
          <w:noProof/>
        </w:rPr>
      </w:pPr>
      <w:r w:rsidRPr="00DF4C41">
        <w:rPr>
          <w:noProof/>
        </w:rPr>
        <w:t>RECEIPT OF SELECTED DRUG AND THERAPEUTIC CLASSES THROUGH MEDICARE PART D AFTER HOSPICE ADMISSION BY NON-CANCER PRIMARY ADMISSION DIAGNOSIS</w:t>
      </w:r>
      <w:r w:rsidRPr="00DF4C41">
        <w:rPr>
          <w:noProof/>
        </w:rPr>
        <w:tab/>
      </w:r>
      <w:r w:rsidRPr="00DF4C41">
        <w:rPr>
          <w:noProof/>
        </w:rPr>
        <w:fldChar w:fldCharType="begin"/>
      </w:r>
      <w:r w:rsidRPr="00DF4C41">
        <w:rPr>
          <w:noProof/>
        </w:rPr>
        <w:instrText xml:space="preserve"> PAGEREF _Toc507329278 \h </w:instrText>
      </w:r>
      <w:r w:rsidRPr="00DF4C41">
        <w:rPr>
          <w:noProof/>
        </w:rPr>
      </w:r>
      <w:r w:rsidRPr="00DF4C41">
        <w:rPr>
          <w:noProof/>
        </w:rPr>
        <w:fldChar w:fldCharType="separate"/>
      </w:r>
      <w:r w:rsidR="00B55AC2">
        <w:rPr>
          <w:noProof/>
        </w:rPr>
        <w:t>36</w:t>
      </w:r>
      <w:r w:rsidRPr="00DF4C41">
        <w:rPr>
          <w:noProof/>
        </w:rPr>
        <w:fldChar w:fldCharType="end"/>
      </w:r>
    </w:p>
    <w:p w14:paraId="461A9714" w14:textId="2AD574D5" w:rsidR="00165E80" w:rsidRPr="00DF4C41" w:rsidRDefault="00165E80" w:rsidP="00DA3C24">
      <w:pPr>
        <w:pStyle w:val="ListofTables"/>
        <w:keepNext w:val="0"/>
        <w:rPr>
          <w:noProof/>
        </w:rPr>
      </w:pPr>
      <w:r w:rsidRPr="00DF4C41">
        <w:rPr>
          <w:noProof/>
        </w:rPr>
        <w:t>MEDICATION CLASSES IDENTIFIED AS BEING OF LIMITED BENEFIT IN HOSPICE PATIENTS AND CRITERIA FOR EXCLUSION FROM THE CONTINUATION ANALYSIS</w:t>
      </w:r>
      <w:r w:rsidRPr="00DF4C41">
        <w:rPr>
          <w:noProof/>
        </w:rPr>
        <w:tab/>
      </w:r>
      <w:r w:rsidRPr="00DF4C41">
        <w:rPr>
          <w:noProof/>
        </w:rPr>
        <w:fldChar w:fldCharType="begin"/>
      </w:r>
      <w:r w:rsidRPr="00DF4C41">
        <w:rPr>
          <w:noProof/>
        </w:rPr>
        <w:instrText xml:space="preserve"> PAGEREF _Toc507329279 \h </w:instrText>
      </w:r>
      <w:r w:rsidRPr="00DF4C41">
        <w:rPr>
          <w:noProof/>
        </w:rPr>
      </w:r>
      <w:r w:rsidRPr="00DF4C41">
        <w:rPr>
          <w:noProof/>
        </w:rPr>
        <w:fldChar w:fldCharType="separate"/>
      </w:r>
      <w:r w:rsidR="00B55AC2">
        <w:rPr>
          <w:noProof/>
        </w:rPr>
        <w:t>47</w:t>
      </w:r>
      <w:r w:rsidRPr="00DF4C41">
        <w:rPr>
          <w:noProof/>
        </w:rPr>
        <w:fldChar w:fldCharType="end"/>
      </w:r>
    </w:p>
    <w:p w14:paraId="0522A7D2" w14:textId="59EFEACA" w:rsidR="00165E80" w:rsidRPr="00DF4C41" w:rsidRDefault="00165E80" w:rsidP="00DA3C24">
      <w:pPr>
        <w:pStyle w:val="ListofTables"/>
        <w:keepNext w:val="0"/>
        <w:rPr>
          <w:noProof/>
        </w:rPr>
      </w:pPr>
      <w:r w:rsidRPr="00DF4C41">
        <w:rPr>
          <w:noProof/>
        </w:rPr>
        <w:t>DEMOGRAPHIC AND CLINICAL CHARACTERISTICS OF STUDY COHORT</w:t>
      </w:r>
      <w:r w:rsidRPr="00DF4C41">
        <w:rPr>
          <w:noProof/>
        </w:rPr>
        <w:tab/>
      </w:r>
      <w:r w:rsidRPr="00DF4C41">
        <w:rPr>
          <w:noProof/>
        </w:rPr>
        <w:fldChar w:fldCharType="begin"/>
      </w:r>
      <w:r w:rsidRPr="00DF4C41">
        <w:rPr>
          <w:noProof/>
        </w:rPr>
        <w:instrText xml:space="preserve"> PAGEREF _Toc507329280 \h </w:instrText>
      </w:r>
      <w:r w:rsidRPr="00DF4C41">
        <w:rPr>
          <w:noProof/>
        </w:rPr>
      </w:r>
      <w:r w:rsidRPr="00DF4C41">
        <w:rPr>
          <w:noProof/>
        </w:rPr>
        <w:fldChar w:fldCharType="separate"/>
      </w:r>
      <w:r w:rsidR="00B55AC2">
        <w:rPr>
          <w:noProof/>
        </w:rPr>
        <w:t>51</w:t>
      </w:r>
      <w:r w:rsidRPr="00DF4C41">
        <w:rPr>
          <w:noProof/>
        </w:rPr>
        <w:fldChar w:fldCharType="end"/>
      </w:r>
    </w:p>
    <w:p w14:paraId="1D8CD6B1" w14:textId="08B05A0D" w:rsidR="00165E80" w:rsidRPr="00DF4C41" w:rsidRDefault="00165E80" w:rsidP="00DA3C24">
      <w:pPr>
        <w:pStyle w:val="ListofTables"/>
        <w:keepNext w:val="0"/>
        <w:rPr>
          <w:noProof/>
        </w:rPr>
      </w:pPr>
      <w:r w:rsidRPr="00DF4C41">
        <w:rPr>
          <w:noProof/>
        </w:rPr>
        <w:t>PRE-HOSPICE ADMISSION LIM</w:t>
      </w:r>
      <w:r w:rsidR="00DA3C24">
        <w:rPr>
          <w:noProof/>
        </w:rPr>
        <w:t xml:space="preserve">ITED BENEFIT MEDICATION USE AND </w:t>
      </w:r>
      <w:r w:rsidRPr="00DF4C41">
        <w:rPr>
          <w:noProof/>
        </w:rPr>
        <w:t>POST-ADMISSION CONTINUATION AMONG PRE-ADMISSION USERS, OVERALL AND BY CANCER VERSUS NON-CANCER HOSPICE ADMISSION DIAGNOSIS</w:t>
      </w:r>
      <w:r w:rsidRPr="00DF4C41">
        <w:rPr>
          <w:noProof/>
        </w:rPr>
        <w:tab/>
      </w:r>
      <w:r w:rsidRPr="00DF4C41">
        <w:rPr>
          <w:noProof/>
        </w:rPr>
        <w:fldChar w:fldCharType="begin"/>
      </w:r>
      <w:r w:rsidRPr="00DF4C41">
        <w:rPr>
          <w:noProof/>
        </w:rPr>
        <w:instrText xml:space="preserve"> PAGEREF _Toc507329281 \h </w:instrText>
      </w:r>
      <w:r w:rsidRPr="00DF4C41">
        <w:rPr>
          <w:noProof/>
        </w:rPr>
      </w:r>
      <w:r w:rsidRPr="00DF4C41">
        <w:rPr>
          <w:noProof/>
        </w:rPr>
        <w:fldChar w:fldCharType="separate"/>
      </w:r>
      <w:r w:rsidR="00B55AC2">
        <w:rPr>
          <w:noProof/>
        </w:rPr>
        <w:t>54</w:t>
      </w:r>
      <w:r w:rsidRPr="00DF4C41">
        <w:rPr>
          <w:noProof/>
        </w:rPr>
        <w:fldChar w:fldCharType="end"/>
      </w:r>
    </w:p>
    <w:p w14:paraId="3F150F01" w14:textId="36EFB18C" w:rsidR="00165E80" w:rsidRDefault="00165E80" w:rsidP="00DA3C24">
      <w:pPr>
        <w:pStyle w:val="ListofTables"/>
        <w:keepNext w:val="0"/>
        <w:rPr>
          <w:noProof/>
        </w:rPr>
      </w:pPr>
      <w:r w:rsidRPr="00DF4C41">
        <w:rPr>
          <w:noProof/>
        </w:rPr>
        <w:t>FACTORS ASSOCIATED WITH CONTINUATION OF ≥1 LIMITED BENEFIT MEDICATION AFTER HOSPICE ADMISSION</w:t>
      </w:r>
      <w:r w:rsidRPr="00DF4C41">
        <w:rPr>
          <w:noProof/>
        </w:rPr>
        <w:tab/>
      </w:r>
      <w:r w:rsidRPr="00DF4C41">
        <w:rPr>
          <w:noProof/>
        </w:rPr>
        <w:fldChar w:fldCharType="begin"/>
      </w:r>
      <w:r w:rsidRPr="00DF4C41">
        <w:rPr>
          <w:noProof/>
        </w:rPr>
        <w:instrText xml:space="preserve"> PAGEREF _Toc507329282 \h </w:instrText>
      </w:r>
      <w:r w:rsidRPr="00DF4C41">
        <w:rPr>
          <w:noProof/>
        </w:rPr>
      </w:r>
      <w:r w:rsidRPr="00DF4C41">
        <w:rPr>
          <w:noProof/>
        </w:rPr>
        <w:fldChar w:fldCharType="separate"/>
      </w:r>
      <w:r w:rsidR="00B55AC2">
        <w:rPr>
          <w:noProof/>
        </w:rPr>
        <w:t>56</w:t>
      </w:r>
      <w:r w:rsidRPr="00DF4C41">
        <w:rPr>
          <w:noProof/>
        </w:rPr>
        <w:fldChar w:fldCharType="end"/>
      </w:r>
    </w:p>
    <w:p w14:paraId="4462396A" w14:textId="77777777" w:rsidR="00DA3C24" w:rsidRDefault="00DA3C24" w:rsidP="00DA3C24">
      <w:pPr>
        <w:pStyle w:val="ListofTables"/>
        <w:keepNext w:val="0"/>
        <w:numPr>
          <w:ilvl w:val="0"/>
          <w:numId w:val="0"/>
        </w:numPr>
        <w:rPr>
          <w:noProof/>
        </w:rPr>
      </w:pPr>
    </w:p>
    <w:p w14:paraId="1A4A0662" w14:textId="77777777" w:rsidR="005318B5" w:rsidRDefault="005318B5" w:rsidP="00DA3C24">
      <w:pPr>
        <w:pStyle w:val="ListofTables"/>
        <w:keepNext w:val="0"/>
        <w:numPr>
          <w:ilvl w:val="0"/>
          <w:numId w:val="0"/>
        </w:numPr>
        <w:rPr>
          <w:noProof/>
        </w:rPr>
      </w:pPr>
    </w:p>
    <w:p w14:paraId="24E38FE1" w14:textId="77777777" w:rsidR="005318B5" w:rsidRDefault="005318B5" w:rsidP="00DA3C24">
      <w:pPr>
        <w:pStyle w:val="ListofTables"/>
        <w:keepNext w:val="0"/>
        <w:numPr>
          <w:ilvl w:val="0"/>
          <w:numId w:val="0"/>
        </w:numPr>
        <w:rPr>
          <w:noProof/>
        </w:rPr>
      </w:pPr>
    </w:p>
    <w:p w14:paraId="7BC10FD9" w14:textId="77777777" w:rsidR="00DA3C24" w:rsidRDefault="00DA3C24" w:rsidP="00DA3C24">
      <w:pPr>
        <w:pStyle w:val="ListofTables"/>
        <w:keepNext w:val="0"/>
        <w:numPr>
          <w:ilvl w:val="0"/>
          <w:numId w:val="0"/>
        </w:numPr>
        <w:rPr>
          <w:noProof/>
        </w:rPr>
      </w:pPr>
    </w:p>
    <w:p w14:paraId="11D012DB" w14:textId="07417A31" w:rsidR="00DA3C24" w:rsidRDefault="00DA3C24" w:rsidP="00DA3C24">
      <w:pPr>
        <w:jc w:val="center"/>
        <w:rPr>
          <w:b/>
          <w:noProof/>
        </w:rPr>
      </w:pPr>
      <w:r w:rsidRPr="002B2951">
        <w:rPr>
          <w:b/>
          <w:noProof/>
        </w:rPr>
        <w:t>LIST OF TABLES</w:t>
      </w:r>
      <w:r>
        <w:rPr>
          <w:b/>
          <w:noProof/>
        </w:rPr>
        <w:t xml:space="preserve"> (continued)</w:t>
      </w:r>
    </w:p>
    <w:p w14:paraId="0D47AD4D" w14:textId="75F965BE" w:rsidR="00DA3C24" w:rsidRPr="00DA3C24" w:rsidRDefault="00DA3C24" w:rsidP="00DA3C24">
      <w:pPr>
        <w:spacing w:line="240" w:lineRule="auto"/>
        <w:rPr>
          <w:noProof/>
          <w:u w:val="single"/>
        </w:rPr>
      </w:pPr>
      <w:r w:rsidRPr="003B4760">
        <w:rPr>
          <w:noProof/>
          <w:u w:val="single"/>
        </w:rPr>
        <w:t>TABLE</w:t>
      </w:r>
      <w:r w:rsidRPr="003B4760">
        <w:rPr>
          <w:noProof/>
          <w:u w:val="single"/>
        </w:rPr>
        <w:tab/>
      </w:r>
      <w:r w:rsidRPr="003B4760">
        <w:rPr>
          <w:noProof/>
        </w:rPr>
        <w:tab/>
      </w:r>
      <w:r w:rsidRPr="003B4760">
        <w:rPr>
          <w:noProof/>
        </w:rPr>
        <w:tab/>
      </w:r>
      <w:r w:rsidRPr="003B4760">
        <w:rPr>
          <w:noProof/>
        </w:rPr>
        <w:tab/>
      </w:r>
      <w:r w:rsidRPr="003B4760">
        <w:rPr>
          <w:noProof/>
        </w:rPr>
        <w:tab/>
      </w:r>
      <w:r w:rsidRPr="003B4760">
        <w:rPr>
          <w:noProof/>
        </w:rPr>
        <w:tab/>
      </w:r>
      <w:r w:rsidRPr="003B4760">
        <w:rPr>
          <w:noProof/>
        </w:rPr>
        <w:tab/>
      </w:r>
      <w:r w:rsidRPr="003B4760">
        <w:rPr>
          <w:noProof/>
        </w:rPr>
        <w:tab/>
      </w:r>
      <w:r w:rsidRPr="003B4760">
        <w:rPr>
          <w:noProof/>
        </w:rPr>
        <w:tab/>
      </w:r>
      <w:r w:rsidRPr="003B4760">
        <w:rPr>
          <w:noProof/>
        </w:rPr>
        <w:tab/>
      </w:r>
      <w:r w:rsidRPr="003B4760">
        <w:rPr>
          <w:noProof/>
        </w:rPr>
        <w:tab/>
      </w:r>
      <w:r w:rsidRPr="003B4760">
        <w:rPr>
          <w:noProof/>
        </w:rPr>
        <w:tab/>
        <w:t xml:space="preserve"> </w:t>
      </w:r>
      <w:r>
        <w:rPr>
          <w:noProof/>
          <w:u w:val="single"/>
        </w:rPr>
        <w:t>PAGE</w:t>
      </w:r>
    </w:p>
    <w:p w14:paraId="25ED76E0" w14:textId="247B1DF4" w:rsidR="00165E80" w:rsidRPr="00DF4C41" w:rsidRDefault="00165E80" w:rsidP="00DA3C24">
      <w:pPr>
        <w:pStyle w:val="ListofTables"/>
        <w:keepNext w:val="0"/>
        <w:rPr>
          <w:noProof/>
        </w:rPr>
      </w:pPr>
      <w:r w:rsidRPr="00DF4C41">
        <w:rPr>
          <w:noProof/>
        </w:rPr>
        <w:t>POST-HOSPICE ADMISSION CONTINUATION OF ALL LIMITED BENEFIT MEDICATIONS AMONG PRE-ADMISSION USERS, CANCER VERSUS NON-CANCER HOSPICE ADMISSION DIAGNOSIS</w:t>
      </w:r>
      <w:r w:rsidRPr="00DF4C41">
        <w:rPr>
          <w:noProof/>
        </w:rPr>
        <w:tab/>
      </w:r>
      <w:r w:rsidRPr="00DF4C41">
        <w:rPr>
          <w:noProof/>
        </w:rPr>
        <w:fldChar w:fldCharType="begin"/>
      </w:r>
      <w:r w:rsidRPr="00DF4C41">
        <w:rPr>
          <w:noProof/>
        </w:rPr>
        <w:instrText xml:space="preserve"> PAGEREF _Toc507329283 \h </w:instrText>
      </w:r>
      <w:r w:rsidRPr="00DF4C41">
        <w:rPr>
          <w:noProof/>
        </w:rPr>
      </w:r>
      <w:r w:rsidRPr="00DF4C41">
        <w:rPr>
          <w:noProof/>
        </w:rPr>
        <w:fldChar w:fldCharType="separate"/>
      </w:r>
      <w:r w:rsidR="00B55AC2">
        <w:rPr>
          <w:noProof/>
        </w:rPr>
        <w:t>59</w:t>
      </w:r>
      <w:r w:rsidRPr="00DF4C41">
        <w:rPr>
          <w:noProof/>
        </w:rPr>
        <w:fldChar w:fldCharType="end"/>
      </w:r>
    </w:p>
    <w:p w14:paraId="21F63D3A" w14:textId="2238E82B" w:rsidR="00165E80" w:rsidRPr="00DF4C41" w:rsidRDefault="00165E80" w:rsidP="00DA3C24">
      <w:pPr>
        <w:pStyle w:val="ListofTables"/>
        <w:keepNext w:val="0"/>
        <w:rPr>
          <w:noProof/>
        </w:rPr>
      </w:pPr>
      <w:r w:rsidRPr="00DF4C41">
        <w:rPr>
          <w:noProof/>
        </w:rPr>
        <w:t>BASELINE CHARACTERISTICS OF HOSPICE PATIENTS EXPERIENCING ONE OR MORE HEALTHCARE TRANSITION AFTER HOSPICE ADMISSION AND MATCHED CONTROLS</w:t>
      </w:r>
      <w:r w:rsidRPr="00DF4C41">
        <w:rPr>
          <w:noProof/>
        </w:rPr>
        <w:tab/>
      </w:r>
      <w:r w:rsidRPr="00DF4C41">
        <w:rPr>
          <w:noProof/>
        </w:rPr>
        <w:fldChar w:fldCharType="begin"/>
      </w:r>
      <w:r w:rsidRPr="00DF4C41">
        <w:rPr>
          <w:noProof/>
        </w:rPr>
        <w:instrText xml:space="preserve"> PAGEREF _Toc507329284 \h </w:instrText>
      </w:r>
      <w:r w:rsidRPr="00DF4C41">
        <w:rPr>
          <w:noProof/>
        </w:rPr>
      </w:r>
      <w:r w:rsidRPr="00DF4C41">
        <w:rPr>
          <w:noProof/>
        </w:rPr>
        <w:fldChar w:fldCharType="separate"/>
      </w:r>
      <w:r w:rsidR="00B55AC2">
        <w:rPr>
          <w:noProof/>
        </w:rPr>
        <w:t>72</w:t>
      </w:r>
      <w:r w:rsidRPr="00DF4C41">
        <w:rPr>
          <w:noProof/>
        </w:rPr>
        <w:fldChar w:fldCharType="end"/>
      </w:r>
    </w:p>
    <w:p w14:paraId="7E97A957" w14:textId="7C2F7AE1" w:rsidR="00165E80" w:rsidRPr="00DF4C41" w:rsidRDefault="00165E80" w:rsidP="00DA3C24">
      <w:pPr>
        <w:pStyle w:val="ListofTables"/>
        <w:keepNext w:val="0"/>
        <w:rPr>
          <w:noProof/>
        </w:rPr>
      </w:pPr>
      <w:r w:rsidRPr="00DF4C41">
        <w:rPr>
          <w:noProof/>
        </w:rPr>
        <w:t>PREVALENCE OF LIMITED BENEFIT MEDICATION DISPENSING FOLLOWING BURDENSOME HEALTH CARE TRANSITIONS</w:t>
      </w:r>
      <w:r w:rsidRPr="00DF4C41">
        <w:rPr>
          <w:noProof/>
        </w:rPr>
        <w:tab/>
      </w:r>
      <w:r w:rsidRPr="00DF4C41">
        <w:rPr>
          <w:noProof/>
        </w:rPr>
        <w:fldChar w:fldCharType="begin"/>
      </w:r>
      <w:r w:rsidRPr="00DF4C41">
        <w:rPr>
          <w:noProof/>
        </w:rPr>
        <w:instrText xml:space="preserve"> PAGEREF _Toc507329285 \h </w:instrText>
      </w:r>
      <w:r w:rsidRPr="00DF4C41">
        <w:rPr>
          <w:noProof/>
        </w:rPr>
      </w:r>
      <w:r w:rsidRPr="00DF4C41">
        <w:rPr>
          <w:noProof/>
        </w:rPr>
        <w:fldChar w:fldCharType="separate"/>
      </w:r>
      <w:r w:rsidR="00B55AC2">
        <w:rPr>
          <w:noProof/>
        </w:rPr>
        <w:t>74</w:t>
      </w:r>
      <w:r w:rsidRPr="00DF4C41">
        <w:rPr>
          <w:noProof/>
        </w:rPr>
        <w:fldChar w:fldCharType="end"/>
      </w:r>
    </w:p>
    <w:p w14:paraId="1B48758E" w14:textId="7FDFC688" w:rsidR="00165E80" w:rsidRPr="00DF4C41" w:rsidRDefault="00165E80" w:rsidP="00DA3C24">
      <w:pPr>
        <w:pStyle w:val="ListofTables"/>
        <w:keepNext w:val="0"/>
        <w:rPr>
          <w:noProof/>
        </w:rPr>
      </w:pPr>
      <w:r w:rsidRPr="00DF4C41">
        <w:rPr>
          <w:noProof/>
        </w:rPr>
        <w:t>ASSOCIATION BETWEEN BURDENSOME HEALTH CARE TRANSITIONS AFTER HOSPICE ADMISSION AND DISPENSING OF LIMITED BENEFIT MEDICATIONS</w:t>
      </w:r>
      <w:r w:rsidRPr="00DF4C41">
        <w:rPr>
          <w:noProof/>
        </w:rPr>
        <w:tab/>
      </w:r>
      <w:r w:rsidRPr="00DF4C41">
        <w:rPr>
          <w:noProof/>
        </w:rPr>
        <w:fldChar w:fldCharType="begin"/>
      </w:r>
      <w:r w:rsidRPr="00DF4C41">
        <w:rPr>
          <w:noProof/>
        </w:rPr>
        <w:instrText xml:space="preserve"> PAGEREF _Toc507329286 \h </w:instrText>
      </w:r>
      <w:r w:rsidRPr="00DF4C41">
        <w:rPr>
          <w:noProof/>
        </w:rPr>
      </w:r>
      <w:r w:rsidRPr="00DF4C41">
        <w:rPr>
          <w:noProof/>
        </w:rPr>
        <w:fldChar w:fldCharType="separate"/>
      </w:r>
      <w:r w:rsidR="00B55AC2">
        <w:rPr>
          <w:noProof/>
        </w:rPr>
        <w:t>76</w:t>
      </w:r>
      <w:r w:rsidRPr="00DF4C41">
        <w:rPr>
          <w:noProof/>
        </w:rPr>
        <w:fldChar w:fldCharType="end"/>
      </w:r>
    </w:p>
    <w:p w14:paraId="45D2814E" w14:textId="46D04A24" w:rsidR="00165E80" w:rsidRPr="00DF4C41" w:rsidRDefault="00165E80" w:rsidP="00DA3C24">
      <w:pPr>
        <w:pStyle w:val="ListofTables"/>
        <w:keepNext w:val="0"/>
        <w:rPr>
          <w:noProof/>
        </w:rPr>
      </w:pPr>
      <w:r w:rsidRPr="00DF4C41">
        <w:rPr>
          <w:noProof/>
        </w:rPr>
        <w:t>SENSITIVITY ANALYSES AND STRATIFICATION BY TIME FROM HOSPICE ADMISSION TO INDEX DATE FOR THE ASSOCIATION BETWEEN BURDENSOME HEALTH CARE TRANSITIONS AND DISPENSING OF ONE OR MORE LIMITED BENEFIT MEDICATIONS</w:t>
      </w:r>
      <w:r w:rsidRPr="00DF4C41">
        <w:rPr>
          <w:noProof/>
        </w:rPr>
        <w:tab/>
      </w:r>
      <w:r w:rsidRPr="00DF4C41">
        <w:rPr>
          <w:noProof/>
        </w:rPr>
        <w:fldChar w:fldCharType="begin"/>
      </w:r>
      <w:r w:rsidRPr="00DF4C41">
        <w:rPr>
          <w:noProof/>
        </w:rPr>
        <w:instrText xml:space="preserve"> PAGEREF _Toc507329287 \h </w:instrText>
      </w:r>
      <w:r w:rsidRPr="00DF4C41">
        <w:rPr>
          <w:noProof/>
        </w:rPr>
      </w:r>
      <w:r w:rsidRPr="00DF4C41">
        <w:rPr>
          <w:noProof/>
        </w:rPr>
        <w:fldChar w:fldCharType="separate"/>
      </w:r>
      <w:r w:rsidR="00B55AC2">
        <w:rPr>
          <w:noProof/>
        </w:rPr>
        <w:t>76</w:t>
      </w:r>
      <w:r w:rsidRPr="00DF4C41">
        <w:rPr>
          <w:noProof/>
        </w:rPr>
        <w:fldChar w:fldCharType="end"/>
      </w:r>
    </w:p>
    <w:p w14:paraId="37B77A6F" w14:textId="3FB90EEF" w:rsidR="00165E80" w:rsidRPr="00DF4C41" w:rsidRDefault="00165E80" w:rsidP="00DA3C24">
      <w:pPr>
        <w:pStyle w:val="ListofTables"/>
        <w:keepNext w:val="0"/>
        <w:rPr>
          <w:noProof/>
        </w:rPr>
      </w:pPr>
      <w:r w:rsidRPr="00DF4C41">
        <w:rPr>
          <w:noProof/>
        </w:rPr>
        <w:t>MODEL ADJUSTMENT VARIABLES FOR ASSOCIATIONS BETWEEN BURDENSOME HEALTH CARE TRANSITIONS AFTER HOSPICE ADMISSION AND DISPENSING OF LIMITED BENEFIT MEDICATIONS</w:t>
      </w:r>
      <w:r w:rsidRPr="00DF4C41">
        <w:rPr>
          <w:noProof/>
        </w:rPr>
        <w:tab/>
      </w:r>
      <w:r w:rsidRPr="00DF4C41">
        <w:rPr>
          <w:noProof/>
        </w:rPr>
        <w:fldChar w:fldCharType="begin"/>
      </w:r>
      <w:r w:rsidRPr="00DF4C41">
        <w:rPr>
          <w:noProof/>
        </w:rPr>
        <w:instrText xml:space="preserve"> PAGEREF _Toc507329288 \h </w:instrText>
      </w:r>
      <w:r w:rsidRPr="00DF4C41">
        <w:rPr>
          <w:noProof/>
        </w:rPr>
      </w:r>
      <w:r w:rsidRPr="00DF4C41">
        <w:rPr>
          <w:noProof/>
        </w:rPr>
        <w:fldChar w:fldCharType="separate"/>
      </w:r>
      <w:r w:rsidR="00B55AC2">
        <w:rPr>
          <w:noProof/>
        </w:rPr>
        <w:t>77</w:t>
      </w:r>
      <w:r w:rsidRPr="00DF4C41">
        <w:rPr>
          <w:noProof/>
        </w:rPr>
        <w:fldChar w:fldCharType="end"/>
      </w:r>
    </w:p>
    <w:p w14:paraId="59C8D057" w14:textId="77777777" w:rsidR="00165E80" w:rsidRPr="003B4760" w:rsidRDefault="00165E80" w:rsidP="00BA343E">
      <w:pPr>
        <w:pStyle w:val="ListofTables"/>
        <w:numPr>
          <w:ilvl w:val="0"/>
          <w:numId w:val="0"/>
        </w:numPr>
        <w:ind w:left="720"/>
        <w:rPr>
          <w:u w:val="single"/>
        </w:rPr>
      </w:pPr>
      <w:r w:rsidRPr="00DF4C41">
        <w:fldChar w:fldCharType="end"/>
      </w:r>
    </w:p>
    <w:p w14:paraId="06FBA289" w14:textId="6B69ED7D" w:rsidR="009860CD" w:rsidRPr="002B2951" w:rsidRDefault="009860CD" w:rsidP="00112BC7">
      <w:pPr>
        <w:spacing w:before="240" w:after="0" w:line="240" w:lineRule="auto"/>
        <w:ind w:right="720" w:hanging="720"/>
      </w:pPr>
    </w:p>
    <w:p w14:paraId="4A5A2CE1" w14:textId="77777777" w:rsidR="00A61543" w:rsidRPr="002B2951" w:rsidRDefault="00A61543" w:rsidP="002B2951"/>
    <w:p w14:paraId="0078A15D" w14:textId="77777777" w:rsidR="00A61543" w:rsidRPr="002B2951" w:rsidRDefault="00A61543" w:rsidP="002B2951"/>
    <w:p w14:paraId="2ED3164C" w14:textId="77777777" w:rsidR="00A61543" w:rsidRPr="002B2951" w:rsidRDefault="00A61543" w:rsidP="002B2951"/>
    <w:p w14:paraId="730B2D36" w14:textId="77777777" w:rsidR="00A61543" w:rsidRDefault="00A61543" w:rsidP="00427FF8">
      <w:pPr>
        <w:jc w:val="center"/>
        <w:rPr>
          <w:b/>
        </w:rPr>
      </w:pPr>
    </w:p>
    <w:p w14:paraId="2426DA69" w14:textId="77777777" w:rsidR="00551762" w:rsidRDefault="00551762" w:rsidP="00427FF8">
      <w:pPr>
        <w:jc w:val="center"/>
        <w:rPr>
          <w:b/>
        </w:rPr>
      </w:pPr>
    </w:p>
    <w:p w14:paraId="0195B482" w14:textId="77777777" w:rsidR="00551762" w:rsidRDefault="00551762" w:rsidP="00427FF8">
      <w:pPr>
        <w:jc w:val="center"/>
        <w:rPr>
          <w:b/>
        </w:rPr>
      </w:pPr>
    </w:p>
    <w:p w14:paraId="3E8548E3" w14:textId="77777777" w:rsidR="005318B5" w:rsidRDefault="005318B5" w:rsidP="00427FF8">
      <w:pPr>
        <w:jc w:val="center"/>
        <w:rPr>
          <w:b/>
        </w:rPr>
      </w:pPr>
    </w:p>
    <w:p w14:paraId="47B98E1D" w14:textId="570ED61A" w:rsidR="00DA3C24" w:rsidRDefault="00DA3C24" w:rsidP="00DA3C24">
      <w:pPr>
        <w:jc w:val="center"/>
        <w:rPr>
          <w:b/>
        </w:rPr>
      </w:pPr>
      <w:r w:rsidRPr="002B2951">
        <w:rPr>
          <w:b/>
        </w:rPr>
        <w:lastRenderedPageBreak/>
        <w:t xml:space="preserve">LIST OF </w:t>
      </w:r>
      <w:r>
        <w:rPr>
          <w:b/>
        </w:rPr>
        <w:t>FIGURES</w:t>
      </w:r>
    </w:p>
    <w:p w14:paraId="348DCE85" w14:textId="39F654E7" w:rsidR="00DA3C24" w:rsidRDefault="00DA3C24" w:rsidP="00DA3C24">
      <w:pPr>
        <w:spacing w:line="240" w:lineRule="auto"/>
        <w:rPr>
          <w:u w:val="single"/>
        </w:rPr>
      </w:pPr>
      <w:r>
        <w:rPr>
          <w:u w:val="single"/>
        </w:rPr>
        <w:t>FIGURE</w:t>
      </w:r>
      <w:r w:rsidRPr="003B4760">
        <w:tab/>
      </w:r>
      <w:r w:rsidRPr="003B4760">
        <w:tab/>
      </w:r>
      <w:r w:rsidRPr="003B4760">
        <w:tab/>
      </w:r>
      <w:r w:rsidRPr="003B4760">
        <w:tab/>
      </w:r>
      <w:r w:rsidRPr="003B4760">
        <w:tab/>
      </w:r>
      <w:r w:rsidRPr="003B4760">
        <w:tab/>
      </w:r>
      <w:r w:rsidRPr="003B4760">
        <w:tab/>
      </w:r>
      <w:r w:rsidRPr="003B4760">
        <w:tab/>
      </w:r>
      <w:r w:rsidRPr="003B4760">
        <w:tab/>
      </w:r>
      <w:r w:rsidRPr="003B4760">
        <w:tab/>
        <w:t xml:space="preserve"> </w:t>
      </w:r>
      <w:r>
        <w:t xml:space="preserve">            </w:t>
      </w:r>
      <w:r>
        <w:rPr>
          <w:u w:val="single"/>
        </w:rPr>
        <w:t>PAGE</w:t>
      </w:r>
    </w:p>
    <w:p w14:paraId="1C1F9159" w14:textId="6CB7357D" w:rsidR="00AE2269" w:rsidRPr="00806C60" w:rsidRDefault="00AE2269" w:rsidP="00806C60">
      <w:pPr>
        <w:pStyle w:val="ListofFigures"/>
        <w:tabs>
          <w:tab w:val="left" w:pos="720"/>
        </w:tabs>
        <w:rPr>
          <w:noProof/>
        </w:rPr>
      </w:pPr>
      <w:r w:rsidRPr="00806C60">
        <w:fldChar w:fldCharType="begin"/>
      </w:r>
      <w:r w:rsidRPr="00806C60">
        <w:instrText xml:space="preserve"> TOC \c "Figure" </w:instrText>
      </w:r>
      <w:r w:rsidRPr="00806C60">
        <w:fldChar w:fldCharType="separate"/>
      </w:r>
      <w:r w:rsidRPr="00806C60">
        <w:rPr>
          <w:noProof/>
        </w:rPr>
        <w:t>Conceptual framework for LBM use in patients receiving hospice care</w:t>
      </w:r>
      <w:r w:rsidRPr="00806C60">
        <w:rPr>
          <w:noProof/>
        </w:rPr>
        <w:tab/>
      </w:r>
      <w:r w:rsidRPr="00806C60">
        <w:rPr>
          <w:noProof/>
        </w:rPr>
        <w:fldChar w:fldCharType="begin"/>
      </w:r>
      <w:r w:rsidRPr="00806C60">
        <w:rPr>
          <w:noProof/>
        </w:rPr>
        <w:instrText xml:space="preserve"> PAGEREF _Toc507332048 \h </w:instrText>
      </w:r>
      <w:r w:rsidRPr="00806C60">
        <w:rPr>
          <w:noProof/>
        </w:rPr>
      </w:r>
      <w:r w:rsidRPr="00806C60">
        <w:rPr>
          <w:noProof/>
        </w:rPr>
        <w:fldChar w:fldCharType="separate"/>
      </w:r>
      <w:r w:rsidR="00B55AC2">
        <w:rPr>
          <w:noProof/>
        </w:rPr>
        <w:t>20</w:t>
      </w:r>
      <w:r w:rsidRPr="00806C60">
        <w:rPr>
          <w:noProof/>
        </w:rPr>
        <w:fldChar w:fldCharType="end"/>
      </w:r>
    </w:p>
    <w:p w14:paraId="0217D0F6" w14:textId="121DE250" w:rsidR="00AE2269" w:rsidRPr="00806C60" w:rsidRDefault="00886249" w:rsidP="00806C60">
      <w:pPr>
        <w:pStyle w:val="ListofFigures"/>
        <w:tabs>
          <w:tab w:val="left" w:pos="720"/>
        </w:tabs>
        <w:rPr>
          <w:noProof/>
        </w:rPr>
      </w:pPr>
      <w:r>
        <w:rPr>
          <w:noProof/>
        </w:rPr>
        <w:t>Patient Flow Diagram for Aim 1</w:t>
      </w:r>
      <w:r w:rsidR="00AE2269" w:rsidRPr="00806C60">
        <w:rPr>
          <w:noProof/>
        </w:rPr>
        <w:tab/>
      </w:r>
      <w:r w:rsidR="00AE2269" w:rsidRPr="00806C60">
        <w:rPr>
          <w:noProof/>
        </w:rPr>
        <w:fldChar w:fldCharType="begin"/>
      </w:r>
      <w:r w:rsidR="00AE2269" w:rsidRPr="00806C60">
        <w:rPr>
          <w:noProof/>
        </w:rPr>
        <w:instrText xml:space="preserve"> PAGEREF _Toc507332049 \h </w:instrText>
      </w:r>
      <w:r w:rsidR="00AE2269" w:rsidRPr="00806C60">
        <w:rPr>
          <w:noProof/>
        </w:rPr>
      </w:r>
      <w:r w:rsidR="00AE2269" w:rsidRPr="00806C60">
        <w:rPr>
          <w:noProof/>
        </w:rPr>
        <w:fldChar w:fldCharType="separate"/>
      </w:r>
      <w:r w:rsidR="00B55AC2">
        <w:rPr>
          <w:noProof/>
        </w:rPr>
        <w:t>28</w:t>
      </w:r>
      <w:r w:rsidR="00AE2269" w:rsidRPr="00806C60">
        <w:rPr>
          <w:noProof/>
        </w:rPr>
        <w:fldChar w:fldCharType="end"/>
      </w:r>
    </w:p>
    <w:p w14:paraId="66B827BC" w14:textId="1F7FCC90" w:rsidR="00AE2269" w:rsidRPr="00806C60" w:rsidRDefault="00AE2269" w:rsidP="00886249">
      <w:pPr>
        <w:pStyle w:val="ListofFigures"/>
        <w:tabs>
          <w:tab w:val="left" w:pos="720"/>
        </w:tabs>
        <w:ind w:left="720" w:hanging="720"/>
        <w:rPr>
          <w:noProof/>
        </w:rPr>
      </w:pPr>
      <w:r w:rsidRPr="00806C60">
        <w:rPr>
          <w:noProof/>
        </w:rPr>
        <w:t>Trends in post-hospice admission Medicare Part D dispensing of selected therapeutic and drug classes by hospice admission year (2008-2012)</w:t>
      </w:r>
      <w:r w:rsidRPr="00806C60">
        <w:rPr>
          <w:noProof/>
        </w:rPr>
        <w:tab/>
      </w:r>
      <w:r w:rsidRPr="00806C60">
        <w:rPr>
          <w:noProof/>
        </w:rPr>
        <w:fldChar w:fldCharType="begin"/>
      </w:r>
      <w:r w:rsidRPr="00806C60">
        <w:rPr>
          <w:noProof/>
        </w:rPr>
        <w:instrText xml:space="preserve"> PAGEREF _Toc507332050 \h </w:instrText>
      </w:r>
      <w:r w:rsidRPr="00806C60">
        <w:rPr>
          <w:noProof/>
        </w:rPr>
      </w:r>
      <w:r w:rsidRPr="00806C60">
        <w:rPr>
          <w:noProof/>
        </w:rPr>
        <w:fldChar w:fldCharType="separate"/>
      </w:r>
      <w:r w:rsidR="00B55AC2">
        <w:rPr>
          <w:noProof/>
        </w:rPr>
        <w:t>38</w:t>
      </w:r>
      <w:r w:rsidRPr="00806C60">
        <w:rPr>
          <w:noProof/>
        </w:rPr>
        <w:fldChar w:fldCharType="end"/>
      </w:r>
    </w:p>
    <w:p w14:paraId="41D9443F" w14:textId="5A15A046" w:rsidR="00AE2269" w:rsidRPr="00806C60" w:rsidRDefault="00886249" w:rsidP="00806C60">
      <w:pPr>
        <w:pStyle w:val="ListofFigures"/>
        <w:tabs>
          <w:tab w:val="left" w:pos="720"/>
        </w:tabs>
        <w:rPr>
          <w:noProof/>
        </w:rPr>
      </w:pPr>
      <w:r>
        <w:rPr>
          <w:noProof/>
        </w:rPr>
        <w:t>Patient flow diagram for Aim 2</w:t>
      </w:r>
      <w:r w:rsidR="00AE2269" w:rsidRPr="00806C60">
        <w:rPr>
          <w:noProof/>
        </w:rPr>
        <w:tab/>
      </w:r>
      <w:r w:rsidR="00AE2269" w:rsidRPr="00806C60">
        <w:rPr>
          <w:noProof/>
        </w:rPr>
        <w:fldChar w:fldCharType="begin"/>
      </w:r>
      <w:r w:rsidR="00AE2269" w:rsidRPr="00806C60">
        <w:rPr>
          <w:noProof/>
        </w:rPr>
        <w:instrText xml:space="preserve"> PAGEREF _Toc507332051 \h </w:instrText>
      </w:r>
      <w:r w:rsidR="00AE2269" w:rsidRPr="00806C60">
        <w:rPr>
          <w:noProof/>
        </w:rPr>
      </w:r>
      <w:r w:rsidR="00AE2269" w:rsidRPr="00806C60">
        <w:rPr>
          <w:noProof/>
        </w:rPr>
        <w:fldChar w:fldCharType="separate"/>
      </w:r>
      <w:r w:rsidR="00B55AC2">
        <w:rPr>
          <w:noProof/>
        </w:rPr>
        <w:t>50</w:t>
      </w:r>
      <w:r w:rsidR="00AE2269" w:rsidRPr="00806C60">
        <w:rPr>
          <w:noProof/>
        </w:rPr>
        <w:fldChar w:fldCharType="end"/>
      </w:r>
    </w:p>
    <w:p w14:paraId="471BF369" w14:textId="2F13F9E5" w:rsidR="00AE2269" w:rsidRPr="00806C60" w:rsidRDefault="00AE2269" w:rsidP="00806C60">
      <w:pPr>
        <w:pStyle w:val="ListofFigures"/>
        <w:tabs>
          <w:tab w:val="left" w:pos="720"/>
        </w:tabs>
        <w:rPr>
          <w:noProof/>
        </w:rPr>
      </w:pPr>
      <w:r w:rsidRPr="00806C60">
        <w:rPr>
          <w:noProof/>
        </w:rPr>
        <w:t>Matching diagram for transitioners</w:t>
      </w:r>
      <w:r w:rsidR="00930472" w:rsidRPr="00806C60">
        <w:rPr>
          <w:noProof/>
        </w:rPr>
        <w:t xml:space="preserve"> and non-transitioning controls</w:t>
      </w:r>
      <w:r w:rsidRPr="00806C60">
        <w:rPr>
          <w:noProof/>
        </w:rPr>
        <w:tab/>
      </w:r>
      <w:r w:rsidRPr="00806C60">
        <w:rPr>
          <w:noProof/>
        </w:rPr>
        <w:fldChar w:fldCharType="begin"/>
      </w:r>
      <w:r w:rsidRPr="00806C60">
        <w:rPr>
          <w:noProof/>
        </w:rPr>
        <w:instrText xml:space="preserve"> PAGEREF _Toc507332052 \h </w:instrText>
      </w:r>
      <w:r w:rsidRPr="00806C60">
        <w:rPr>
          <w:noProof/>
        </w:rPr>
      </w:r>
      <w:r w:rsidRPr="00806C60">
        <w:rPr>
          <w:noProof/>
        </w:rPr>
        <w:fldChar w:fldCharType="separate"/>
      </w:r>
      <w:r w:rsidR="00B55AC2">
        <w:rPr>
          <w:noProof/>
        </w:rPr>
        <w:t>69</w:t>
      </w:r>
      <w:r w:rsidRPr="00806C60">
        <w:rPr>
          <w:noProof/>
        </w:rPr>
        <w:fldChar w:fldCharType="end"/>
      </w:r>
    </w:p>
    <w:p w14:paraId="3A23EC53" w14:textId="77777777" w:rsidR="00DA3C24" w:rsidRPr="00DA3C24" w:rsidRDefault="00AE2269" w:rsidP="00886249">
      <w:pPr>
        <w:pStyle w:val="ListofFigures"/>
        <w:numPr>
          <w:ilvl w:val="0"/>
          <w:numId w:val="0"/>
        </w:numPr>
        <w:tabs>
          <w:tab w:val="left" w:pos="720"/>
        </w:tabs>
      </w:pPr>
      <w:r w:rsidRPr="00806C60">
        <w:fldChar w:fldCharType="end"/>
      </w:r>
    </w:p>
    <w:p w14:paraId="0FF33CCD" w14:textId="77777777" w:rsidR="00976038" w:rsidRDefault="00976038" w:rsidP="00427FF8">
      <w:pPr>
        <w:jc w:val="center"/>
        <w:rPr>
          <w:b/>
        </w:rPr>
      </w:pPr>
    </w:p>
    <w:p w14:paraId="017034CE" w14:textId="77777777" w:rsidR="00976038" w:rsidRDefault="00976038" w:rsidP="00427FF8">
      <w:pPr>
        <w:jc w:val="center"/>
        <w:rPr>
          <w:b/>
        </w:rPr>
      </w:pPr>
    </w:p>
    <w:p w14:paraId="2FD2594C" w14:textId="77777777" w:rsidR="00A61543" w:rsidRDefault="00A61543" w:rsidP="00427FF8">
      <w:pPr>
        <w:jc w:val="center"/>
        <w:rPr>
          <w:b/>
        </w:rPr>
      </w:pPr>
    </w:p>
    <w:p w14:paraId="33B8979F" w14:textId="77777777" w:rsidR="00A61543" w:rsidRDefault="00A61543" w:rsidP="00427FF8">
      <w:pPr>
        <w:jc w:val="center"/>
        <w:rPr>
          <w:b/>
        </w:rPr>
      </w:pPr>
    </w:p>
    <w:p w14:paraId="4B9D6E86" w14:textId="77777777" w:rsidR="00A61543" w:rsidRDefault="00A61543" w:rsidP="00427FF8">
      <w:pPr>
        <w:jc w:val="center"/>
        <w:rPr>
          <w:b/>
        </w:rPr>
      </w:pPr>
    </w:p>
    <w:p w14:paraId="71A5FA9F" w14:textId="77777777" w:rsidR="00A61543" w:rsidRDefault="00A61543" w:rsidP="00427FF8">
      <w:pPr>
        <w:jc w:val="center"/>
        <w:rPr>
          <w:b/>
        </w:rPr>
      </w:pPr>
    </w:p>
    <w:p w14:paraId="078C8DD7" w14:textId="77777777" w:rsidR="00A61543" w:rsidRDefault="00A61543" w:rsidP="00427FF8">
      <w:pPr>
        <w:jc w:val="center"/>
        <w:rPr>
          <w:b/>
        </w:rPr>
      </w:pPr>
    </w:p>
    <w:p w14:paraId="362A301F" w14:textId="77777777" w:rsidR="00A61543" w:rsidRDefault="00A61543" w:rsidP="00427FF8">
      <w:pPr>
        <w:jc w:val="center"/>
        <w:rPr>
          <w:b/>
        </w:rPr>
      </w:pPr>
    </w:p>
    <w:p w14:paraId="0B84E5E3" w14:textId="77777777" w:rsidR="00A61543" w:rsidRDefault="00A61543" w:rsidP="00427FF8">
      <w:pPr>
        <w:jc w:val="center"/>
        <w:rPr>
          <w:b/>
        </w:rPr>
      </w:pPr>
    </w:p>
    <w:p w14:paraId="0473FA07" w14:textId="77777777" w:rsidR="00A61543" w:rsidRDefault="00A61543" w:rsidP="00427FF8">
      <w:pPr>
        <w:jc w:val="center"/>
        <w:rPr>
          <w:b/>
        </w:rPr>
      </w:pPr>
    </w:p>
    <w:p w14:paraId="704B99BC" w14:textId="77777777" w:rsidR="00A61543" w:rsidRDefault="00A61543" w:rsidP="00427FF8">
      <w:pPr>
        <w:jc w:val="center"/>
        <w:rPr>
          <w:b/>
        </w:rPr>
      </w:pPr>
    </w:p>
    <w:p w14:paraId="58B42B42" w14:textId="77777777" w:rsidR="000F299D" w:rsidRDefault="000F299D" w:rsidP="00DA3C24">
      <w:pPr>
        <w:rPr>
          <w:b/>
        </w:rPr>
      </w:pPr>
    </w:p>
    <w:p w14:paraId="0C229B54" w14:textId="77777777" w:rsidR="005318B5" w:rsidRDefault="005318B5" w:rsidP="00DA3C24">
      <w:pPr>
        <w:rPr>
          <w:b/>
        </w:rPr>
      </w:pPr>
    </w:p>
    <w:p w14:paraId="04D4C689" w14:textId="77777777" w:rsidR="00427FF8" w:rsidRDefault="00427FF8" w:rsidP="00551762">
      <w:pPr>
        <w:jc w:val="center"/>
        <w:rPr>
          <w:b/>
        </w:rPr>
      </w:pPr>
      <w:r>
        <w:rPr>
          <w:b/>
        </w:rPr>
        <w:lastRenderedPageBreak/>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7160"/>
      </w:tblGrid>
      <w:tr w:rsidR="0053115E" w14:paraId="486C10AF" w14:textId="77777777" w:rsidTr="00106DE7">
        <w:tc>
          <w:tcPr>
            <w:tcW w:w="1570" w:type="dxa"/>
          </w:tcPr>
          <w:p w14:paraId="71D13AED" w14:textId="4EE5017F" w:rsidR="0053115E" w:rsidRPr="000E0039" w:rsidRDefault="00B43593" w:rsidP="000F299D">
            <w:pPr>
              <w:spacing w:after="0"/>
            </w:pPr>
            <w:r>
              <w:t>ADE</w:t>
            </w:r>
          </w:p>
        </w:tc>
        <w:tc>
          <w:tcPr>
            <w:tcW w:w="7160" w:type="dxa"/>
          </w:tcPr>
          <w:p w14:paraId="02CE890B" w14:textId="42774CB0" w:rsidR="0053115E" w:rsidRPr="000E0039" w:rsidRDefault="00B43593" w:rsidP="00551762">
            <w:pPr>
              <w:spacing w:after="0"/>
            </w:pPr>
            <w:r>
              <w:t>Adverse Drug Event</w:t>
            </w:r>
          </w:p>
        </w:tc>
      </w:tr>
      <w:tr w:rsidR="005153F6" w14:paraId="6D58DD8E" w14:textId="77777777" w:rsidTr="00106DE7">
        <w:tc>
          <w:tcPr>
            <w:tcW w:w="1570" w:type="dxa"/>
          </w:tcPr>
          <w:p w14:paraId="5994B8E6" w14:textId="05388CAC" w:rsidR="005153F6" w:rsidRDefault="005153F6" w:rsidP="000F299D">
            <w:pPr>
              <w:spacing w:after="0"/>
            </w:pPr>
            <w:r>
              <w:t>CI</w:t>
            </w:r>
          </w:p>
        </w:tc>
        <w:tc>
          <w:tcPr>
            <w:tcW w:w="7160" w:type="dxa"/>
          </w:tcPr>
          <w:p w14:paraId="39863981" w14:textId="65794E2A" w:rsidR="005153F6" w:rsidRPr="00DF3833" w:rsidRDefault="005153F6" w:rsidP="00551762">
            <w:pPr>
              <w:spacing w:after="0"/>
            </w:pPr>
            <w:r>
              <w:t>Confidence Interval</w:t>
            </w:r>
          </w:p>
        </w:tc>
      </w:tr>
      <w:tr w:rsidR="0053115E" w14:paraId="266C2EF4" w14:textId="77777777" w:rsidTr="00106DE7">
        <w:tc>
          <w:tcPr>
            <w:tcW w:w="1570" w:type="dxa"/>
          </w:tcPr>
          <w:p w14:paraId="74C8F16D" w14:textId="77777777" w:rsidR="0053115E" w:rsidRPr="000E0039" w:rsidRDefault="009D41E7" w:rsidP="000F299D">
            <w:pPr>
              <w:spacing w:after="0"/>
            </w:pPr>
            <w:r>
              <w:t>CMS</w:t>
            </w:r>
          </w:p>
        </w:tc>
        <w:tc>
          <w:tcPr>
            <w:tcW w:w="7160" w:type="dxa"/>
          </w:tcPr>
          <w:p w14:paraId="5BE2C9FF" w14:textId="77777777" w:rsidR="0053115E" w:rsidRPr="000E0039" w:rsidRDefault="009D41E7" w:rsidP="00551762">
            <w:pPr>
              <w:spacing w:after="0"/>
            </w:pPr>
            <w:r w:rsidRPr="00DF3833">
              <w:t>Centers for Medicaid and Medicare Services</w:t>
            </w:r>
          </w:p>
        </w:tc>
      </w:tr>
      <w:tr w:rsidR="009D41E7" w14:paraId="53F97BEC" w14:textId="77777777" w:rsidTr="00106DE7">
        <w:tc>
          <w:tcPr>
            <w:tcW w:w="1570" w:type="dxa"/>
          </w:tcPr>
          <w:p w14:paraId="1F520F06" w14:textId="263EA3F1" w:rsidR="009D41E7" w:rsidRDefault="00BE2904" w:rsidP="000F299D">
            <w:pPr>
              <w:spacing w:after="0"/>
            </w:pPr>
            <w:r>
              <w:t>DDI</w:t>
            </w:r>
          </w:p>
        </w:tc>
        <w:tc>
          <w:tcPr>
            <w:tcW w:w="7160" w:type="dxa"/>
          </w:tcPr>
          <w:p w14:paraId="2A171E7D" w14:textId="4C242972" w:rsidR="009D41E7" w:rsidRPr="00DF3833" w:rsidRDefault="00BE2904" w:rsidP="00551762">
            <w:pPr>
              <w:spacing w:after="0"/>
            </w:pPr>
            <w:r>
              <w:t>Drug-Drug Interaction</w:t>
            </w:r>
          </w:p>
        </w:tc>
      </w:tr>
      <w:tr w:rsidR="009D41E7" w14:paraId="0E9A9314" w14:textId="77777777" w:rsidTr="00106DE7">
        <w:tc>
          <w:tcPr>
            <w:tcW w:w="1570" w:type="dxa"/>
          </w:tcPr>
          <w:p w14:paraId="3DFD1DF7" w14:textId="77777777" w:rsidR="009D41E7" w:rsidRDefault="009D41E7" w:rsidP="000F299D">
            <w:pPr>
              <w:spacing w:after="0"/>
            </w:pPr>
            <w:r>
              <w:t>ED</w:t>
            </w:r>
          </w:p>
        </w:tc>
        <w:tc>
          <w:tcPr>
            <w:tcW w:w="7160" w:type="dxa"/>
          </w:tcPr>
          <w:p w14:paraId="32735BEE" w14:textId="77777777" w:rsidR="009D41E7" w:rsidRPr="00DF3833" w:rsidRDefault="009D41E7" w:rsidP="00551762">
            <w:pPr>
              <w:spacing w:after="0"/>
            </w:pPr>
            <w:r>
              <w:t>Emergency Department</w:t>
            </w:r>
          </w:p>
        </w:tc>
      </w:tr>
      <w:tr w:rsidR="0053115E" w14:paraId="5CD8537F" w14:textId="77777777" w:rsidTr="00106DE7">
        <w:tc>
          <w:tcPr>
            <w:tcW w:w="1570" w:type="dxa"/>
          </w:tcPr>
          <w:p w14:paraId="5B092308" w14:textId="77777777" w:rsidR="0053115E" w:rsidRPr="000E0039" w:rsidRDefault="009D41E7" w:rsidP="000F299D">
            <w:pPr>
              <w:spacing w:after="0"/>
            </w:pPr>
            <w:r>
              <w:t>EOL</w:t>
            </w:r>
          </w:p>
        </w:tc>
        <w:tc>
          <w:tcPr>
            <w:tcW w:w="7160" w:type="dxa"/>
          </w:tcPr>
          <w:p w14:paraId="0891CFAA" w14:textId="77777777" w:rsidR="0053115E" w:rsidRPr="000E0039" w:rsidRDefault="009D41E7" w:rsidP="00551762">
            <w:pPr>
              <w:spacing w:after="0"/>
            </w:pPr>
            <w:r>
              <w:t>End of Life</w:t>
            </w:r>
          </w:p>
        </w:tc>
      </w:tr>
      <w:tr w:rsidR="009D41E7" w14:paraId="225CBA61" w14:textId="77777777" w:rsidTr="00106DE7">
        <w:tc>
          <w:tcPr>
            <w:tcW w:w="1570" w:type="dxa"/>
          </w:tcPr>
          <w:p w14:paraId="72080574" w14:textId="77777777" w:rsidR="009D41E7" w:rsidRPr="000E0039" w:rsidRDefault="002116F6" w:rsidP="000F299D">
            <w:pPr>
              <w:spacing w:after="0"/>
            </w:pPr>
            <w:r>
              <w:t>IAHPC</w:t>
            </w:r>
          </w:p>
        </w:tc>
        <w:tc>
          <w:tcPr>
            <w:tcW w:w="7160" w:type="dxa"/>
          </w:tcPr>
          <w:p w14:paraId="38C61692" w14:textId="77777777" w:rsidR="009D41E7" w:rsidRPr="000F299D" w:rsidRDefault="002116F6" w:rsidP="00551762">
            <w:pPr>
              <w:spacing w:after="0"/>
            </w:pPr>
            <w:r w:rsidRPr="000F299D">
              <w:t>International Association for Hospice and Palliative Care</w:t>
            </w:r>
          </w:p>
        </w:tc>
      </w:tr>
      <w:tr w:rsidR="000F299D" w14:paraId="40F91C69" w14:textId="77777777" w:rsidTr="00106DE7">
        <w:tc>
          <w:tcPr>
            <w:tcW w:w="1570" w:type="dxa"/>
          </w:tcPr>
          <w:p w14:paraId="289252C2" w14:textId="025D8496" w:rsidR="000F299D" w:rsidRDefault="000F299D" w:rsidP="000F299D">
            <w:pPr>
              <w:spacing w:after="0"/>
            </w:pPr>
            <w:r>
              <w:t>ICD-9</w:t>
            </w:r>
          </w:p>
        </w:tc>
        <w:tc>
          <w:tcPr>
            <w:tcW w:w="7160" w:type="dxa"/>
          </w:tcPr>
          <w:p w14:paraId="107DB0ED" w14:textId="2FC3B758" w:rsidR="000F299D" w:rsidRPr="000F299D" w:rsidRDefault="000F299D" w:rsidP="00551762">
            <w:pPr>
              <w:spacing w:after="0"/>
            </w:pPr>
            <w:r w:rsidRPr="000F299D">
              <w:rPr>
                <w:rFonts w:cs="Arial"/>
                <w:iCs/>
                <w:szCs w:val="22"/>
              </w:rPr>
              <w:t>International Classification of Diseases, Ninth Revision</w:t>
            </w:r>
          </w:p>
        </w:tc>
      </w:tr>
      <w:tr w:rsidR="009D41E7" w14:paraId="21D5E40D" w14:textId="77777777" w:rsidTr="00106DE7">
        <w:tc>
          <w:tcPr>
            <w:tcW w:w="1570" w:type="dxa"/>
          </w:tcPr>
          <w:p w14:paraId="5A66DED3" w14:textId="77777777" w:rsidR="009D41E7" w:rsidRPr="000E0039" w:rsidRDefault="009D41E7" w:rsidP="000F299D">
            <w:pPr>
              <w:spacing w:after="0"/>
            </w:pPr>
            <w:r>
              <w:t>IRR</w:t>
            </w:r>
          </w:p>
        </w:tc>
        <w:tc>
          <w:tcPr>
            <w:tcW w:w="7160" w:type="dxa"/>
          </w:tcPr>
          <w:p w14:paraId="377F1859" w14:textId="77777777" w:rsidR="009D41E7" w:rsidRPr="000E0039" w:rsidRDefault="009D41E7" w:rsidP="00551762">
            <w:pPr>
              <w:spacing w:after="0"/>
            </w:pPr>
            <w:r>
              <w:t>Incidence Rate Ratio</w:t>
            </w:r>
          </w:p>
        </w:tc>
      </w:tr>
      <w:tr w:rsidR="0053115E" w14:paraId="6815E403" w14:textId="77777777" w:rsidTr="00106DE7">
        <w:tc>
          <w:tcPr>
            <w:tcW w:w="1570" w:type="dxa"/>
          </w:tcPr>
          <w:p w14:paraId="24C3A63F" w14:textId="77777777" w:rsidR="0053115E" w:rsidRPr="000E0039" w:rsidRDefault="000E0039" w:rsidP="000F299D">
            <w:pPr>
              <w:spacing w:after="0"/>
            </w:pPr>
            <w:r w:rsidRPr="000E0039">
              <w:t>LBM</w:t>
            </w:r>
          </w:p>
        </w:tc>
        <w:tc>
          <w:tcPr>
            <w:tcW w:w="7160" w:type="dxa"/>
          </w:tcPr>
          <w:p w14:paraId="00CD8938" w14:textId="77777777" w:rsidR="0053115E" w:rsidRPr="000E0039" w:rsidRDefault="000E0039" w:rsidP="00551762">
            <w:pPr>
              <w:spacing w:after="0"/>
            </w:pPr>
            <w:r w:rsidRPr="000E0039">
              <w:t>Limited Benefit Medication</w:t>
            </w:r>
          </w:p>
        </w:tc>
      </w:tr>
      <w:tr w:rsidR="0053115E" w14:paraId="0A8A7B62" w14:textId="77777777" w:rsidTr="00106DE7">
        <w:tc>
          <w:tcPr>
            <w:tcW w:w="1570" w:type="dxa"/>
          </w:tcPr>
          <w:p w14:paraId="2AD9298C" w14:textId="77777777" w:rsidR="0053115E" w:rsidRPr="000E0039" w:rsidRDefault="000E0039" w:rsidP="000F299D">
            <w:pPr>
              <w:spacing w:after="0"/>
            </w:pPr>
            <w:r w:rsidRPr="000E0039">
              <w:t>MHB</w:t>
            </w:r>
          </w:p>
        </w:tc>
        <w:tc>
          <w:tcPr>
            <w:tcW w:w="7160" w:type="dxa"/>
          </w:tcPr>
          <w:p w14:paraId="681BB8B9" w14:textId="77777777" w:rsidR="0053115E" w:rsidRPr="000E0039" w:rsidRDefault="000E0039" w:rsidP="00551762">
            <w:pPr>
              <w:spacing w:after="0"/>
            </w:pPr>
            <w:r w:rsidRPr="000E0039">
              <w:t>Medicare Hospice Benefit</w:t>
            </w:r>
          </w:p>
        </w:tc>
      </w:tr>
      <w:tr w:rsidR="001444C9" w14:paraId="4862FF1D" w14:textId="77777777" w:rsidTr="00106DE7">
        <w:tc>
          <w:tcPr>
            <w:tcW w:w="1570" w:type="dxa"/>
          </w:tcPr>
          <w:p w14:paraId="7DAC20D6" w14:textId="77777777" w:rsidR="001444C9" w:rsidRDefault="001444C9" w:rsidP="000F299D">
            <w:pPr>
              <w:spacing w:after="0"/>
            </w:pPr>
            <w:r>
              <w:t>PIM</w:t>
            </w:r>
          </w:p>
        </w:tc>
        <w:tc>
          <w:tcPr>
            <w:tcW w:w="7160" w:type="dxa"/>
          </w:tcPr>
          <w:p w14:paraId="4F74A176" w14:textId="77777777" w:rsidR="001444C9" w:rsidRDefault="001444C9" w:rsidP="00551762">
            <w:pPr>
              <w:spacing w:after="0"/>
            </w:pPr>
            <w:r>
              <w:t>Potentially Inappropriate Medication</w:t>
            </w:r>
          </w:p>
        </w:tc>
      </w:tr>
      <w:tr w:rsidR="0053115E" w14:paraId="2A852E4B" w14:textId="77777777" w:rsidTr="00106DE7">
        <w:tc>
          <w:tcPr>
            <w:tcW w:w="1570" w:type="dxa"/>
          </w:tcPr>
          <w:p w14:paraId="18E1CDCF" w14:textId="77777777" w:rsidR="0053115E" w:rsidRPr="000E0039" w:rsidRDefault="009D41E7" w:rsidP="000F299D">
            <w:pPr>
              <w:spacing w:after="0"/>
            </w:pPr>
            <w:r>
              <w:t>RR</w:t>
            </w:r>
          </w:p>
        </w:tc>
        <w:tc>
          <w:tcPr>
            <w:tcW w:w="7160" w:type="dxa"/>
          </w:tcPr>
          <w:p w14:paraId="29A1429C" w14:textId="77777777" w:rsidR="0053115E" w:rsidRPr="000E0039" w:rsidRDefault="009D41E7" w:rsidP="00551762">
            <w:pPr>
              <w:spacing w:after="0"/>
            </w:pPr>
            <w:r>
              <w:t>Relative Risk</w:t>
            </w:r>
          </w:p>
        </w:tc>
      </w:tr>
      <w:tr w:rsidR="0053115E" w14:paraId="16089955" w14:textId="77777777" w:rsidTr="00106DE7">
        <w:tc>
          <w:tcPr>
            <w:tcW w:w="1570" w:type="dxa"/>
          </w:tcPr>
          <w:p w14:paraId="524DC1FF" w14:textId="76A12558" w:rsidR="0053115E" w:rsidRPr="000E0039" w:rsidRDefault="008C40DE" w:rsidP="000F299D">
            <w:pPr>
              <w:spacing w:after="0"/>
            </w:pPr>
            <w:r>
              <w:t>SEER</w:t>
            </w:r>
          </w:p>
        </w:tc>
        <w:tc>
          <w:tcPr>
            <w:tcW w:w="7160" w:type="dxa"/>
          </w:tcPr>
          <w:p w14:paraId="0C1829CF" w14:textId="060B329B" w:rsidR="0053115E" w:rsidRPr="008C40DE" w:rsidRDefault="008C40DE" w:rsidP="00551762">
            <w:pPr>
              <w:spacing w:after="0"/>
              <w:rPr>
                <w:szCs w:val="22"/>
              </w:rPr>
            </w:pPr>
            <w:r w:rsidRPr="008C40DE">
              <w:rPr>
                <w:szCs w:val="22"/>
              </w:rPr>
              <w:t>Surveillance, Epidemiology and End Results</w:t>
            </w:r>
          </w:p>
        </w:tc>
      </w:tr>
      <w:tr w:rsidR="00106DE7" w14:paraId="09B3568B" w14:textId="77777777" w:rsidTr="00106DE7">
        <w:tc>
          <w:tcPr>
            <w:tcW w:w="1570" w:type="dxa"/>
          </w:tcPr>
          <w:p w14:paraId="343227F9" w14:textId="28F551CC" w:rsidR="00106DE7" w:rsidRDefault="00106DE7" w:rsidP="000F299D">
            <w:pPr>
              <w:spacing w:after="0"/>
            </w:pPr>
            <w:r>
              <w:t>STOPPFrail</w:t>
            </w:r>
          </w:p>
        </w:tc>
        <w:tc>
          <w:tcPr>
            <w:tcW w:w="7160" w:type="dxa"/>
          </w:tcPr>
          <w:p w14:paraId="210D5AB8" w14:textId="77777777" w:rsidR="00106DE7" w:rsidRDefault="00106DE7" w:rsidP="00106DE7">
            <w:pPr>
              <w:spacing w:after="0" w:line="240" w:lineRule="auto"/>
              <w:rPr>
                <w:szCs w:val="22"/>
              </w:rPr>
            </w:pPr>
            <w:r w:rsidRPr="00106DE7">
              <w:rPr>
                <w:szCs w:val="22"/>
              </w:rPr>
              <w:t>Screening Tool of Older Persons Prescriptions in Frail adults with limited life expectancy</w:t>
            </w:r>
          </w:p>
          <w:p w14:paraId="03345526" w14:textId="320FF34B" w:rsidR="00106DE7" w:rsidRPr="008C40DE" w:rsidRDefault="00106DE7" w:rsidP="00106DE7">
            <w:pPr>
              <w:spacing w:after="0" w:line="240" w:lineRule="auto"/>
              <w:rPr>
                <w:szCs w:val="22"/>
              </w:rPr>
            </w:pPr>
          </w:p>
        </w:tc>
      </w:tr>
      <w:tr w:rsidR="00080E78" w14:paraId="773CE470" w14:textId="77777777" w:rsidTr="00106DE7">
        <w:tc>
          <w:tcPr>
            <w:tcW w:w="1570" w:type="dxa"/>
          </w:tcPr>
          <w:p w14:paraId="0B5300F4" w14:textId="0F24508B" w:rsidR="00080E78" w:rsidRDefault="00080E78" w:rsidP="000F299D">
            <w:pPr>
              <w:spacing w:after="0"/>
            </w:pPr>
            <w:r>
              <w:t>US</w:t>
            </w:r>
          </w:p>
        </w:tc>
        <w:tc>
          <w:tcPr>
            <w:tcW w:w="7160" w:type="dxa"/>
          </w:tcPr>
          <w:p w14:paraId="0A584432" w14:textId="2153D9C7" w:rsidR="00080E78" w:rsidRPr="008C40DE" w:rsidRDefault="00080E78" w:rsidP="00551762">
            <w:pPr>
              <w:spacing w:after="0"/>
              <w:rPr>
                <w:szCs w:val="22"/>
              </w:rPr>
            </w:pPr>
            <w:r>
              <w:rPr>
                <w:szCs w:val="22"/>
              </w:rPr>
              <w:t>United States</w:t>
            </w:r>
          </w:p>
        </w:tc>
      </w:tr>
    </w:tbl>
    <w:p w14:paraId="587CD888" w14:textId="77777777" w:rsidR="0053115E" w:rsidRDefault="0053115E" w:rsidP="00427FF8">
      <w:pPr>
        <w:jc w:val="center"/>
        <w:rPr>
          <w:b/>
        </w:rPr>
      </w:pPr>
    </w:p>
    <w:p w14:paraId="0EC14CE8" w14:textId="77777777" w:rsidR="00A61543" w:rsidRDefault="00A61543" w:rsidP="005153F6">
      <w:pPr>
        <w:rPr>
          <w:b/>
        </w:rPr>
      </w:pPr>
    </w:p>
    <w:p w14:paraId="75A8973B" w14:textId="77777777" w:rsidR="00EA1C44" w:rsidRDefault="00EA1C44" w:rsidP="005153F6">
      <w:pPr>
        <w:rPr>
          <w:b/>
        </w:rPr>
      </w:pPr>
    </w:p>
    <w:p w14:paraId="5FBEAEAA" w14:textId="77777777" w:rsidR="00EA1C44" w:rsidRDefault="00EA1C44" w:rsidP="005153F6">
      <w:pPr>
        <w:rPr>
          <w:b/>
        </w:rPr>
      </w:pPr>
    </w:p>
    <w:p w14:paraId="313F8FE4" w14:textId="77777777" w:rsidR="00EA1C44" w:rsidRDefault="00EA1C44" w:rsidP="005153F6">
      <w:pPr>
        <w:rPr>
          <w:b/>
        </w:rPr>
      </w:pPr>
    </w:p>
    <w:p w14:paraId="6E7FF963" w14:textId="77777777" w:rsidR="00EA1C44" w:rsidRDefault="00EA1C44" w:rsidP="005153F6">
      <w:pPr>
        <w:rPr>
          <w:b/>
        </w:rPr>
      </w:pPr>
    </w:p>
    <w:p w14:paraId="36F4752F" w14:textId="77777777" w:rsidR="00C46250" w:rsidRDefault="0053115E" w:rsidP="00466BE1">
      <w:pPr>
        <w:jc w:val="center"/>
        <w:rPr>
          <w:b/>
        </w:rPr>
      </w:pPr>
      <w:r>
        <w:rPr>
          <w:b/>
        </w:rPr>
        <w:lastRenderedPageBreak/>
        <w:t>SUMMARY</w:t>
      </w:r>
    </w:p>
    <w:p w14:paraId="6177F7C1" w14:textId="4CA9C823" w:rsidR="00541979" w:rsidRDefault="006C0CF8" w:rsidP="00FC6AAA">
      <w:pPr>
        <w:spacing w:after="0"/>
        <w:rPr>
          <w:rFonts w:cs="Arial"/>
        </w:rPr>
      </w:pPr>
      <w:bookmarkStart w:id="32" w:name="_Toc506036781"/>
      <w:r>
        <w:tab/>
      </w:r>
      <w:r w:rsidR="00D775E4">
        <w:t>In the United States</w:t>
      </w:r>
      <w:r w:rsidR="00502CB8">
        <w:t xml:space="preserve"> (US)</w:t>
      </w:r>
      <w:r w:rsidR="00D775E4">
        <w:t xml:space="preserve">, </w:t>
      </w:r>
      <w:r w:rsidR="00840C8E">
        <w:t xml:space="preserve">hospice is </w:t>
      </w:r>
      <w:r w:rsidR="006348C0">
        <w:t xml:space="preserve">an </w:t>
      </w:r>
      <w:r w:rsidR="00840C8E">
        <w:t xml:space="preserve">increasingly utilized </w:t>
      </w:r>
      <w:r w:rsidR="006348C0">
        <w:t xml:space="preserve">mode of end of life </w:t>
      </w:r>
      <w:r w:rsidR="00BB5434">
        <w:t xml:space="preserve">(EOL) </w:t>
      </w:r>
      <w:r w:rsidR="006348C0">
        <w:t>care. Patients enrollin</w:t>
      </w:r>
      <w:r w:rsidR="006348C0" w:rsidRPr="006B444E">
        <w:rPr>
          <w:rFonts w:cs="Arial"/>
        </w:rPr>
        <w:t xml:space="preserve">g in hospice forego curative treatment in favor of holistic </w:t>
      </w:r>
      <w:r w:rsidR="006B444E" w:rsidRPr="006B444E">
        <w:rPr>
          <w:rFonts w:cs="Arial"/>
        </w:rPr>
        <w:t>palliative</w:t>
      </w:r>
      <w:r w:rsidR="006348C0" w:rsidRPr="006B444E">
        <w:rPr>
          <w:rFonts w:cs="Arial"/>
        </w:rPr>
        <w:t xml:space="preserve"> care aimed at relieving symptoms and </w:t>
      </w:r>
      <w:r w:rsidR="006B444E" w:rsidRPr="006B444E">
        <w:rPr>
          <w:rFonts w:cs="Arial"/>
        </w:rPr>
        <w:t>maximizing</w:t>
      </w:r>
      <w:r w:rsidR="006348C0" w:rsidRPr="006B444E">
        <w:rPr>
          <w:rFonts w:cs="Arial"/>
        </w:rPr>
        <w:t xml:space="preserve"> quality of life in </w:t>
      </w:r>
      <w:r w:rsidR="00E347F3" w:rsidRPr="006B444E">
        <w:rPr>
          <w:rFonts w:cs="Arial"/>
        </w:rPr>
        <w:t xml:space="preserve">their final weeks and days. </w:t>
      </w:r>
      <w:r w:rsidR="009418B5">
        <w:rPr>
          <w:rFonts w:cs="Arial"/>
        </w:rPr>
        <w:t>In 2015</w:t>
      </w:r>
      <w:r w:rsidR="00E347F3" w:rsidRPr="006B444E">
        <w:rPr>
          <w:rFonts w:cs="Arial"/>
        </w:rPr>
        <w:t>, nearly half of older Medicare beneficiaries die</w:t>
      </w:r>
      <w:r w:rsidR="009418B5">
        <w:rPr>
          <w:rFonts w:cs="Arial"/>
        </w:rPr>
        <w:t>d</w:t>
      </w:r>
      <w:r w:rsidR="00E347F3" w:rsidRPr="006B444E">
        <w:rPr>
          <w:rFonts w:cs="Arial"/>
        </w:rPr>
        <w:t xml:space="preserve"> in hospice. </w:t>
      </w:r>
      <w:r w:rsidR="006B444E" w:rsidRPr="006B444E">
        <w:rPr>
          <w:rFonts w:cs="Arial"/>
        </w:rPr>
        <w:t xml:space="preserve">Given the widespread use of hospice services, it is of </w:t>
      </w:r>
      <w:r w:rsidR="00801322">
        <w:rPr>
          <w:rFonts w:cs="Arial"/>
        </w:rPr>
        <w:t>great</w:t>
      </w:r>
      <w:r w:rsidR="006B444E" w:rsidRPr="006B444E">
        <w:rPr>
          <w:rFonts w:cs="Arial"/>
        </w:rPr>
        <w:t xml:space="preserve"> public health importance to ensure that high-quality</w:t>
      </w:r>
      <w:r w:rsidR="00801322">
        <w:rPr>
          <w:rFonts w:cs="Arial"/>
        </w:rPr>
        <w:t>, ethical</w:t>
      </w:r>
      <w:r w:rsidR="006B444E" w:rsidRPr="006B444E">
        <w:rPr>
          <w:rFonts w:cs="Arial"/>
        </w:rPr>
        <w:t xml:space="preserve"> care is provided in a manner consistent with the hospice mission. </w:t>
      </w:r>
      <w:r w:rsidR="00541979">
        <w:rPr>
          <w:rFonts w:cs="Arial"/>
        </w:rPr>
        <w:t>Encompassed in this mission is the</w:t>
      </w:r>
      <w:r w:rsidR="006B444E" w:rsidRPr="006B444E">
        <w:rPr>
          <w:rFonts w:cs="Arial"/>
        </w:rPr>
        <w:t xml:space="preserve"> discontinuation of </w:t>
      </w:r>
      <w:r w:rsidR="00A95C9A">
        <w:rPr>
          <w:rFonts w:cs="Arial"/>
        </w:rPr>
        <w:t xml:space="preserve">limited benefit </w:t>
      </w:r>
      <w:r w:rsidR="00FB7C04">
        <w:rPr>
          <w:rFonts w:cs="Arial"/>
        </w:rPr>
        <w:t>medications</w:t>
      </w:r>
      <w:r w:rsidR="00A95C9A">
        <w:rPr>
          <w:rFonts w:cs="Arial"/>
        </w:rPr>
        <w:t xml:space="preserve"> (LBMs), those medications</w:t>
      </w:r>
      <w:r w:rsidR="006B444E" w:rsidRPr="006B444E">
        <w:rPr>
          <w:rFonts w:cs="Arial"/>
        </w:rPr>
        <w:t xml:space="preserve"> which no longer provide a patient benefit </w:t>
      </w:r>
      <w:r w:rsidR="00FB7C04">
        <w:rPr>
          <w:rFonts w:cs="Arial"/>
        </w:rPr>
        <w:t>in the context of limited life expectancy</w:t>
      </w:r>
      <w:r w:rsidR="00FC6038">
        <w:rPr>
          <w:rFonts w:cs="Arial"/>
        </w:rPr>
        <w:t xml:space="preserve">. The continued use of </w:t>
      </w:r>
      <w:r w:rsidR="00A95C9A">
        <w:rPr>
          <w:rFonts w:cs="Arial"/>
        </w:rPr>
        <w:t xml:space="preserve">LBMs </w:t>
      </w:r>
      <w:r w:rsidR="00FC6038">
        <w:rPr>
          <w:rFonts w:cs="Arial"/>
        </w:rPr>
        <w:t>contributes</w:t>
      </w:r>
      <w:r w:rsidR="00FB7C04">
        <w:rPr>
          <w:rFonts w:cs="Arial"/>
        </w:rPr>
        <w:t xml:space="preserve"> to overly </w:t>
      </w:r>
      <w:r w:rsidR="006B444E" w:rsidRPr="006B444E">
        <w:rPr>
          <w:rFonts w:cs="Arial"/>
        </w:rPr>
        <w:t xml:space="preserve">complicated medication regimens </w:t>
      </w:r>
      <w:r w:rsidR="00541979">
        <w:rPr>
          <w:rFonts w:cs="Arial"/>
        </w:rPr>
        <w:t xml:space="preserve">and </w:t>
      </w:r>
      <w:r w:rsidR="006B444E" w:rsidRPr="006B444E">
        <w:rPr>
          <w:rFonts w:cs="Arial"/>
        </w:rPr>
        <w:t>poor adherence, exposure to medication side effects and drug interactions, significant patient and caregiver burden, and needlessly high medications cos</w:t>
      </w:r>
      <w:r w:rsidR="002B0AF0">
        <w:rPr>
          <w:rFonts w:cs="Arial"/>
        </w:rPr>
        <w:t>ts. Despite</w:t>
      </w:r>
      <w:r w:rsidR="006B444E" w:rsidRPr="00FC6038">
        <w:rPr>
          <w:rFonts w:cs="Arial"/>
        </w:rPr>
        <w:t xml:space="preserve"> the hospice care treatment philosophy, there </w:t>
      </w:r>
      <w:r w:rsidR="00FC6038">
        <w:rPr>
          <w:rFonts w:cs="Arial"/>
        </w:rPr>
        <w:t xml:space="preserve">was </w:t>
      </w:r>
      <w:r w:rsidR="006B444E" w:rsidRPr="00FC6038">
        <w:rPr>
          <w:rFonts w:cs="Arial"/>
        </w:rPr>
        <w:t xml:space="preserve">preliminary evidence demonstrating that a substantial proportion of </w:t>
      </w:r>
      <w:r w:rsidR="00FC6038">
        <w:rPr>
          <w:rFonts w:cs="Arial"/>
        </w:rPr>
        <w:t>older</w:t>
      </w:r>
      <w:r w:rsidR="006B444E" w:rsidRPr="00FC6038">
        <w:rPr>
          <w:rFonts w:cs="Arial"/>
        </w:rPr>
        <w:t xml:space="preserve"> hospice patients continue</w:t>
      </w:r>
      <w:r w:rsidR="00FC6038">
        <w:rPr>
          <w:rFonts w:cs="Arial"/>
        </w:rPr>
        <w:t>d</w:t>
      </w:r>
      <w:r w:rsidR="006B444E" w:rsidRPr="00FC6038">
        <w:rPr>
          <w:rFonts w:cs="Arial"/>
        </w:rPr>
        <w:t xml:space="preserve"> to receive</w:t>
      </w:r>
      <w:r w:rsidR="00FB7C04" w:rsidRPr="00FC6038">
        <w:rPr>
          <w:rFonts w:cs="Arial"/>
        </w:rPr>
        <w:t xml:space="preserve"> </w:t>
      </w:r>
      <w:r w:rsidR="00FC6038">
        <w:rPr>
          <w:rFonts w:cs="Arial"/>
        </w:rPr>
        <w:t xml:space="preserve">medications that could be considered </w:t>
      </w:r>
      <w:r w:rsidR="00FC6038" w:rsidRPr="00FC6038">
        <w:rPr>
          <w:rFonts w:cs="Arial"/>
        </w:rPr>
        <w:t>LBMs</w:t>
      </w:r>
      <w:r w:rsidR="00FB7C04" w:rsidRPr="00FC6038">
        <w:rPr>
          <w:rFonts w:cs="Arial"/>
        </w:rPr>
        <w:t xml:space="preserve"> until </w:t>
      </w:r>
      <w:r w:rsidR="006B444E" w:rsidRPr="00FC6038">
        <w:rPr>
          <w:rFonts w:cs="Arial"/>
        </w:rPr>
        <w:t>death.</w:t>
      </w:r>
      <w:r w:rsidR="00FC6038" w:rsidRPr="00FC6038">
        <w:rPr>
          <w:rFonts w:cs="Arial"/>
        </w:rPr>
        <w:t xml:space="preserve"> </w:t>
      </w:r>
      <w:r w:rsidR="00A95C9A">
        <w:rPr>
          <w:rFonts w:cs="Arial"/>
        </w:rPr>
        <w:t xml:space="preserve">However, these studies </w:t>
      </w:r>
      <w:r w:rsidR="006660E6">
        <w:rPr>
          <w:rFonts w:cs="Arial"/>
        </w:rPr>
        <w:t xml:space="preserve">were generally small and </w:t>
      </w:r>
      <w:r w:rsidR="00A95C9A">
        <w:rPr>
          <w:rFonts w:cs="Arial"/>
        </w:rPr>
        <w:t>did</w:t>
      </w:r>
      <w:r w:rsidR="00541979">
        <w:rPr>
          <w:rFonts w:cs="Arial"/>
        </w:rPr>
        <w:t xml:space="preserve"> not</w:t>
      </w:r>
      <w:r w:rsidR="00A95C9A">
        <w:rPr>
          <w:rFonts w:cs="Arial"/>
        </w:rPr>
        <w:t xml:space="preserve"> specifically aim to </w:t>
      </w:r>
      <w:r w:rsidR="00541979">
        <w:rPr>
          <w:rFonts w:cs="Arial"/>
        </w:rPr>
        <w:t xml:space="preserve">evaluate </w:t>
      </w:r>
      <w:r w:rsidR="00A95C9A">
        <w:rPr>
          <w:rFonts w:cs="Arial"/>
        </w:rPr>
        <w:t>LBM use</w:t>
      </w:r>
      <w:r w:rsidR="006660E6">
        <w:rPr>
          <w:rFonts w:cs="Arial"/>
        </w:rPr>
        <w:t>. M</w:t>
      </w:r>
      <w:r w:rsidR="00A95C9A">
        <w:rPr>
          <w:rFonts w:cs="Arial"/>
        </w:rPr>
        <w:t xml:space="preserve">uch remained unknown about use of these medications </w:t>
      </w:r>
      <w:r w:rsidR="00541979">
        <w:rPr>
          <w:rFonts w:cs="Arial"/>
        </w:rPr>
        <w:t>among patients admitted to hospice</w:t>
      </w:r>
      <w:r w:rsidR="00A95C9A">
        <w:rPr>
          <w:rFonts w:cs="Arial"/>
        </w:rPr>
        <w:t>.</w:t>
      </w:r>
      <w:r w:rsidR="00002610">
        <w:rPr>
          <w:rFonts w:cs="Arial"/>
        </w:rPr>
        <w:t xml:space="preserve"> </w:t>
      </w:r>
      <w:r w:rsidR="002B0AF0">
        <w:rPr>
          <w:rFonts w:cs="Arial"/>
        </w:rPr>
        <w:t xml:space="preserve">Further assessment of LBM use in the hospice setting was needed to inform providers and policy makers of the scope of the </w:t>
      </w:r>
      <w:r w:rsidR="00B024DB">
        <w:rPr>
          <w:rFonts w:cs="Arial"/>
        </w:rPr>
        <w:t xml:space="preserve">issue </w:t>
      </w:r>
      <w:r w:rsidR="002B0AF0">
        <w:rPr>
          <w:rFonts w:cs="Arial"/>
        </w:rPr>
        <w:t xml:space="preserve">and prompt the </w:t>
      </w:r>
      <w:r w:rsidR="00074B8D">
        <w:rPr>
          <w:rFonts w:cs="Arial"/>
        </w:rPr>
        <w:t xml:space="preserve">development of interventions aimed at improving medication use at the end of life. </w:t>
      </w:r>
      <w:r w:rsidR="00002610">
        <w:rPr>
          <w:rFonts w:cs="Arial"/>
        </w:rPr>
        <w:t xml:space="preserve">This dissertation </w:t>
      </w:r>
      <w:r w:rsidR="00E23F2E">
        <w:rPr>
          <w:rFonts w:cs="Arial"/>
        </w:rPr>
        <w:t>is c</w:t>
      </w:r>
      <w:r w:rsidR="009418B5">
        <w:rPr>
          <w:rFonts w:cs="Arial"/>
        </w:rPr>
        <w:t>omprised</w:t>
      </w:r>
      <w:r w:rsidR="00E23F2E">
        <w:rPr>
          <w:rFonts w:cs="Arial"/>
        </w:rPr>
        <w:t xml:space="preserve"> of five chapters and </w:t>
      </w:r>
      <w:r w:rsidR="00002610">
        <w:rPr>
          <w:rFonts w:cs="Arial"/>
        </w:rPr>
        <w:t>aimed to</w:t>
      </w:r>
      <w:r w:rsidR="00074B8D">
        <w:rPr>
          <w:rFonts w:cs="Arial"/>
        </w:rPr>
        <w:t xml:space="preserve"> help fill the current evidence gaps by providing</w:t>
      </w:r>
      <w:r w:rsidR="00002610">
        <w:rPr>
          <w:rFonts w:cs="Arial"/>
        </w:rPr>
        <w:t xml:space="preserve"> </w:t>
      </w:r>
      <w:r w:rsidR="00074B8D">
        <w:rPr>
          <w:rFonts w:cs="Arial"/>
        </w:rPr>
        <w:t>the first large-scale,</w:t>
      </w:r>
      <w:r w:rsidR="002B0AF0">
        <w:rPr>
          <w:rFonts w:cs="Arial"/>
        </w:rPr>
        <w:t xml:space="preserve"> comprehensive evaluation of </w:t>
      </w:r>
      <w:r w:rsidR="00002610">
        <w:rPr>
          <w:rFonts w:cs="Arial"/>
        </w:rPr>
        <w:t>LBM use</w:t>
      </w:r>
      <w:r w:rsidR="002B0AF0">
        <w:rPr>
          <w:rFonts w:cs="Arial"/>
        </w:rPr>
        <w:t xml:space="preserve"> in </w:t>
      </w:r>
      <w:r w:rsidR="00074B8D">
        <w:rPr>
          <w:rFonts w:cs="Arial"/>
        </w:rPr>
        <w:t xml:space="preserve">older adults who </w:t>
      </w:r>
      <w:r w:rsidR="0053414C">
        <w:rPr>
          <w:rFonts w:cs="Arial"/>
        </w:rPr>
        <w:t xml:space="preserve">have </w:t>
      </w:r>
      <w:r w:rsidR="00074B8D">
        <w:rPr>
          <w:rFonts w:cs="Arial"/>
        </w:rPr>
        <w:t>enroll</w:t>
      </w:r>
      <w:r w:rsidR="0053414C">
        <w:rPr>
          <w:rFonts w:cs="Arial"/>
        </w:rPr>
        <w:t>ed</w:t>
      </w:r>
      <w:r w:rsidR="00074B8D">
        <w:rPr>
          <w:rFonts w:cs="Arial"/>
        </w:rPr>
        <w:t xml:space="preserve"> in hospice</w:t>
      </w:r>
      <w:r w:rsidR="0053414C">
        <w:rPr>
          <w:rFonts w:cs="Arial"/>
        </w:rPr>
        <w:t xml:space="preserve"> care</w:t>
      </w:r>
      <w:r w:rsidR="00074B8D">
        <w:rPr>
          <w:rFonts w:cs="Arial"/>
        </w:rPr>
        <w:t>.</w:t>
      </w:r>
    </w:p>
    <w:p w14:paraId="3E5E3B67" w14:textId="1F8C0541" w:rsidR="0034061E" w:rsidRDefault="00B024DB" w:rsidP="00A11521">
      <w:pPr>
        <w:spacing w:after="0"/>
        <w:rPr>
          <w:rFonts w:cs="Arial"/>
        </w:rPr>
      </w:pPr>
      <w:r>
        <w:rPr>
          <w:rFonts w:cs="Arial"/>
        </w:rPr>
        <w:tab/>
      </w:r>
      <w:r w:rsidR="009418B5">
        <w:rPr>
          <w:rFonts w:cs="Arial"/>
        </w:rPr>
        <w:t>The first chapter of this dissertation includes a review of</w:t>
      </w:r>
      <w:r w:rsidR="00502CB8">
        <w:rPr>
          <w:rFonts w:cs="Arial"/>
        </w:rPr>
        <w:t xml:space="preserve"> the current state of hospice care in the US, including </w:t>
      </w:r>
      <w:r w:rsidR="007C22FF">
        <w:rPr>
          <w:rFonts w:cs="Arial"/>
        </w:rPr>
        <w:t>hospice care treatment principles</w:t>
      </w:r>
      <w:r w:rsidR="00502CB8">
        <w:rPr>
          <w:rFonts w:cs="Arial"/>
        </w:rPr>
        <w:t>, hospice utilization trends, and coverage of healthcare treatments and services under the Medicare Hospice Benefit (MHB), which covers the majority of hospice patients.</w:t>
      </w:r>
      <w:r w:rsidR="0050333C">
        <w:rPr>
          <w:rFonts w:cs="Arial"/>
        </w:rPr>
        <w:t xml:space="preserve"> A key </w:t>
      </w:r>
      <w:r w:rsidR="00894AD6">
        <w:rPr>
          <w:rFonts w:cs="Arial"/>
        </w:rPr>
        <w:t>finding</w:t>
      </w:r>
      <w:r w:rsidR="0050333C">
        <w:rPr>
          <w:rFonts w:cs="Arial"/>
        </w:rPr>
        <w:t xml:space="preserve"> of this review was that medications not </w:t>
      </w:r>
    </w:p>
    <w:p w14:paraId="37CF75DA" w14:textId="4A4C3314" w:rsidR="0034061E" w:rsidRPr="0034061E" w:rsidRDefault="0034061E" w:rsidP="0034061E">
      <w:pPr>
        <w:jc w:val="center"/>
        <w:rPr>
          <w:b/>
        </w:rPr>
      </w:pPr>
      <w:r>
        <w:rPr>
          <w:b/>
        </w:rPr>
        <w:lastRenderedPageBreak/>
        <w:t>SUMMARY (continued)</w:t>
      </w:r>
    </w:p>
    <w:p w14:paraId="115B1D75" w14:textId="39B0253E" w:rsidR="00541979" w:rsidRDefault="0050333C" w:rsidP="00A11521">
      <w:pPr>
        <w:spacing w:after="0"/>
        <w:rPr>
          <w:rFonts w:cs="Arial"/>
        </w:rPr>
      </w:pPr>
      <w:r>
        <w:rPr>
          <w:rFonts w:cs="Arial"/>
        </w:rPr>
        <w:t>for palliation of a hospice patient’s terminal illness are not reimbursable under the MHB</w:t>
      </w:r>
      <w:r w:rsidR="00894AD6">
        <w:rPr>
          <w:rFonts w:cs="Arial"/>
        </w:rPr>
        <w:t xml:space="preserve"> as with palliative medications</w:t>
      </w:r>
      <w:r>
        <w:rPr>
          <w:rFonts w:cs="Arial"/>
        </w:rPr>
        <w:t>, but may be covered by a patient’s Medicare Part D prescription drug plan. However, the Centers for Medicare and Medicaid Services (CMS) anticipates the frequency of Part D use by hospice patients to be extremely rare</w:t>
      </w:r>
      <w:r w:rsidR="00894AD6">
        <w:rPr>
          <w:rFonts w:cs="Arial"/>
        </w:rPr>
        <w:t xml:space="preserve"> given the </w:t>
      </w:r>
      <w:r w:rsidR="006660E6">
        <w:rPr>
          <w:rFonts w:cs="Arial"/>
        </w:rPr>
        <w:t xml:space="preserve">types of </w:t>
      </w:r>
      <w:r w:rsidR="00894AD6">
        <w:rPr>
          <w:rFonts w:cs="Arial"/>
        </w:rPr>
        <w:t>medications anticipated to be used by hospice patients</w:t>
      </w:r>
      <w:r>
        <w:rPr>
          <w:rFonts w:cs="Arial"/>
        </w:rPr>
        <w:t>.</w:t>
      </w:r>
      <w:r w:rsidR="00502CB8">
        <w:rPr>
          <w:rFonts w:cs="Arial"/>
        </w:rPr>
        <w:t xml:space="preserve"> </w:t>
      </w:r>
      <w:r w:rsidR="008A4E29">
        <w:rPr>
          <w:rFonts w:cs="Arial"/>
        </w:rPr>
        <w:t>Current r</w:t>
      </w:r>
      <w:r w:rsidR="007C22FF">
        <w:rPr>
          <w:rFonts w:cs="Arial"/>
        </w:rPr>
        <w:t>esearch on polypharmacy</w:t>
      </w:r>
      <w:r w:rsidR="008A4E29">
        <w:rPr>
          <w:rFonts w:cs="Arial"/>
        </w:rPr>
        <w:t>, treatment guidelines, and</w:t>
      </w:r>
      <w:r w:rsidR="007C22FF">
        <w:rPr>
          <w:rFonts w:cs="Arial"/>
        </w:rPr>
        <w:t xml:space="preserve"> prescribing patterns in elderly patients and those at the EOL </w:t>
      </w:r>
      <w:r w:rsidR="004D7EE8">
        <w:rPr>
          <w:rFonts w:cs="Arial"/>
        </w:rPr>
        <w:t>was</w:t>
      </w:r>
      <w:r w:rsidR="007C22FF">
        <w:rPr>
          <w:rFonts w:cs="Arial"/>
        </w:rPr>
        <w:t xml:space="preserve"> also reviewed</w:t>
      </w:r>
      <w:r w:rsidR="004D7EE8">
        <w:rPr>
          <w:rFonts w:cs="Arial"/>
        </w:rPr>
        <w:t xml:space="preserve"> to identify gaps in the evidence around optimal medication use in the terminally ill</w:t>
      </w:r>
      <w:r w:rsidR="007C22FF">
        <w:rPr>
          <w:rFonts w:cs="Arial"/>
        </w:rPr>
        <w:t xml:space="preserve">. </w:t>
      </w:r>
      <w:r w:rsidR="008A4E29">
        <w:rPr>
          <w:rFonts w:cs="Arial"/>
        </w:rPr>
        <w:t xml:space="preserve">Medication use in the hospice population, particularly changes in the use of non-palliative medications before and after hospice admission, was identified as a major research gap and served to inform the </w:t>
      </w:r>
      <w:r w:rsidR="000E15AF">
        <w:rPr>
          <w:rFonts w:cs="Arial"/>
        </w:rPr>
        <w:t xml:space="preserve">objectives of this </w:t>
      </w:r>
      <w:r w:rsidR="008A4E29">
        <w:rPr>
          <w:rFonts w:cs="Arial"/>
        </w:rPr>
        <w:t>dissertation</w:t>
      </w:r>
      <w:r w:rsidR="000E15AF">
        <w:rPr>
          <w:rFonts w:cs="Arial"/>
        </w:rPr>
        <w:t xml:space="preserve">. To </w:t>
      </w:r>
      <w:r w:rsidR="00A11521">
        <w:rPr>
          <w:rFonts w:cs="Arial"/>
        </w:rPr>
        <w:t xml:space="preserve">address </w:t>
      </w:r>
      <w:r w:rsidR="000E15AF">
        <w:rPr>
          <w:rFonts w:cs="Arial"/>
        </w:rPr>
        <w:t>the identified research gap</w:t>
      </w:r>
      <w:r w:rsidR="006660E6">
        <w:rPr>
          <w:rFonts w:cs="Arial"/>
        </w:rPr>
        <w:t>s</w:t>
      </w:r>
      <w:r w:rsidR="000E15AF">
        <w:rPr>
          <w:rFonts w:cs="Arial"/>
        </w:rPr>
        <w:t xml:space="preserve">, a series of retrospective cross-sectional and cohort studies were conducted using the </w:t>
      </w:r>
      <w:r w:rsidR="000E15AF" w:rsidRPr="008C40DE">
        <w:rPr>
          <w:szCs w:val="22"/>
        </w:rPr>
        <w:t>Surveillance, Epidemiology and End Results</w:t>
      </w:r>
      <w:r w:rsidR="006660E6">
        <w:rPr>
          <w:szCs w:val="22"/>
        </w:rPr>
        <w:t xml:space="preserve"> (SEER)</w:t>
      </w:r>
      <w:r w:rsidR="000E15AF">
        <w:rPr>
          <w:szCs w:val="22"/>
        </w:rPr>
        <w:t>-Medicare linked database</w:t>
      </w:r>
      <w:r w:rsidR="00A11521">
        <w:rPr>
          <w:szCs w:val="22"/>
        </w:rPr>
        <w:t xml:space="preserve"> from 2008 to 2013</w:t>
      </w:r>
      <w:r w:rsidR="000E15AF">
        <w:rPr>
          <w:szCs w:val="22"/>
        </w:rPr>
        <w:t>.</w:t>
      </w:r>
      <w:r w:rsidR="000E15AF">
        <w:rPr>
          <w:rFonts w:cs="Arial"/>
        </w:rPr>
        <w:t xml:space="preserve"> </w:t>
      </w:r>
      <w:r w:rsidR="00E23F2E">
        <w:rPr>
          <w:rFonts w:cs="Arial"/>
        </w:rPr>
        <w:t>LBM classes identified for the purposes of this research included</w:t>
      </w:r>
      <w:r w:rsidR="00E23F2E" w:rsidRPr="00E23F2E">
        <w:t xml:space="preserve"> </w:t>
      </w:r>
      <w:r w:rsidR="00E23F2E">
        <w:t>anti-hyperlipidemics, antihypertensives, oral antidiabetics, antiplatelets, anti-dementia and anti-osteoporotic medications, and proton pump inhibitors</w:t>
      </w:r>
      <w:r w:rsidR="00E23F2E">
        <w:rPr>
          <w:rFonts w:cs="Arial"/>
        </w:rPr>
        <w:t xml:space="preserve">. </w:t>
      </w:r>
    </w:p>
    <w:p w14:paraId="10077DA7" w14:textId="0240C991" w:rsidR="00C20E2C" w:rsidRDefault="00A11521" w:rsidP="00A11521">
      <w:pPr>
        <w:spacing w:after="0"/>
        <w:rPr>
          <w:rFonts w:cs="Arial"/>
        </w:rPr>
      </w:pPr>
      <w:r>
        <w:rPr>
          <w:rFonts w:cs="Arial"/>
        </w:rPr>
        <w:tab/>
      </w:r>
      <w:r w:rsidR="009418B5">
        <w:rPr>
          <w:rFonts w:cs="Arial"/>
        </w:rPr>
        <w:t>In the second chapter,</w:t>
      </w:r>
      <w:r w:rsidR="002E0AC8">
        <w:rPr>
          <w:rFonts w:cs="Arial"/>
        </w:rPr>
        <w:t xml:space="preserve"> the prevalence and patterns of medication use through the Medicare Part D prescription drug benefit after patients </w:t>
      </w:r>
      <w:r w:rsidR="009418B5">
        <w:rPr>
          <w:rFonts w:cs="Arial"/>
        </w:rPr>
        <w:t>were</w:t>
      </w:r>
      <w:r w:rsidR="002E0AC8">
        <w:rPr>
          <w:rFonts w:cs="Arial"/>
        </w:rPr>
        <w:t xml:space="preserve"> admitted to hospice</w:t>
      </w:r>
      <w:r w:rsidR="009418B5">
        <w:rPr>
          <w:rFonts w:cs="Arial"/>
        </w:rPr>
        <w:t xml:space="preserve"> were examined</w:t>
      </w:r>
      <w:r w:rsidR="002E0AC8">
        <w:rPr>
          <w:rFonts w:cs="Arial"/>
        </w:rPr>
        <w:t xml:space="preserve">. We assessed the most common medications dispensed through Medicare Part D </w:t>
      </w:r>
      <w:r w:rsidR="00FB7DB8">
        <w:rPr>
          <w:rFonts w:cs="Arial"/>
        </w:rPr>
        <w:t>according to</w:t>
      </w:r>
      <w:r w:rsidR="002E0AC8">
        <w:rPr>
          <w:rFonts w:cs="Arial"/>
        </w:rPr>
        <w:t xml:space="preserve"> hospice admission diagnosis</w:t>
      </w:r>
      <w:r w:rsidR="000B6BCC">
        <w:rPr>
          <w:rFonts w:cs="Arial"/>
        </w:rPr>
        <w:t xml:space="preserve"> and </w:t>
      </w:r>
      <w:r w:rsidR="002E0AC8">
        <w:rPr>
          <w:rFonts w:cs="Arial"/>
        </w:rPr>
        <w:t xml:space="preserve">evaluated the prevalence of receiving medications from pre-defined therapeutic and drug classes considered to </w:t>
      </w:r>
      <w:r w:rsidR="00FB7DB8">
        <w:rPr>
          <w:rFonts w:cs="Arial"/>
        </w:rPr>
        <w:t>consist of</w:t>
      </w:r>
      <w:r w:rsidR="002E0AC8">
        <w:rPr>
          <w:rFonts w:cs="Arial"/>
        </w:rPr>
        <w:t xml:space="preserve"> LBMs in those with limited life expectancy. </w:t>
      </w:r>
      <w:r w:rsidR="00F45B45">
        <w:rPr>
          <w:rFonts w:cs="Arial"/>
        </w:rPr>
        <w:t>Dispensing of at least one medication through the Part D benefit was common</w:t>
      </w:r>
      <w:r w:rsidR="000B6BCC">
        <w:rPr>
          <w:rFonts w:cs="Arial"/>
        </w:rPr>
        <w:t>, occurring in over half of all</w:t>
      </w:r>
      <w:r w:rsidR="00F45B45">
        <w:rPr>
          <w:rFonts w:cs="Arial"/>
        </w:rPr>
        <w:t xml:space="preserve"> hospice patients</w:t>
      </w:r>
      <w:r w:rsidR="000B6BCC">
        <w:rPr>
          <w:rFonts w:cs="Arial"/>
        </w:rPr>
        <w:t>,</w:t>
      </w:r>
      <w:r w:rsidR="00F45B45">
        <w:rPr>
          <w:rFonts w:cs="Arial"/>
        </w:rPr>
        <w:t xml:space="preserve"> and varied by hospice admission diagnosis</w:t>
      </w:r>
      <w:r w:rsidR="00C20E2C">
        <w:rPr>
          <w:rFonts w:cs="Arial"/>
        </w:rPr>
        <w:t xml:space="preserve"> (e.g., dementia, 62%; cancer, 54%; renal disease, 36%)</w:t>
      </w:r>
      <w:r w:rsidR="00F45B45">
        <w:rPr>
          <w:rFonts w:cs="Arial"/>
        </w:rPr>
        <w:t xml:space="preserve">. The receipt of </w:t>
      </w:r>
    </w:p>
    <w:p w14:paraId="3B887183" w14:textId="0A6C3C06" w:rsidR="00C20E2C" w:rsidRDefault="000B6BCC" w:rsidP="00A11521">
      <w:pPr>
        <w:spacing w:after="0"/>
        <w:rPr>
          <w:rFonts w:cs="Arial"/>
        </w:rPr>
      </w:pPr>
      <w:r>
        <w:rPr>
          <w:rFonts w:cs="Arial"/>
        </w:rPr>
        <w:t xml:space="preserve"> </w:t>
      </w:r>
    </w:p>
    <w:p w14:paraId="0035D6B8" w14:textId="0852D918" w:rsidR="00C20E2C" w:rsidRPr="00C20E2C" w:rsidRDefault="00C20E2C" w:rsidP="00C20E2C">
      <w:pPr>
        <w:jc w:val="center"/>
        <w:rPr>
          <w:b/>
        </w:rPr>
      </w:pPr>
      <w:r>
        <w:rPr>
          <w:b/>
        </w:rPr>
        <w:lastRenderedPageBreak/>
        <w:t>SUMMARY (continued)</w:t>
      </w:r>
    </w:p>
    <w:p w14:paraId="13D788F6" w14:textId="26C0A59E" w:rsidR="00867940" w:rsidRDefault="00C20E2C" w:rsidP="00A11521">
      <w:pPr>
        <w:spacing w:after="0"/>
        <w:rPr>
          <w:rFonts w:cs="Arial"/>
        </w:rPr>
      </w:pPr>
      <w:r>
        <w:rPr>
          <w:rFonts w:cs="Arial"/>
        </w:rPr>
        <w:t xml:space="preserve">potential LBMs </w:t>
      </w:r>
      <w:r w:rsidR="000B6BCC">
        <w:rPr>
          <w:rFonts w:cs="Arial"/>
        </w:rPr>
        <w:t>such as antihypertensives, proton pump inhibitors, and anti-hyperlipidemics</w:t>
      </w:r>
      <w:r w:rsidR="00F45B45">
        <w:rPr>
          <w:rFonts w:cs="Arial"/>
        </w:rPr>
        <w:t xml:space="preserve"> was also common</w:t>
      </w:r>
      <w:r w:rsidR="00305FF0">
        <w:rPr>
          <w:rFonts w:cs="Arial"/>
        </w:rPr>
        <w:t>,</w:t>
      </w:r>
      <w:r w:rsidR="000B6BCC">
        <w:rPr>
          <w:rFonts w:cs="Arial"/>
        </w:rPr>
        <w:t xml:space="preserve"> with little variation</w:t>
      </w:r>
      <w:r>
        <w:rPr>
          <w:rFonts w:cs="Arial"/>
        </w:rPr>
        <w:t xml:space="preserve"> by year of hospice admission diagnosis.</w:t>
      </w:r>
    </w:p>
    <w:p w14:paraId="70062C8F" w14:textId="2C94A09B" w:rsidR="00B479D3" w:rsidRDefault="009418B5" w:rsidP="009418B5">
      <w:pPr>
        <w:spacing w:after="0"/>
        <w:ind w:firstLine="720"/>
        <w:rPr>
          <w:rFonts w:cs="Arial"/>
        </w:rPr>
      </w:pPr>
      <w:r>
        <w:rPr>
          <w:rFonts w:cs="Arial"/>
        </w:rPr>
        <w:t>In chapter three,</w:t>
      </w:r>
      <w:r w:rsidR="00305FF0">
        <w:rPr>
          <w:rFonts w:cs="Arial"/>
        </w:rPr>
        <w:t xml:space="preserve"> changes in LBM use before and after hospice admission</w:t>
      </w:r>
      <w:r>
        <w:rPr>
          <w:rFonts w:cs="Arial"/>
        </w:rPr>
        <w:t xml:space="preserve"> were assessed. We evaluated</w:t>
      </w:r>
      <w:r w:rsidR="00305FF0">
        <w:rPr>
          <w:rFonts w:cs="Arial"/>
        </w:rPr>
        <w:t xml:space="preserve"> the prevalence of and factors associated with LBM continuation once a patient enrolled in hospice. We found that 29.8% of patients who entered hospice due to cancer and 30.5% of patients who enrolled due to a non-cancer cause continued at least one LBM after hospice admission. </w:t>
      </w:r>
      <w:r w:rsidR="00A21985">
        <w:rPr>
          <w:rFonts w:cs="Arial"/>
        </w:rPr>
        <w:t>Of the LBMs assessed, continuation was lowest for anti-osteoporotic medications and highest for anti-dementia medications. Using modified Poisson regression models with generalized estimating equations, we found that the likelihood of continuing at least one LBM after hospice admission was greater in older patients, patients</w:t>
      </w:r>
      <w:r w:rsidR="003A07F1">
        <w:rPr>
          <w:rFonts w:cs="Arial"/>
        </w:rPr>
        <w:t xml:space="preserve"> admitted to hospice</w:t>
      </w:r>
      <w:r w:rsidR="00A21985">
        <w:rPr>
          <w:rFonts w:cs="Arial"/>
        </w:rPr>
        <w:t xml:space="preserve"> in a nurs</w:t>
      </w:r>
      <w:r w:rsidR="00E23F2E">
        <w:rPr>
          <w:rFonts w:cs="Arial"/>
        </w:rPr>
        <w:t xml:space="preserve">ing or assisted-living facility, and patients with longer hospice stays. </w:t>
      </w:r>
    </w:p>
    <w:p w14:paraId="5426E15F" w14:textId="1A1EFA2B" w:rsidR="0034061E" w:rsidRDefault="0034061E" w:rsidP="00A11521">
      <w:pPr>
        <w:spacing w:after="0"/>
        <w:rPr>
          <w:rFonts w:cs="Arial"/>
        </w:rPr>
      </w:pPr>
      <w:r>
        <w:rPr>
          <w:rFonts w:cs="Arial"/>
        </w:rPr>
        <w:tab/>
      </w:r>
      <w:r w:rsidR="009418B5">
        <w:rPr>
          <w:rFonts w:cs="Arial"/>
        </w:rPr>
        <w:t>In chapter four, we</w:t>
      </w:r>
      <w:r w:rsidR="009B7CED">
        <w:rPr>
          <w:rFonts w:cs="Arial"/>
        </w:rPr>
        <w:t xml:space="preserve"> evaluated the association between burdensome health care transitions after hospice admission and </w:t>
      </w:r>
      <w:r w:rsidR="00B55F7C">
        <w:rPr>
          <w:rFonts w:cs="Arial"/>
        </w:rPr>
        <w:t xml:space="preserve">subsequent </w:t>
      </w:r>
      <w:r w:rsidR="009B7CED">
        <w:rPr>
          <w:rFonts w:cs="Arial"/>
        </w:rPr>
        <w:t>receipt of LBMs.</w:t>
      </w:r>
      <w:r w:rsidR="00561245">
        <w:rPr>
          <w:rFonts w:cs="Arial"/>
        </w:rPr>
        <w:t xml:space="preserve"> Burdensome transitions included emergency department (ED) visits, inpatient admissions, and hospice discharges occurring after initial hospice enrollment.</w:t>
      </w:r>
      <w:r w:rsidR="009B7CED">
        <w:rPr>
          <w:rFonts w:cs="Arial"/>
        </w:rPr>
        <w:t xml:space="preserve"> </w:t>
      </w:r>
      <w:r w:rsidR="00B55F7C">
        <w:rPr>
          <w:rFonts w:cs="Arial"/>
        </w:rPr>
        <w:t xml:space="preserve">Patients who experienced a burdensome health care transition were 33% more likely to receive an LBM compared to non-transitioning patients. </w:t>
      </w:r>
      <w:r w:rsidR="00561245">
        <w:rPr>
          <w:rFonts w:cs="Arial"/>
        </w:rPr>
        <w:t>The</w:t>
      </w:r>
      <w:r w:rsidR="00B55F7C">
        <w:rPr>
          <w:rFonts w:cs="Arial"/>
        </w:rPr>
        <w:t xml:space="preserve"> risk of LBM receipt</w:t>
      </w:r>
      <w:r w:rsidR="00561245">
        <w:rPr>
          <w:rFonts w:cs="Arial"/>
        </w:rPr>
        <w:t xml:space="preserve"> was further increased when considering only inpatient admissions and when shortening the follow-up window for assessment of LBM dispensing in transitioning patients and matched non-transition</w:t>
      </w:r>
      <w:r w:rsidR="003A07F1">
        <w:rPr>
          <w:rFonts w:cs="Arial"/>
        </w:rPr>
        <w:t>ing patients</w:t>
      </w:r>
      <w:r w:rsidR="00B55F7C">
        <w:rPr>
          <w:rFonts w:cs="Arial"/>
        </w:rPr>
        <w:t xml:space="preserve">. </w:t>
      </w:r>
    </w:p>
    <w:p w14:paraId="785D1BC1" w14:textId="77777777" w:rsidR="003A07F1" w:rsidRDefault="00312CC8" w:rsidP="00A11521">
      <w:pPr>
        <w:spacing w:after="0"/>
        <w:rPr>
          <w:rFonts w:cs="Arial"/>
        </w:rPr>
      </w:pPr>
      <w:r>
        <w:rPr>
          <w:rFonts w:cs="Arial"/>
        </w:rPr>
        <w:tab/>
      </w:r>
      <w:r w:rsidR="009418B5">
        <w:rPr>
          <w:rFonts w:cs="Arial"/>
        </w:rPr>
        <w:t>In chapter five</w:t>
      </w:r>
      <w:r w:rsidR="003A07F1">
        <w:rPr>
          <w:rFonts w:cs="Arial"/>
        </w:rPr>
        <w:t>,</w:t>
      </w:r>
      <w:r w:rsidR="009418B5">
        <w:rPr>
          <w:rFonts w:cs="Arial"/>
        </w:rPr>
        <w:t xml:space="preserve"> a summary of the dissertation,</w:t>
      </w:r>
      <w:r>
        <w:rPr>
          <w:rFonts w:cs="Arial"/>
        </w:rPr>
        <w:t xml:space="preserve"> implications for clinical </w:t>
      </w:r>
      <w:r w:rsidR="003A07F1">
        <w:rPr>
          <w:rFonts w:cs="Arial"/>
        </w:rPr>
        <w:t>practice and health care policy</w:t>
      </w:r>
      <w:r>
        <w:rPr>
          <w:rFonts w:cs="Arial"/>
        </w:rPr>
        <w:t xml:space="preserve"> and recommended avenues for future research</w:t>
      </w:r>
      <w:r w:rsidR="009418B5">
        <w:rPr>
          <w:rFonts w:cs="Arial"/>
        </w:rPr>
        <w:t xml:space="preserve"> </w:t>
      </w:r>
      <w:r w:rsidR="003A07F1">
        <w:rPr>
          <w:rFonts w:cs="Arial"/>
        </w:rPr>
        <w:t xml:space="preserve">are </w:t>
      </w:r>
      <w:r w:rsidR="009418B5">
        <w:rPr>
          <w:rFonts w:cs="Arial"/>
        </w:rPr>
        <w:t>provided</w:t>
      </w:r>
      <w:r>
        <w:rPr>
          <w:rFonts w:cs="Arial"/>
        </w:rPr>
        <w:t xml:space="preserve">. </w:t>
      </w:r>
      <w:r w:rsidR="00AE7E13">
        <w:rPr>
          <w:rFonts w:cs="Arial"/>
        </w:rPr>
        <w:t>Despite hospice care principles and Medicare guidance regarding use of the Medicare Part D benefit in hospice patients, the findings of this research suggest that use of non-palliative medications aft</w:t>
      </w:r>
      <w:r w:rsidR="00AD76C0">
        <w:rPr>
          <w:rFonts w:cs="Arial"/>
        </w:rPr>
        <w:t>er hospice admission is common. LBM use and continuation</w:t>
      </w:r>
      <w:r w:rsidR="00C73C47">
        <w:rPr>
          <w:rFonts w:cs="Arial"/>
        </w:rPr>
        <w:t xml:space="preserve"> varied by LBM class, and</w:t>
      </w:r>
      <w:r w:rsidR="00AD76C0">
        <w:rPr>
          <w:rFonts w:cs="Arial"/>
        </w:rPr>
        <w:t xml:space="preserve"> </w:t>
      </w:r>
      <w:r w:rsidR="00C73C47">
        <w:rPr>
          <w:rFonts w:cs="Arial"/>
        </w:rPr>
        <w:t>s</w:t>
      </w:r>
      <w:r w:rsidR="00AD76C0">
        <w:rPr>
          <w:rFonts w:cs="Arial"/>
        </w:rPr>
        <w:t xml:space="preserve">everal </w:t>
      </w:r>
    </w:p>
    <w:p w14:paraId="16C95424" w14:textId="527E6F37" w:rsidR="003A07F1" w:rsidRPr="003A07F1" w:rsidRDefault="003A07F1" w:rsidP="003A07F1">
      <w:pPr>
        <w:jc w:val="center"/>
        <w:rPr>
          <w:b/>
        </w:rPr>
      </w:pPr>
      <w:r>
        <w:rPr>
          <w:b/>
        </w:rPr>
        <w:lastRenderedPageBreak/>
        <w:t>SUMMARY (continued)</w:t>
      </w:r>
    </w:p>
    <w:p w14:paraId="7FFDBCC7" w14:textId="26FEC49C" w:rsidR="00867940" w:rsidRDefault="00AD76C0" w:rsidP="00A11521">
      <w:pPr>
        <w:spacing w:after="0"/>
        <w:rPr>
          <w:rFonts w:cs="Arial"/>
        </w:rPr>
      </w:pPr>
      <w:r>
        <w:rPr>
          <w:rFonts w:cs="Arial"/>
        </w:rPr>
        <w:t xml:space="preserve">demographic and clinical factors were independently associated with continuing LBMs after hospice admission. The impact of burdensome health care transitions on LBM receipt suggests </w:t>
      </w:r>
    </w:p>
    <w:p w14:paraId="57C54EC9" w14:textId="44401248" w:rsidR="00D80070" w:rsidRDefault="00AD76C0" w:rsidP="00A11521">
      <w:pPr>
        <w:spacing w:after="0"/>
        <w:rPr>
          <w:rFonts w:cs="Arial"/>
        </w:rPr>
      </w:pPr>
      <w:r>
        <w:rPr>
          <w:rFonts w:cs="Arial"/>
        </w:rPr>
        <w:t xml:space="preserve">that fragmentation in care may exacerbate the issue of sub-optimal medication prescribing in </w:t>
      </w:r>
    </w:p>
    <w:p w14:paraId="3BDD3B5F" w14:textId="542B7D1B" w:rsidR="00312CC8" w:rsidRDefault="00AD76C0" w:rsidP="00A11521">
      <w:pPr>
        <w:spacing w:after="0"/>
        <w:rPr>
          <w:rFonts w:cs="Arial"/>
        </w:rPr>
      </w:pPr>
      <w:r>
        <w:rPr>
          <w:rFonts w:cs="Arial"/>
        </w:rPr>
        <w:t>hospice patients.</w:t>
      </w:r>
      <w:r w:rsidR="001744F5">
        <w:rPr>
          <w:rFonts w:cs="Arial"/>
        </w:rPr>
        <w:t xml:space="preserve"> A </w:t>
      </w:r>
      <w:r w:rsidR="007B0916">
        <w:rPr>
          <w:rFonts w:cs="Arial"/>
        </w:rPr>
        <w:t xml:space="preserve">number </w:t>
      </w:r>
      <w:r w:rsidR="00D80070">
        <w:rPr>
          <w:rFonts w:cs="Arial"/>
        </w:rPr>
        <w:t>of patient, provider, and health care system</w:t>
      </w:r>
      <w:r w:rsidR="00D02BAD">
        <w:rPr>
          <w:rFonts w:cs="Arial"/>
        </w:rPr>
        <w:t xml:space="preserve"> and policy</w:t>
      </w:r>
      <w:r w:rsidR="001744F5">
        <w:rPr>
          <w:rFonts w:cs="Arial"/>
        </w:rPr>
        <w:t xml:space="preserve">-related barriers </w:t>
      </w:r>
      <w:r w:rsidR="005C0008">
        <w:rPr>
          <w:rFonts w:cs="Arial"/>
        </w:rPr>
        <w:t>to medication discontinuation</w:t>
      </w:r>
      <w:r w:rsidR="007B0916">
        <w:rPr>
          <w:rFonts w:cs="Arial"/>
        </w:rPr>
        <w:t xml:space="preserve"> have been identified and</w:t>
      </w:r>
      <w:r w:rsidR="005C0008">
        <w:rPr>
          <w:rFonts w:cs="Arial"/>
        </w:rPr>
        <w:t xml:space="preserve"> </w:t>
      </w:r>
      <w:r w:rsidR="001744F5">
        <w:rPr>
          <w:rFonts w:cs="Arial"/>
        </w:rPr>
        <w:t xml:space="preserve">likely contribute to the observed results. This dissertation </w:t>
      </w:r>
      <w:r w:rsidR="005C0008">
        <w:rPr>
          <w:rFonts w:cs="Arial"/>
        </w:rPr>
        <w:t>highlights the need to</w:t>
      </w:r>
      <w:r w:rsidR="001744F5">
        <w:rPr>
          <w:rFonts w:cs="Arial"/>
        </w:rPr>
        <w:t xml:space="preserve"> explor</w:t>
      </w:r>
      <w:r w:rsidR="005C0008">
        <w:rPr>
          <w:rFonts w:cs="Arial"/>
        </w:rPr>
        <w:t>e and address</w:t>
      </w:r>
      <w:r w:rsidR="001744F5">
        <w:rPr>
          <w:rFonts w:cs="Arial"/>
        </w:rPr>
        <w:t xml:space="preserve"> these barriers with the</w:t>
      </w:r>
      <w:r w:rsidR="00D02BAD">
        <w:rPr>
          <w:rFonts w:cs="Arial"/>
        </w:rPr>
        <w:t xml:space="preserve"> end</w:t>
      </w:r>
      <w:r w:rsidR="001744F5">
        <w:rPr>
          <w:rFonts w:cs="Arial"/>
        </w:rPr>
        <w:t xml:space="preserve"> goal of improving quality of care in this</w:t>
      </w:r>
      <w:r w:rsidR="009418B5">
        <w:rPr>
          <w:rFonts w:cs="Arial"/>
        </w:rPr>
        <w:t xml:space="preserve"> at risk </w:t>
      </w:r>
      <w:r w:rsidR="001744F5">
        <w:rPr>
          <w:rFonts w:cs="Arial"/>
        </w:rPr>
        <w:t xml:space="preserve">population. </w:t>
      </w:r>
      <w:r w:rsidR="002E4A9B">
        <w:rPr>
          <w:rFonts w:cs="Arial"/>
        </w:rPr>
        <w:t>Additionally, t</w:t>
      </w:r>
      <w:r w:rsidR="0053414C">
        <w:rPr>
          <w:rFonts w:cs="Arial"/>
        </w:rPr>
        <w:t>his work provides critical evidence on the scope of problematic medication use in hospice</w:t>
      </w:r>
      <w:r w:rsidR="002E4A9B">
        <w:rPr>
          <w:rFonts w:cs="Arial"/>
        </w:rPr>
        <w:t xml:space="preserve"> patients</w:t>
      </w:r>
      <w:r w:rsidR="0053414C">
        <w:rPr>
          <w:rFonts w:cs="Arial"/>
        </w:rPr>
        <w:t xml:space="preserve"> </w:t>
      </w:r>
      <w:r w:rsidR="002E4A9B">
        <w:rPr>
          <w:rFonts w:cs="Arial"/>
        </w:rPr>
        <w:t>to help inform</w:t>
      </w:r>
      <w:r w:rsidR="0053414C">
        <w:rPr>
          <w:rFonts w:cs="Arial"/>
        </w:rPr>
        <w:t xml:space="preserve"> health care providers and policy makers. </w:t>
      </w:r>
      <w:r w:rsidR="002E4A9B">
        <w:rPr>
          <w:rFonts w:cs="Arial"/>
        </w:rPr>
        <w:t xml:space="preserve">Future studies should aim to confirm these findings and evaluate their impact on patients, their families, and the health care system </w:t>
      </w:r>
      <w:r w:rsidR="00176863">
        <w:rPr>
          <w:rFonts w:cs="Arial"/>
        </w:rPr>
        <w:t>as a whole.</w:t>
      </w:r>
      <w:r w:rsidR="002E4A9B">
        <w:rPr>
          <w:rFonts w:cs="Arial"/>
        </w:rPr>
        <w:t xml:space="preserve">  </w:t>
      </w:r>
      <w:r w:rsidR="005C0008">
        <w:rPr>
          <w:rFonts w:cs="Arial"/>
        </w:rPr>
        <w:t xml:space="preserve">In the interim, </w:t>
      </w:r>
      <w:r w:rsidR="00D02BAD">
        <w:rPr>
          <w:rFonts w:cs="Arial"/>
        </w:rPr>
        <w:t xml:space="preserve">a more </w:t>
      </w:r>
      <w:r w:rsidR="005C0008">
        <w:rPr>
          <w:rFonts w:cs="Arial"/>
        </w:rPr>
        <w:t xml:space="preserve">careful review of patients’ </w:t>
      </w:r>
      <w:r w:rsidR="00D02BAD">
        <w:rPr>
          <w:rFonts w:cs="Arial"/>
        </w:rPr>
        <w:t xml:space="preserve">drug </w:t>
      </w:r>
      <w:r w:rsidR="005C0008">
        <w:rPr>
          <w:rFonts w:cs="Arial"/>
        </w:rPr>
        <w:t>regimens at the time of hospice enrollment and thoughtful consideration</w:t>
      </w:r>
      <w:r w:rsidR="00D02BAD">
        <w:rPr>
          <w:rFonts w:cs="Arial"/>
        </w:rPr>
        <w:t xml:space="preserve"> of the need to continue each medication in the context of the patient’s illness is warranted.</w:t>
      </w:r>
      <w:r w:rsidR="0053414C">
        <w:rPr>
          <w:rFonts w:cs="Arial"/>
        </w:rPr>
        <w:t xml:space="preserve"> </w:t>
      </w:r>
    </w:p>
    <w:p w14:paraId="24EB5501" w14:textId="77777777" w:rsidR="00561245" w:rsidRDefault="00561245" w:rsidP="00A11521">
      <w:pPr>
        <w:spacing w:after="0"/>
        <w:rPr>
          <w:rFonts w:cs="Arial"/>
        </w:rPr>
      </w:pPr>
    </w:p>
    <w:p w14:paraId="3CCB7C88" w14:textId="77777777" w:rsidR="005B4EE0" w:rsidRDefault="005B4EE0" w:rsidP="00A61543"/>
    <w:p w14:paraId="07687A57" w14:textId="77777777" w:rsidR="00A61543" w:rsidRPr="00A61543" w:rsidRDefault="00A61543" w:rsidP="00A61543"/>
    <w:p w14:paraId="4E2A0FFB" w14:textId="77777777" w:rsidR="00A61543" w:rsidRPr="00A61543" w:rsidRDefault="00A61543" w:rsidP="00A61543"/>
    <w:p w14:paraId="3EB3E8C0" w14:textId="77777777" w:rsidR="00A61543" w:rsidRPr="00A61543" w:rsidRDefault="00A61543" w:rsidP="00A61543"/>
    <w:p w14:paraId="16F4DC0E" w14:textId="77777777" w:rsidR="00A61543" w:rsidRPr="00A61543" w:rsidRDefault="00A61543" w:rsidP="00A61543"/>
    <w:p w14:paraId="4AAAB171" w14:textId="77777777" w:rsidR="00A61543" w:rsidRPr="00A61543" w:rsidRDefault="00A61543" w:rsidP="00A61543"/>
    <w:p w14:paraId="11662A46" w14:textId="77777777" w:rsidR="00A61543" w:rsidRPr="00A61543" w:rsidRDefault="00A61543" w:rsidP="00A61543"/>
    <w:p w14:paraId="17707A53" w14:textId="77777777" w:rsidR="00A61543" w:rsidRPr="00A61543" w:rsidRDefault="00A61543" w:rsidP="00A61543"/>
    <w:p w14:paraId="5063E068" w14:textId="77777777" w:rsidR="00AB5A76" w:rsidRDefault="00AB5A76" w:rsidP="00A61543">
      <w:pPr>
        <w:sectPr w:rsidR="00AB5A76" w:rsidSect="005318B5">
          <w:footerReference w:type="default" r:id="rId8"/>
          <w:type w:val="continuous"/>
          <w:pgSz w:w="12240" w:h="15840" w:code="1"/>
          <w:pgMar w:top="1440" w:right="1440" w:bottom="1440" w:left="1440" w:header="720" w:footer="432" w:gutter="0"/>
          <w:pgNumType w:fmt="lowerRoman"/>
          <w:cols w:space="720"/>
          <w:titlePg/>
          <w:docGrid w:linePitch="360"/>
        </w:sectPr>
      </w:pPr>
    </w:p>
    <w:p w14:paraId="278E15B8" w14:textId="1CA1D979" w:rsidR="00A61543" w:rsidRDefault="00A61543" w:rsidP="00A61543">
      <w:pPr>
        <w:sectPr w:rsidR="00A61543" w:rsidSect="00867940">
          <w:type w:val="continuous"/>
          <w:pgSz w:w="12240" w:h="15840" w:code="1"/>
          <w:pgMar w:top="1440" w:right="1440" w:bottom="1440" w:left="1440" w:header="720" w:footer="720" w:gutter="0"/>
          <w:pgNumType w:fmt="lowerRoman"/>
          <w:cols w:space="720"/>
          <w:titlePg/>
          <w:docGrid w:linePitch="360"/>
        </w:sectPr>
      </w:pPr>
    </w:p>
    <w:p w14:paraId="5B40520E" w14:textId="36B4FBCB" w:rsidR="00466BE1" w:rsidRPr="00867940" w:rsidRDefault="00466BE1" w:rsidP="002C0F95">
      <w:pPr>
        <w:pStyle w:val="Style1"/>
        <w:widowControl/>
        <w:jc w:val="center"/>
      </w:pPr>
      <w:bookmarkStart w:id="33" w:name="_Toc507326034"/>
      <w:r w:rsidRPr="00867940">
        <w:lastRenderedPageBreak/>
        <w:t xml:space="preserve">I. </w:t>
      </w:r>
      <w:r w:rsidR="00BD660F" w:rsidRPr="00867940">
        <w:t>INTRODUCTION</w:t>
      </w:r>
      <w:bookmarkEnd w:id="32"/>
      <w:bookmarkEnd w:id="33"/>
    </w:p>
    <w:p w14:paraId="4D98D5F3" w14:textId="77777777" w:rsidR="00DF3833" w:rsidRDefault="00BD660F" w:rsidP="00DF3833">
      <w:pPr>
        <w:pStyle w:val="Style2"/>
        <w:spacing w:before="0" w:line="480" w:lineRule="auto"/>
      </w:pPr>
      <w:bookmarkStart w:id="34" w:name="_Toc506036782"/>
      <w:bookmarkStart w:id="35" w:name="_Toc507326035"/>
      <w:r w:rsidRPr="00DF3833">
        <w:t>1.1 Hospice Care in the United States</w:t>
      </w:r>
      <w:bookmarkEnd w:id="34"/>
      <w:bookmarkEnd w:id="35"/>
    </w:p>
    <w:p w14:paraId="7B54B692" w14:textId="7E37F49E" w:rsidR="00DF3833" w:rsidRPr="00DF3833" w:rsidRDefault="00DF3833" w:rsidP="00AB0F6E">
      <w:pPr>
        <w:spacing w:after="0"/>
        <w:ind w:firstLine="720"/>
      </w:pPr>
      <w:r w:rsidRPr="00DF3833">
        <w:t>Hospice is a comprehensive, holistic care model for addressing the palliative care and support needs of patients with a life-limiting illness.</w:t>
      </w:r>
      <w:r w:rsidRPr="00DF3833">
        <w:fldChar w:fldCharType="begin"/>
      </w:r>
      <w:r w:rsidR="007107C5">
        <w:instrText xml:space="preserve"> ADDIN ZOTERO_ITEM CSL_CITATION {"citationID":"awOYZaom","properties":{"formattedCitation":"\\super 1\\uc0\\u8211{}3\\nosupersub{}","plainCitation":"1–3","noteIndex":0},"citationItems":[{"id":1697,"uris":["http://zotero.org/users/2597747/items/VXR84WIV"],"uri":["http://zotero.org/users/2597747/items/VXR84WIV"],"itemData":{"id":1697,"type":"article-journal","title":"Development of hospice and palliative care in the United States","container-title":"Omega","page":"89-99","volume":"56","issue":"1","source":"PubMed","abstract":"More than 30 years have passed since palliative care was introduced in the United States, and what began as a small rebellion has evolved into a fairly large health care industry. Although the palliative care movement has considerably improved the care given to those at the end of life, many challenges remain for palliative care providers in the United States. This article discusses the history of hospice and palliative care in the United States, the Medicare Hospice Benefit, the growth of hospice and palliative care, and challenges such as the need for regulatory change, workforce issues, improving access to care, and improving the quality of palliative care.","ISSN":"0030-2228","note":"PMID: 18051022","journalAbbreviation":"Omega (Westport)","language":"eng","author":[{"family":"Connor","given":"Stephen R."}],"issued":{"date-parts":[["2007"]],"season":"2008"}}},{"id":2652,"uris":["http://zotero.org/users/2597747/items/G6VPA5U7"],"uri":["http://zotero.org/users/2597747/items/G6VPA5U7"],"itemData":{"id":2652,"type":"article","title":"NHPCO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id":2753,"uris":["http://zotero.org/users/2597747/items/NGJX3ABU"],"uri":["http://zotero.org/users/2597747/items/NGJX3ABU"],"itemData":{"id":2753,"type":"book","title":"Dying in America: Improving Quality and Honoring Individual Preferences Near the End of Life","publisher":"National Academies Press","publisher-place":"Washington, D.C.","event-place":"Washington, D.C.","URL":"http://www.nap.edu/catalog/18748","ISBN":"978-0-309-30310-1","shortTitle":"Dying in America","issued":{"date-parts":[["2015",3,19]]}}}],"schema":"https://github.com/citation-style-language/schema/raw/master/csl-citation.json"} </w:instrText>
      </w:r>
      <w:r w:rsidRPr="00DF3833">
        <w:fldChar w:fldCharType="separate"/>
      </w:r>
      <w:r w:rsidR="00B55AC2" w:rsidRPr="00B55AC2">
        <w:rPr>
          <w:rFonts w:cs="Arial"/>
          <w:szCs w:val="24"/>
          <w:vertAlign w:val="superscript"/>
        </w:rPr>
        <w:t>1–3</w:t>
      </w:r>
      <w:r w:rsidRPr="00DF3833">
        <w:fldChar w:fldCharType="end"/>
      </w:r>
      <w:r w:rsidRPr="00DF3833">
        <w:t xml:space="preserve"> Though palliative care and hospice care are generally considered synonymous outside of the US, hospice care in the US typically refers to care for the terminally ill while palliative care is provided to those requiring symptom control for serious, but not yet terminal, illnesses.</w:t>
      </w:r>
      <w:r w:rsidRPr="00DF3833">
        <w:fldChar w:fldCharType="begin"/>
      </w:r>
      <w:r w:rsidR="007438F8">
        <w:instrText xml:space="preserve"> ADDIN ZOTERO_ITEM CSL_CITATION {"citationID":"20diq66s44","properties":{"formattedCitation":"\\super 1\\nosupersub{}","plainCitation":"1","noteIndex":0},"citationItems":[{"id":1697,"uris":["http://zotero.org/users/2597747/items/VXR84WIV"],"uri":["http://zotero.org/users/2597747/items/VXR84WIV"],"itemData":{"id":1697,"type":"article-journal","title":"Development of hospice and palliative care in the United States","container-title":"Omega","page":"89-99","volume":"56","issue":"1","source":"PubMed","abstract":"More than 30 years have passed since palliative care was introduced in the United States, and what began as a small rebellion has evolved into a fairly large health care industry. Although the palliative care movement has considerably improved the care given to those at the end of life, many challenges remain for palliative care providers in the United States. This article discusses the history of hospice and palliative care in the United States, the Medicare Hospice Benefit, the growth of hospice and palliative care, and challenges such as the need for regulatory change, workforce issues, improving access to care, and improving the quality of palliative care.","ISSN":"0030-2228","note":"PMID: 18051022","journalAbbreviation":"Omega (Westport)","language":"eng","author":[{"family":"Connor","given":"Stephen R."}],"issued":{"date-parts":[["2007"]],"season":"2008"}}}],"schema":"https://github.com/citation-style-language/schema/raw/master/csl-citation.json"} </w:instrText>
      </w:r>
      <w:r w:rsidRPr="00DF3833">
        <w:fldChar w:fldCharType="separate"/>
      </w:r>
      <w:r w:rsidR="00B55AC2" w:rsidRPr="00B55AC2">
        <w:rPr>
          <w:rFonts w:cs="Arial"/>
          <w:szCs w:val="24"/>
          <w:vertAlign w:val="superscript"/>
        </w:rPr>
        <w:t>1</w:t>
      </w:r>
      <w:r w:rsidRPr="00DF3833">
        <w:fldChar w:fldCharType="end"/>
      </w:r>
      <w:r w:rsidRPr="00DF3833">
        <w:t xml:space="preserve"> The treatment philosophy in the hospice setting is one that is centered on “caring, not curing”; by electing hospice, patients have chosen to forego aggressive, life-prolonging treatment in favor of care aimed at maximizing quality of life during their final weeks and days.</w:t>
      </w:r>
      <w:r w:rsidRPr="00DF3833">
        <w:fldChar w:fldCharType="begin"/>
      </w:r>
      <w:r w:rsidR="007438F8">
        <w:instrText xml:space="preserve"> ADDIN ZOTERO_ITEM CSL_CITATION {"citationID":"2iucfohmcv","properties":{"formattedCitation":"\\super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DF3833">
        <w:fldChar w:fldCharType="separate"/>
      </w:r>
      <w:r w:rsidR="00B55AC2" w:rsidRPr="00B55AC2">
        <w:rPr>
          <w:rFonts w:cs="Arial"/>
          <w:szCs w:val="24"/>
          <w:vertAlign w:val="superscript"/>
        </w:rPr>
        <w:t>2</w:t>
      </w:r>
      <w:r w:rsidRPr="00DF3833">
        <w:fldChar w:fldCharType="end"/>
      </w:r>
      <w:r w:rsidRPr="00DF3833">
        <w:t xml:space="preserve"> In addition to medical care and pain management for the terminally ill patient, patients and families receive emotional and spiritual support services by an interdisciplinary hospice care team.</w:t>
      </w:r>
      <w:r w:rsidRPr="00DF3833">
        <w:fldChar w:fldCharType="begin"/>
      </w:r>
      <w:r w:rsidR="007107C5">
        <w:instrText xml:space="preserve"> ADDIN ZOTERO_ITEM CSL_CITATION {"citationID":"1lqvoeem7n","properties":{"formattedCitation":"\\super 3\\nosupersub{}","plainCitation":"3","noteIndex":0},"citationItems":[{"id":2753,"uris":["http://zotero.org/users/2597747/items/NGJX3ABU"],"uri":["http://zotero.org/users/2597747/items/NGJX3ABU"],"itemData":{"id":2753,"type":"book","title":"Dying in America: Improving Quality and Honoring Individual Preferences Near the End of Life","publisher":"National Academies Press","publisher-place":"Washington, D.C.","event-place":"Washington, D.C.","URL":"http://www.nap.edu/catalog/18748","ISBN":"978-0-309-30310-1","shortTitle":"Dying in America","issued":{"date-parts":[["2015",3,19]]}}}],"schema":"https://github.com/citation-style-language/schema/raw/master/csl-citation.json"} </w:instrText>
      </w:r>
      <w:r w:rsidRPr="00DF3833">
        <w:fldChar w:fldCharType="separate"/>
      </w:r>
      <w:r w:rsidR="00B55AC2" w:rsidRPr="00B55AC2">
        <w:rPr>
          <w:rFonts w:cs="Arial"/>
          <w:szCs w:val="24"/>
          <w:vertAlign w:val="superscript"/>
        </w:rPr>
        <w:t>3</w:t>
      </w:r>
      <w:r w:rsidRPr="00DF3833">
        <w:fldChar w:fldCharType="end"/>
      </w:r>
      <w:r w:rsidRPr="00DF3833">
        <w:t xml:space="preserve">  Core members of the care team generally consist of a hospice physician, the patient’s personal physician, a hospice nurse, a social worker, and a spiritual and bereavement counselor; pharmacists, therapists, home health aides, and trained volunteers may also be included based on the needs of the patient and family.</w:t>
      </w:r>
      <w:r w:rsidRPr="00DF3833">
        <w:fldChar w:fldCharType="begin"/>
      </w:r>
      <w:r w:rsidR="007107C5">
        <w:instrText xml:space="preserve"> ADDIN ZOTERO_ITEM CSL_CITATION {"citationID":"nH1aeZjr","properties":{"formattedCitation":"\\super 2,3\\nosupersub{}","plainCitation":"2,3","noteIndex":0},"citationItems":[{"id":2753,"uris":["http://zotero.org/users/2597747/items/NGJX3ABU"],"uri":["http://zotero.org/users/2597747/items/NGJX3ABU"],"itemData":{"id":2753,"type":"book","title":"Dying in America: Improving Quality and Honoring Individual Preferences Near the End of Life","publisher":"National Academies Press","publisher-place":"Washington, D.C.","event-place":"Washington, D.C.","URL":"http://www.nap.edu/catalog/18748","ISBN":"978-0-309-30310-1","shortTitle":"Dying in America","issued":{"date-parts":[["2015",3,19]]}}},{"id":2652,"uris":["http://zotero.org/users/2597747/items/G6VPA5U7"],"uri":["http://zotero.org/users/2597747/items/G6VPA5U7"],"itemData":{"id":2652,"type":"article","title":"NHPCO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DF3833">
        <w:fldChar w:fldCharType="separate"/>
      </w:r>
      <w:r w:rsidR="00B55AC2" w:rsidRPr="00B55AC2">
        <w:rPr>
          <w:rFonts w:cs="Arial"/>
          <w:szCs w:val="24"/>
          <w:vertAlign w:val="superscript"/>
        </w:rPr>
        <w:t>2,3</w:t>
      </w:r>
      <w:r w:rsidRPr="00DF3833">
        <w:fldChar w:fldCharType="end"/>
      </w:r>
      <w:r w:rsidRPr="00DF3833">
        <w:t xml:space="preserve"> As outlined by the National Hospice and Palliative Care Organization</w:t>
      </w:r>
      <w:r w:rsidR="00AB0F6E">
        <w:fldChar w:fldCharType="begin"/>
      </w:r>
      <w:r w:rsidR="00AB0F6E">
        <w:instrText xml:space="preserve"> ADDIN ZOTERO_ITEM CSL_CITATION {"citationID":"a11si1nfham","properties":{"formattedCitation":"\\super 4\\nosupersub{}","plainCitation":"4","noteIndex":0},"citationItems":[{"id":4030,"uris":["http://zotero.org/users/2597747/items/TMB7QZZM"],"uri":["http://zotero.org/users/2597747/items/TMB7QZZM"],"itemData":{"id":4030,"type":"article","title":"NHPCO Facts and Figures: Hospice Care in America. Alexandria, VA: National Hospice and Palliative Care Organization.","URL":"https://www.nhpco.org/sites/default/files/public/Statistics_Research/2016_Facts_Figures.pdf","issued":{"date-parts":[["2016"]]}}}],"schema":"https://github.com/citation-style-language/schema/raw/master/csl-citation.json"} </w:instrText>
      </w:r>
      <w:r w:rsidR="00AB0F6E">
        <w:fldChar w:fldCharType="separate"/>
      </w:r>
      <w:r w:rsidR="00B55AC2" w:rsidRPr="00B55AC2">
        <w:rPr>
          <w:rFonts w:cs="Arial"/>
          <w:szCs w:val="24"/>
          <w:vertAlign w:val="superscript"/>
        </w:rPr>
        <w:t>4</w:t>
      </w:r>
      <w:r w:rsidR="00AB0F6E">
        <w:fldChar w:fldCharType="end"/>
      </w:r>
      <w:r w:rsidRPr="00DF3833">
        <w:t xml:space="preserve">, </w:t>
      </w:r>
      <w:r w:rsidR="00AB0F6E">
        <w:t xml:space="preserve">the </w:t>
      </w:r>
      <w:r w:rsidRPr="00DF3833">
        <w:t>hospice team:</w:t>
      </w:r>
    </w:p>
    <w:p w14:paraId="7BED036F" w14:textId="3DC80989" w:rsidR="00DF3833" w:rsidRPr="00DF3833" w:rsidRDefault="00DF3833" w:rsidP="00867940">
      <w:pPr>
        <w:pStyle w:val="ListParagraph"/>
        <w:numPr>
          <w:ilvl w:val="0"/>
          <w:numId w:val="3"/>
        </w:numPr>
        <w:spacing w:after="0"/>
      </w:pPr>
      <w:r w:rsidRPr="00DF3833">
        <w:t>Manag</w:t>
      </w:r>
      <w:r w:rsidR="00AB0F6E">
        <w:t>es</w:t>
      </w:r>
      <w:r w:rsidRPr="00DF3833">
        <w:t xml:space="preserve"> the patient’s pain and</w:t>
      </w:r>
      <w:r w:rsidR="00AB0F6E">
        <w:t xml:space="preserve"> other symptoms</w:t>
      </w:r>
    </w:p>
    <w:p w14:paraId="4EA9B807" w14:textId="50A99400" w:rsidR="00DF3833" w:rsidRPr="00DF3833" w:rsidRDefault="00DF3833" w:rsidP="00576244">
      <w:pPr>
        <w:pStyle w:val="ListParagraph"/>
        <w:numPr>
          <w:ilvl w:val="0"/>
          <w:numId w:val="3"/>
        </w:numPr>
      </w:pPr>
      <w:r w:rsidRPr="00DF3833">
        <w:t>Assist</w:t>
      </w:r>
      <w:r w:rsidR="00AB0F6E">
        <w:t>s</w:t>
      </w:r>
      <w:r w:rsidRPr="00DF3833">
        <w:t xml:space="preserve"> the patient </w:t>
      </w:r>
      <w:r w:rsidR="00AB0F6E">
        <w:t xml:space="preserve">and family members </w:t>
      </w:r>
      <w:r w:rsidRPr="00DF3833">
        <w:t>with</w:t>
      </w:r>
      <w:r w:rsidR="00AB0F6E">
        <w:t xml:space="preserve"> the</w:t>
      </w:r>
      <w:r w:rsidRPr="00DF3833">
        <w:t xml:space="preserve"> emotional, psychosocial,</w:t>
      </w:r>
      <w:r w:rsidR="00AB0F6E">
        <w:t xml:space="preserve"> and spiritual aspects of dying</w:t>
      </w:r>
    </w:p>
    <w:p w14:paraId="6005C460" w14:textId="4C48BDD3" w:rsidR="00DF3833" w:rsidRPr="00DF3833" w:rsidRDefault="00DF3833" w:rsidP="00576244">
      <w:pPr>
        <w:pStyle w:val="ListParagraph"/>
        <w:numPr>
          <w:ilvl w:val="0"/>
          <w:numId w:val="3"/>
        </w:numPr>
      </w:pPr>
      <w:r w:rsidRPr="00DF3833">
        <w:t>Provid</w:t>
      </w:r>
      <w:r w:rsidR="00AB0F6E">
        <w:t>es medications and medical supplies and equipment</w:t>
      </w:r>
    </w:p>
    <w:p w14:paraId="584B7CED" w14:textId="6A566043" w:rsidR="00DF3833" w:rsidRDefault="00DF3833" w:rsidP="00576244">
      <w:pPr>
        <w:pStyle w:val="ListParagraph"/>
        <w:numPr>
          <w:ilvl w:val="0"/>
          <w:numId w:val="3"/>
        </w:numPr>
      </w:pPr>
      <w:r w:rsidRPr="00DF3833">
        <w:t>Instruct</w:t>
      </w:r>
      <w:r w:rsidR="00AB0F6E">
        <w:t>s</w:t>
      </w:r>
      <w:r w:rsidRPr="00DF3833">
        <w:t xml:space="preserve"> the family</w:t>
      </w:r>
      <w:r w:rsidR="00AB0F6E">
        <w:t xml:space="preserve"> on how to care for the patient</w:t>
      </w:r>
    </w:p>
    <w:p w14:paraId="08A29D75" w14:textId="607934AD" w:rsidR="00AB0F6E" w:rsidRPr="00DF3833" w:rsidRDefault="00AB0F6E" w:rsidP="00576244">
      <w:pPr>
        <w:pStyle w:val="ListParagraph"/>
        <w:numPr>
          <w:ilvl w:val="0"/>
          <w:numId w:val="3"/>
        </w:numPr>
      </w:pPr>
      <w:r>
        <w:t>Provides grief support and counseling</w:t>
      </w:r>
    </w:p>
    <w:p w14:paraId="3DA593BC" w14:textId="78D6F4EB" w:rsidR="00DF3833" w:rsidRDefault="00DF3833" w:rsidP="00576244">
      <w:pPr>
        <w:pStyle w:val="ListParagraph"/>
        <w:numPr>
          <w:ilvl w:val="0"/>
          <w:numId w:val="3"/>
        </w:numPr>
      </w:pPr>
      <w:r w:rsidRPr="00DF3833">
        <w:t>Mak</w:t>
      </w:r>
      <w:r w:rsidR="00AB0F6E">
        <w:t xml:space="preserve">es </w:t>
      </w:r>
      <w:r w:rsidRPr="00DF3833">
        <w:t xml:space="preserve">short-term inpatient care available when pain or </w:t>
      </w:r>
      <w:r w:rsidR="00AB0F6E">
        <w:t xml:space="preserve">other </w:t>
      </w:r>
      <w:r w:rsidRPr="00DF3833">
        <w:t>symptoms become too difficult to</w:t>
      </w:r>
      <w:r w:rsidR="00AB0F6E">
        <w:t xml:space="preserve"> manage</w:t>
      </w:r>
      <w:r w:rsidRPr="00DF3833">
        <w:t xml:space="preserve"> </w:t>
      </w:r>
    </w:p>
    <w:p w14:paraId="697EE53D" w14:textId="331B09A6" w:rsidR="00AB0F6E" w:rsidRPr="00DF3833" w:rsidRDefault="00AB0F6E" w:rsidP="00AB0F6E">
      <w:pPr>
        <w:pStyle w:val="ListParagraph"/>
        <w:numPr>
          <w:ilvl w:val="0"/>
          <w:numId w:val="3"/>
        </w:numPr>
      </w:pPr>
      <w:r w:rsidRPr="00DF3833">
        <w:t>Deliver</w:t>
      </w:r>
      <w:r>
        <w:t>s</w:t>
      </w:r>
      <w:r w:rsidRPr="00DF3833">
        <w:t xml:space="preserve"> special services like speech and physical therapy when ne</w:t>
      </w:r>
      <w:r>
        <w:t>eded</w:t>
      </w:r>
    </w:p>
    <w:p w14:paraId="630E163F" w14:textId="1DBEA273" w:rsidR="00DF3833" w:rsidRPr="00DF3833" w:rsidRDefault="00DF3833" w:rsidP="00AB0F6E">
      <w:pPr>
        <w:ind w:firstLine="720"/>
      </w:pPr>
      <w:r w:rsidRPr="00DF3833">
        <w:lastRenderedPageBreak/>
        <w:t>The concept of hospice as specialized care for the dying was originally developed in the United Kingdom, with the first modern hospice opening in London in 1967.</w:t>
      </w:r>
      <w:r w:rsidRPr="00DF3833">
        <w:fldChar w:fldCharType="begin"/>
      </w:r>
      <w:r w:rsidR="007438F8">
        <w:instrText xml:space="preserve"> ADDIN ZOTERO_ITEM CSL_CITATION {"citationID":"2p4msuv0v8","properties":{"formattedCitation":"\\super 1\\nosupersub{}","plainCitation":"1","noteIndex":0},"citationItems":[{"id":1697,"uris":["http://zotero.org/users/2597747/items/VXR84WIV"],"uri":["http://zotero.org/users/2597747/items/VXR84WIV"],"itemData":{"id":1697,"type":"article-journal","title":"Development of hospice and palliative care in the United States","container-title":"Omega","page":"89-99","volume":"56","issue":"1","source":"PubMed","abstract":"More than 30 years have passed since palliative care was introduced in the United States, and what began as a small rebellion has evolved into a fairly large health care industry. Although the palliative care movement has considerably improved the care given to those at the end of life, many challenges remain for palliative care providers in the United States. This article discusses the history of hospice and palliative care in the United States, the Medicare Hospice Benefit, the growth of hospice and palliative care, and challenges such as the need for regulatory change, workforce issues, improving access to care, and improving the quality of palliative care.","ISSN":"0030-2228","note":"PMID: 18051022","journalAbbreviation":"Omega (Westport)","language":"eng","author":[{"family":"Connor","given":"Stephen R."}],"issued":{"date-parts":[["2007"]],"season":"2008"}}}],"schema":"https://github.com/citation-style-language/schema/raw/master/csl-citation.json"} </w:instrText>
      </w:r>
      <w:r w:rsidRPr="00DF3833">
        <w:fldChar w:fldCharType="separate"/>
      </w:r>
      <w:r w:rsidR="00B55AC2" w:rsidRPr="00B55AC2">
        <w:rPr>
          <w:rFonts w:cs="Arial"/>
          <w:szCs w:val="24"/>
          <w:vertAlign w:val="superscript"/>
        </w:rPr>
        <w:t>1</w:t>
      </w:r>
      <w:r w:rsidRPr="00DF3833">
        <w:fldChar w:fldCharType="end"/>
      </w:r>
      <w:r w:rsidRPr="00DF3833">
        <w:t xml:space="preserve"> Several years later in 1973, the first hospice in the US opened in Branford, Connecticut.</w:t>
      </w:r>
      <w:r w:rsidRPr="00DF3833">
        <w:fldChar w:fldCharType="begin"/>
      </w:r>
      <w:r w:rsidR="007438F8">
        <w:instrText xml:space="preserve"> ADDIN ZOTERO_ITEM CSL_CITATION {"citationID":"17k1k7jag7","properties":{"formattedCitation":"\\super 1\\nosupersub{}","plainCitation":"1","noteIndex":0},"citationItems":[{"id":1697,"uris":["http://zotero.org/users/2597747/items/VXR84WIV"],"uri":["http://zotero.org/users/2597747/items/VXR84WIV"],"itemData":{"id":1697,"type":"article-journal","title":"Development of hospice and palliative care in the United States","container-title":"Omega","page":"89-99","volume":"56","issue":"1","source":"PubMed","abstract":"More than 30 years have passed since palliative care was introduced in the United States, and what began as a small rebellion has evolved into a fairly large health care industry. Although the palliative care movement has considerably improved the care given to those at the end of life, many challenges remain for palliative care providers in the United States. This article discusses the history of hospice and palliative care in the United States, the Medicare Hospice Benefit, the growth of hospice and palliative care, and challenges such as the need for regulatory change, workforce issues, improving access to care, and improving the quality of palliative care.","ISSN":"0030-2228","note":"PMID: 18051022","journalAbbreviation":"Omega (Westport)","language":"eng","author":[{"family":"Connor","given":"Stephen R."}],"issued":{"date-parts":[["2007"]],"season":"2008"}}}],"schema":"https://github.com/citation-style-language/schema/raw/master/csl-citation.json"} </w:instrText>
      </w:r>
      <w:r w:rsidRPr="00DF3833">
        <w:fldChar w:fldCharType="separate"/>
      </w:r>
      <w:r w:rsidR="00B55AC2" w:rsidRPr="00B55AC2">
        <w:rPr>
          <w:rFonts w:cs="Arial"/>
          <w:szCs w:val="24"/>
          <w:vertAlign w:val="superscript"/>
        </w:rPr>
        <w:t>1</w:t>
      </w:r>
      <w:r w:rsidRPr="00DF3833">
        <w:fldChar w:fldCharType="end"/>
      </w:r>
      <w:r w:rsidRPr="00DF3833">
        <w:t xml:space="preserve"> Several models of hospice care were tested and multiple attempts at introducing legislation to pay for hospice care services were introduced over the next decade. In 1983, a hospice benefit was established within Medicare, a government-administered insurance program that provides health care coverage to individuals at least 65 years old as well as individuals with certain disabilities and chronic diseases.</w:t>
      </w:r>
      <w:r w:rsidRPr="00DF3833">
        <w:fldChar w:fldCharType="begin"/>
      </w:r>
      <w:r w:rsidR="00AB0F6E">
        <w:instrText xml:space="preserve"> ADDIN ZOTERO_ITEM CSL_CITATION {"citationID":"q61Lw9aE","properties":{"formattedCitation":"\\super 1,5\\nosupersub{}","plainCitation":"1,5","noteIndex":0},"citationItems":[{"id":1697,"uris":["http://zotero.org/users/2597747/items/VXR84WIV"],"uri":["http://zotero.org/users/2597747/items/VXR84WIV"],"itemData":{"id":1697,"type":"article-journal","title":"Development of hospice and palliative care in the United States","container-title":"Omega","page":"89-99","volume":"56","issue":"1","source":"PubMed","abstract":"More than 30 years have passed since palliative care was introduced in the United States, and what began as a small rebellion has evolved into a fairly large health care industry. Although the palliative care movement has considerably improved the care given to those at the end of life, many challenges remain for palliative care providers in the United States. This article discusses the history of hospice and palliative care in the United States, the Medicare Hospice Benefit, the growth of hospice and palliative care, and challenges such as the need for regulatory change, workforce issues, improving access to care, and improving the quality of palliative care.","ISSN":"0030-2228","note":"PMID: 18051022","journalAbbreviation":"Omega (Westport)","language":"eng","author":[{"family":"Connor","given":"Stephen R."}],"issued":{"date-parts":[["2007"]],"season":"2008"}}},{"id":3275,"uris":["http://zotero.org/users/2597747/items/553E3ZIJ"],"uri":["http://zotero.org/users/2597747/items/553E3ZIJ"],"itemData":{"id":3275,"type":"report","title":"Hospice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Pr="00DF3833">
        <w:fldChar w:fldCharType="separate"/>
      </w:r>
      <w:r w:rsidR="00B55AC2" w:rsidRPr="00B55AC2">
        <w:rPr>
          <w:rFonts w:cs="Arial"/>
          <w:szCs w:val="24"/>
          <w:vertAlign w:val="superscript"/>
        </w:rPr>
        <w:t>1,5</w:t>
      </w:r>
      <w:r w:rsidRPr="00DF3833">
        <w:fldChar w:fldCharType="end"/>
      </w:r>
      <w:r w:rsidRPr="00DF3833">
        <w:t xml:space="preserve"> A Medicaid hospice benefit followed shortly thereafter in 1986, and a majority of private health insurance companies now include hospice care as a covered service.</w:t>
      </w:r>
      <w:r w:rsidRPr="00DF3833">
        <w:fldChar w:fldCharType="begin"/>
      </w:r>
      <w:r w:rsidR="00AB0F6E">
        <w:instrText xml:space="preserve"> ADDIN ZOTERO_ITEM CSL_CITATION {"citationID":"ep20s2nbp","properties":{"formattedCitation":"\\super 6\\nosupersub{}","plainCitation":"6","noteIndex":0},"citationItems":[{"id":2226,"uris":["http://zotero.org/users/2597747/items/F9R9V8IS"],"uri":["http://zotero.org/users/2597747/items/F9R9V8IS"],"itemData":{"id":2226,"type":"article-journal","title":"Characteristics of hospice care discharges and their length of service: United States, 2000","container-title":"Vital and Health Statistics. Series 13, Data from the National Health Survey","page":"1-36","issue":"154","source":"PubMed","abstract":"OBJECTIVE: To obtain the maximum benefit from hospice, a person should receive hospice services for at least 30 days. For many Americans, this goal is not being met. This report presents data on hospice care discharges for 2000. Selected trend data are also presented.\nMETHODS: Data are from the National Home and Hospice Care Survey. The data presented are numbers and percents by selected discharge characteristics. Length of service measures include average and median length of service and length of service intervals.\nRESULTS AND CONCLUSIONS: There were 621,100 discharges from hospice care in 2000. The typical discharge was elderly, white, lived in a private or semiprivate residence with a caregiver to whom they were related, and died while in hospice care. The primary source of payment was Medicare. Most received three or more services, were seen by three or more service providers, received help from the hospice with at least one activity of daily living (ADL), were incontinent, and had mobility limitation. Cancer is the most common primary admission diagnosis, but the proportion decreased from 75 percent in 1992 to 58 percent in 2000. Most of the discharges did not receive timely care. Sixty-three percent of discharges received hospice care for less than 30 days. The average length of service was 46.9 days, and the median length of service was 15.6 days. Shorter lengths of service occurred for those who were living in institutions, did not receive help from the agency with ADLs, had a lower level of mobility limitation, and had a primary admission diagnosis of cerebrovascular disease. Of the noninstitutionalized discharges, those whose primary caregiver was a spouse had shorter lengths of service than those who were cared for by a child.","ISSN":"0083-2006","note":"PMID: 12974075","shortTitle":"Characteristics of hospice care discharges and their length of service","journalAbbreviation":"Vital Health Stat 13","language":"eng","author":[{"family":"Haupt","given":"Barbara J."}],"issued":{"date-parts":[["2003",8]]}}}],"schema":"https://github.com/citation-style-language/schema/raw/master/csl-citation.json"} </w:instrText>
      </w:r>
      <w:r w:rsidRPr="00DF3833">
        <w:fldChar w:fldCharType="separate"/>
      </w:r>
      <w:r w:rsidR="00B55AC2" w:rsidRPr="00B55AC2">
        <w:rPr>
          <w:rFonts w:cs="Arial"/>
          <w:szCs w:val="24"/>
          <w:vertAlign w:val="superscript"/>
        </w:rPr>
        <w:t>6</w:t>
      </w:r>
      <w:r w:rsidRPr="00DF3833">
        <w:fldChar w:fldCharType="end"/>
      </w:r>
      <w:r w:rsidRPr="00DF3833">
        <w:t xml:space="preserve"> </w:t>
      </w:r>
    </w:p>
    <w:p w14:paraId="606F29DE" w14:textId="0F8D188E" w:rsidR="00867940" w:rsidRDefault="00DF3833" w:rsidP="00AB0F6E">
      <w:pPr>
        <w:ind w:firstLine="720"/>
      </w:pPr>
      <w:r w:rsidRPr="00DF3833">
        <w:t>Since its introduction as a model of care, the number of hospice programs in the US has increased dramatically. There were approximately 1,600 hospice programs in the US in 1990, increasing to 3,100 programs in 2000 and 5,150 programs in 2010.</w:t>
      </w:r>
      <w:r w:rsidRPr="00DF3833">
        <w:fldChar w:fldCharType="begin"/>
      </w:r>
      <w:r w:rsidR="007438F8">
        <w:instrText xml:space="preserve"> ADDIN ZOTERO_ITEM CSL_CITATION {"citationID":"1uirfar6g4","properties":{"formattedCitation":"\\super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DF3833">
        <w:fldChar w:fldCharType="separate"/>
      </w:r>
      <w:r w:rsidR="00B55AC2" w:rsidRPr="00B55AC2">
        <w:rPr>
          <w:rFonts w:cs="Arial"/>
          <w:szCs w:val="24"/>
          <w:vertAlign w:val="superscript"/>
        </w:rPr>
        <w:t>2</w:t>
      </w:r>
      <w:r w:rsidRPr="00DF3833">
        <w:fldChar w:fldCharType="end"/>
      </w:r>
      <w:r w:rsidRPr="00DF3833">
        <w:t xml:space="preserve">  As of 2014, there were approximately 6,100 hospice programs in the US which served nearly 1.7 million patients annually, including more than 1.3 million Medicare beneficiaries.</w:t>
      </w:r>
      <w:r w:rsidRPr="00DF3833">
        <w:fldChar w:fldCharType="begin"/>
      </w:r>
      <w:r w:rsidR="00AB0F6E">
        <w:instrText xml:space="preserve"> ADDIN ZOTERO_ITEM CSL_CITATION {"citationID":"T2qi3Ea4","properties":{"formattedCitation":"\\super 2,5\\nosupersub{}","plainCitation":"2,5","noteIndex":0},"citationItems":[{"id":2652,"uris":["http://zotero.org/users/2597747/items/G6VPA5U7"],"uri":["http://zotero.org/users/2597747/items/G6VPA5U7"],"itemData":{"id":2652,"type":"article","title":"NHPCO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Pr="00DF3833">
        <w:fldChar w:fldCharType="separate"/>
      </w:r>
      <w:r w:rsidR="00B55AC2" w:rsidRPr="00B55AC2">
        <w:rPr>
          <w:rFonts w:cs="Arial"/>
          <w:szCs w:val="24"/>
          <w:vertAlign w:val="superscript"/>
        </w:rPr>
        <w:t>2,5</w:t>
      </w:r>
      <w:r w:rsidRPr="00DF3833">
        <w:fldChar w:fldCharType="end"/>
      </w:r>
      <w:r w:rsidRPr="00DF3833">
        <w:t xml:space="preserve"> It is</w:t>
      </w:r>
      <w:r w:rsidR="002116F6">
        <w:t xml:space="preserve"> estimated that approximately 46</w:t>
      </w:r>
      <w:r w:rsidRPr="00DF3833">
        <w:t xml:space="preserve">% of all deaths </w:t>
      </w:r>
      <w:r w:rsidR="002116F6">
        <w:t>among Medicare beneficiaries</w:t>
      </w:r>
      <w:r w:rsidRPr="00DF3833">
        <w:t xml:space="preserve"> occur under hospice care.</w:t>
      </w:r>
      <w:r w:rsidRPr="00DF3833">
        <w:fldChar w:fldCharType="begin"/>
      </w:r>
      <w:r w:rsidR="00434675">
        <w:instrText xml:space="preserve"> ADDIN ZOTERO_ITEM CSL_CITATION {"citationID":"NaUl4JsM","properties":{"formattedCitation":"\\super 4\\nosupersub{}","plainCitation":"4","noteIndex":0},"citationItems":[{"id":4030,"uris":["http://zotero.org/users/2597747/items/TMB7QZZM"],"uri":["http://zotero.org/users/2597747/items/TMB7QZZM"],"itemData":{"id":4030,"type":"article","title":"NHPCO Facts and Figures: Hospice Care in America. Alexandria, VA: National Hospice and Palliative Care Organization.","URL":"https://www.nhpco.org/sites/default/files/public/Statistics_Research/2016_Facts_Figures.pdf","issued":{"date-parts":[["2016"]]}}}],"schema":"https://github.com/citation-style-language/schema/raw/master/csl-citation.json"} </w:instrText>
      </w:r>
      <w:r w:rsidRPr="00DF3833">
        <w:fldChar w:fldCharType="separate"/>
      </w:r>
      <w:r w:rsidR="00B55AC2" w:rsidRPr="00B55AC2">
        <w:rPr>
          <w:rFonts w:cs="Arial"/>
          <w:szCs w:val="24"/>
          <w:vertAlign w:val="superscript"/>
        </w:rPr>
        <w:t>4</w:t>
      </w:r>
      <w:r w:rsidRPr="00DF3833">
        <w:fldChar w:fldCharType="end"/>
      </w:r>
      <w:r w:rsidRPr="00DF3833">
        <w:t xml:space="preserve"> Today, hospice admission is primarily referral-based, and hospice services may be administered in a number of care settings including hospitals, nursing homes, freestanding hospice facilities and the patient’s private residence.</w:t>
      </w:r>
      <w:r w:rsidRPr="00DF3833">
        <w:fldChar w:fldCharType="begin"/>
      </w:r>
      <w:r w:rsidR="007438F8">
        <w:instrText xml:space="preserve"> ADDIN ZOTERO_ITEM CSL_CITATION {"citationID":"22r169er5v","properties":{"formattedCitation":"\\super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DF3833">
        <w:fldChar w:fldCharType="separate"/>
      </w:r>
      <w:r w:rsidR="00B55AC2" w:rsidRPr="00B55AC2">
        <w:rPr>
          <w:rFonts w:cs="Arial"/>
          <w:szCs w:val="24"/>
          <w:vertAlign w:val="superscript"/>
        </w:rPr>
        <w:t>2</w:t>
      </w:r>
      <w:r w:rsidRPr="00DF3833">
        <w:fldChar w:fldCharType="end"/>
      </w:r>
      <w:r w:rsidRPr="00DF3833">
        <w:t xml:space="preserve"> The majority of hospices (59%) operate as freestanding independent agencies, while 20% are part of a hospital system, 16% are part of a home health agency, and 5% are part of a nursing home.</w:t>
      </w:r>
      <w:r w:rsidRPr="00DF3833">
        <w:fldChar w:fldCharType="begin"/>
      </w:r>
      <w:r w:rsidR="007438F8">
        <w:instrText xml:space="preserve"> ADDIN ZOTERO_ITEM CSL_CITATION {"citationID":"n3srmhudl","properties":{"formattedCitation":"\\super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DF3833">
        <w:fldChar w:fldCharType="separate"/>
      </w:r>
      <w:r w:rsidR="00B55AC2" w:rsidRPr="00B55AC2">
        <w:rPr>
          <w:rFonts w:cs="Arial"/>
          <w:szCs w:val="24"/>
          <w:vertAlign w:val="superscript"/>
        </w:rPr>
        <w:t>2</w:t>
      </w:r>
      <w:r w:rsidRPr="00DF3833">
        <w:fldChar w:fldCharType="end"/>
      </w:r>
      <w:r w:rsidRPr="00DF3833">
        <w:t xml:space="preserve"> In the 1980’s, nearly all hospices were not-for-profit or government-owned. However, a trend toward for-profit hospice began in the 1990’s, and today 68% of hospices hold for-profit status.</w:t>
      </w:r>
      <w:r w:rsidRPr="00DF3833">
        <w:fldChar w:fldCharType="begin"/>
      </w:r>
      <w:r w:rsidR="007438F8">
        <w:instrText xml:space="preserve"> ADDIN ZOTERO_ITEM CSL_CITATION {"citationID":"2gsai3p827","properties":{"formattedCitation":"\\super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DF3833">
        <w:fldChar w:fldCharType="separate"/>
      </w:r>
      <w:r w:rsidR="00B55AC2" w:rsidRPr="00B55AC2">
        <w:rPr>
          <w:rFonts w:cs="Arial"/>
          <w:szCs w:val="24"/>
          <w:vertAlign w:val="superscript"/>
        </w:rPr>
        <w:t>2</w:t>
      </w:r>
      <w:r w:rsidRPr="00DF3833">
        <w:fldChar w:fldCharType="end"/>
      </w:r>
      <w:r w:rsidRPr="00DF3833">
        <w:t xml:space="preserve"> Currently, 93% of hospice agencies are certified by the </w:t>
      </w:r>
      <w:r w:rsidR="00364413">
        <w:t>CMS</w:t>
      </w:r>
      <w:r w:rsidRPr="00DF3833">
        <w:t xml:space="preserve"> and most patients electing hospice care receive healthcare benefits under Medicare. In 2014, 85.5% of patients receiving hospice care did so under the </w:t>
      </w:r>
    </w:p>
    <w:p w14:paraId="78E16419" w14:textId="77777777" w:rsidR="00867940" w:rsidRDefault="00867940" w:rsidP="00867940"/>
    <w:p w14:paraId="2E784C2D" w14:textId="14D788CE" w:rsidR="00DF3833" w:rsidRPr="00DF3833" w:rsidRDefault="00364413" w:rsidP="00867940">
      <w:r>
        <w:lastRenderedPageBreak/>
        <w:t>MHB</w:t>
      </w:r>
      <w:r w:rsidR="00DF3833" w:rsidRPr="00DF3833">
        <w:t>. Managed care payers or private insurance provided coverage for 6.9% of patients while the Medicaid Hospice Benefit covered 5.0% of hospice enrollees.</w:t>
      </w:r>
      <w:r w:rsidR="00DF3833" w:rsidRPr="00DF3833">
        <w:fldChar w:fldCharType="begin"/>
      </w:r>
      <w:r w:rsidR="007438F8">
        <w:instrText xml:space="preserve"> ADDIN ZOTERO_ITEM CSL_CITATION {"citationID":"nunpcl9v0","properties":{"formattedCitation":"\\super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00DF3833" w:rsidRPr="00DF3833">
        <w:fldChar w:fldCharType="separate"/>
      </w:r>
      <w:r w:rsidR="00B55AC2" w:rsidRPr="00B55AC2">
        <w:rPr>
          <w:rFonts w:cs="Arial"/>
          <w:szCs w:val="24"/>
          <w:vertAlign w:val="superscript"/>
        </w:rPr>
        <w:t>2</w:t>
      </w:r>
      <w:r w:rsidR="00DF3833" w:rsidRPr="00DF3833">
        <w:fldChar w:fldCharType="end"/>
      </w:r>
      <w:r w:rsidR="00DF3833" w:rsidRPr="00DF3833">
        <w:t xml:space="preserve"> </w:t>
      </w:r>
    </w:p>
    <w:p w14:paraId="580F134B" w14:textId="73655EAD" w:rsidR="00576244" w:rsidRDefault="00DF3833" w:rsidP="00AB0F6E">
      <w:pPr>
        <w:widowControl/>
        <w:ind w:firstLine="720"/>
        <w:rPr>
          <w:rFonts w:cs="Arial"/>
          <w:szCs w:val="22"/>
        </w:rPr>
      </w:pPr>
      <w:r w:rsidRPr="00D21DAB">
        <w:rPr>
          <w:rFonts w:cs="Arial"/>
          <w:szCs w:val="22"/>
        </w:rPr>
        <w:t>Use of hospice has been associated with significantly higher levels of patient and family satisfaction with EOL care compared to the non-use of hospice services in the terminally ill.</w:t>
      </w:r>
      <w:r w:rsidRPr="00D21DAB">
        <w:rPr>
          <w:rFonts w:cs="Arial"/>
          <w:szCs w:val="22"/>
        </w:rPr>
        <w:fldChar w:fldCharType="begin"/>
      </w:r>
      <w:r w:rsidR="00434675">
        <w:rPr>
          <w:rFonts w:cs="Arial"/>
          <w:szCs w:val="22"/>
        </w:rPr>
        <w:instrText xml:space="preserve"> ADDIN ZOTERO_ITEM CSL_CITATION {"citationID":"21f792f93i","properties":{"formattedCitation":"\\super 7,8\\nosupersub{}","plainCitation":"7,8","noteIndex":0},"citationItems":[{"id":1058,"uris":["http://zotero.org/users/2597747/items/MTQ4QSHX"],"uri":["http://zotero.org/users/2597747/items/MTQ4QSHX"],"itemData":{"id":1058,"type":"article-journal","title":"Family perspectives on end-of-life care at the last place of care","container-title":"JAMA","page":"88-93","volume":"291","issue":"1","source":"PubMed","abstract":"CONTEXT: Over the past century, nursing homes and hospitals increasingly have become the site of death, yet no national studies have examined the adequacy or quality of end-of-life care in institutional settings compared with deaths at home.\nOBJECTIVE: To evaluate the US dying experience at home and in institutional settings.\nDESIGN, SETTING, AND PARTICIPANTS: Mortality follow-back survey of family members or other knowledgeable informants representing 1578 decedents, with a 2-stage probability sample used to estimate end-of-life care outcomes for 1.97 million deaths from chronic illness in the United States in 2000. Informants were asked via telephone about the patient's experience at the last place of care at which the patient spent more than 48 hours.\nMAIN OUTCOME MEASURES: Patient- and family-centered end-of-life care outcomes, including whether health care workers (1) provided the desired physical comfort and emotional support to the dying person, (2) supported shared decision making, (3) treated the dying person with respect, (4) attended to the emotional needs of the family, and (5) provided coordinated care.\nRESULTS: For 1059 of 1578 decedents (67.1%), the last place of care was an institution. Of 519 (32.9%) patients dying at home represented by this sample, 198 (38.2%) did not receive nursing services; 65 (12.5%) had home nursing services, and 256 (49.3%) had home hospice services. About one quarter of all patients with pain or dyspnea did not receive adequate treatment, and one quarter reported concerns with physician communication. More than one third of respondents cared for by a home health agency, nursing home, or hospital reported insufficient emotional support for the patient and/or 1 or more concerns with family emotional support, compared with about one fifth of those receiving home hospice services. Nursing home residents were less likely than those cared for in a hospital or by home hospice services to always have been treated with respect at the end of life (68.2% vs 79.6% and 96.2%, respectively). Family members of patients receiving hospice services were more satisfied with overall quality of care: 70.7% rated care as \"excellent\" compared with less than 50% of those dying in an institutional setting or with home health services (P&lt;.001).\nCONCLUSIONS: Many people dying in institutions have unmet needs for symptom amelioration, physician communication, emotional support, and being treated with respect. Family members of decedents who received care at home with hospice services were more likely to report a favorable dying experience.","DOI":"10.1001/jama.291.1.88","ISSN":"1538-3598","note":"PMID: 14709580","journalAbbreviation":"JAMA","language":"eng","author":[{"family":"Teno","given":"Joan M."},{"family":"Clarridge","given":"Brian R."},{"family":"Casey","given":"Virginia"},{"family":"Welch","given":"Lisa C."},{"family":"Wetle","given":"Terrie"},{"family":"Shield","given":"Renee"},{"family":"Mor","given":"Vincent"}],"issued":{"date-parts":[["2004",1,7]]}}},{"id":"vAmMEGnE/kaEkwCdW","uris":["http://zotero.org/users/2597747/items/RCR6NZKR"],"uri":["http://zotero.org/users/2597747/items/RCR6NZKR"],"itemData":{"id":1028,"type":"article-journal","title":"Family Perspectives on Aggressive Cancer Care Near the End of Life","container-title":"JAMA","page":"284-292","volume":"315","issue":"3","source":"PubMed","abstract":"IMPORTANCE: Patients with advanced-stage cancer are receiving increasingly aggressive medical care near death, despite growing concerns that this reflects poor-quality care.\nOBJECTIVE: To assess the association of aggressive end-of-life care with bereaved family members' perceptions of the quality of end-of-life care and patients' goal attainment.\nDESIGN, SETTING, AND PARTICIPANTS: Interviews with 1146 family members of Medicare patients with advanced-stage lung or colorectal cancer in the Cancer Care Outcomes Research and Surveillance study (a multiregional, prospective, observational study) who died by the end of 2011 (median, 144.5 days after death; interquartile range, 85.0-551.0 days).\nEXPOSURES: Claims-based quality measures of aggressive end-of-life care (ie, intensive care unit [ICU] admission or repeated hospitalizations or emergency department visits during the last month of life; chemotherapy ≤2 weeks of death; no hospice or ≤3 days of hospice services; and deaths occurring in the hospital).\nMAIN OUTCOMES AND MEASURES: Family member-reported quality rating of \"excellent\" for end-of-life care. Secondary outcomes included patients' goal attainment (ie, end-of-life care congruent with patients' wishes and location of death occurred in preferred place).\nRESULTS: Of 1146 patients with cancer (median age, 76.0 years [interquartile range, 65.0-87.0 years]; 55.8% male), bereaved family members reported excellent end-of-life care for 51.3%. Family members reported excellent end-of-life care more often for patients who received hospice care for longer than 3 days (58.8% [352/599]) than those who did not receive hospice care or received 3 or fewer days (43.1% [236/547]) (adjusted difference, 16.5 percentage points [95% CI, 10.7 to 22.4 percentage points]). In contrast, family members of patients admitted to an ICU within 30 days of death reported excellent end-of-life care less often (45.0% [68/151]) than those who were not admitted to an ICU within 30 days of death (52.3% [520/995]) (adjusted difference, -9.4 percentage points [95% CI, -18.2 to -0.6 percentage points]). Similarly, family members of patients who died in the hospital reported excellent end-of-life care less often (42.2% [194/460]) than those who did not die in the hospital (57.4% [394/686]) (adjusted difference, -17.0 percentage points [95% CI, -22.9 to -11.1 percentage points]). Family members of patients who did not receive hospice care or received 3 or fewer days were less likely to report that patients died in their preferred location (40.0% [152/380]) than those who received hospice care for longer than 3 days (72.8% [287/394]) (adjusted difference, -34.4 percentage points [95% CI, -41.7 to -27.0 percentage points]).\nCONCLUSIONS AND RELEVANCE: Among family members of older patients with fee-for service Medicare who died of lung or colorectal cancer, earlier hospice enrollment, avoidance of ICU admissions within 30 days of death, and death occurring outside the hospital were associated with perceptions of better end-of-life care. These findings are supportive of advance care planning consistent with the preferences of patients.","DOI":"10.1001/jama.2015.18604","ISSN":"1538-3598","note":"PMID: 26784776","journalAbbreviation":"JAMA","language":"eng","author":[{"family":"Wright","given":"Alexi A."},{"family":"Keating","given":"Nancy L."},{"family":"Ayanian","given":"John Z."},{"family":"Chrischilles","given":"Elizabeth A."},{"family":"Kahn","given":"Katherine L."},{"family":"Ritchie","given":"Christine S."},{"family":"Weeks","given":"Jane C."},{"family":"Earle","given":"Craig C."},{"family":"Landrum","given":"Mary B."}],"issued":{"date-parts":[["2016",1,19]]},"PMID":"26784776"}}],"schema":"https://github.com/citation-style-language/schema/raw/master/csl-citation.json"} </w:instrText>
      </w:r>
      <w:r w:rsidRPr="00D21DAB">
        <w:rPr>
          <w:rFonts w:cs="Arial"/>
          <w:szCs w:val="22"/>
        </w:rPr>
        <w:fldChar w:fldCharType="separate"/>
      </w:r>
      <w:r w:rsidR="00B55AC2" w:rsidRPr="00B55AC2">
        <w:rPr>
          <w:rFonts w:cs="Arial"/>
          <w:szCs w:val="24"/>
          <w:vertAlign w:val="superscript"/>
        </w:rPr>
        <w:t>7,8</w:t>
      </w:r>
      <w:r w:rsidRPr="00D21DAB">
        <w:rPr>
          <w:rFonts w:cs="Arial"/>
          <w:szCs w:val="22"/>
        </w:rPr>
        <w:fldChar w:fldCharType="end"/>
      </w:r>
      <w:r w:rsidRPr="00D21DAB">
        <w:rPr>
          <w:rFonts w:cs="Arial"/>
          <w:szCs w:val="22"/>
        </w:rPr>
        <w:t xml:space="preserve"> Pain and dyspnea are more likely to be adequately treated in hospice, and hospice patients and their families are more likely to report receiving sufficient emotional support.</w:t>
      </w:r>
      <w:r w:rsidRPr="00D21DAB">
        <w:rPr>
          <w:rFonts w:cs="Arial"/>
          <w:szCs w:val="22"/>
        </w:rPr>
        <w:fldChar w:fldCharType="begin"/>
      </w:r>
      <w:r w:rsidR="007438F8">
        <w:rPr>
          <w:rFonts w:cs="Arial"/>
          <w:szCs w:val="22"/>
        </w:rPr>
        <w:instrText xml:space="preserve"> ADDIN ZOTERO_ITEM CSL_CITATION {"citationID":"prkip55qt","properties":{"formattedCitation":"\\super 7\\nosupersub{}","plainCitation":"7","noteIndex":0},"citationItems":[{"id":1058,"uris":["http://zotero.org/users/2597747/items/MTQ4QSHX"],"uri":["http://zotero.org/users/2597747/items/MTQ4QSHX"],"itemData":{"id":1058,"type":"article-journal","title":"Family perspectives on end-of-life care at the last place of care","container-title":"JAMA","page":"88-93","volume":"291","issue":"1","source":"PubMed","abstract":"CONTEXT: Over the past century, nursing homes and hospitals increasingly have become the site of death, yet no national studies have examined the adequacy or quality of end-of-life care in institutional settings compared with deaths at home.\nOBJECTIVE: To evaluate the US dying experience at home and in institutional settings.\nDESIGN, SETTING, AND PARTICIPANTS: Mortality follow-back survey of family members or other knowledgeable informants representing 1578 decedents, with a 2-stage probability sample used to estimate end-of-life care outcomes for 1.97 million deaths from chronic illness in the United States in 2000. Informants were asked via telephone about the patient's experience at the last place of care at which the patient spent more than 48 hours.\nMAIN OUTCOME MEASURES: Patient- and family-centered end-of-life care outcomes, including whether health care workers (1) provided the desired physical comfort and emotional support to the dying person, (2) supported shared decision making, (3) treated the dying person with respect, (4) attended to the emotional needs of the family, and (5) provided coordinated care.\nRESULTS: For 1059 of 1578 decedents (67.1%), the last place of care was an institution. Of 519 (32.9%) patients dying at home represented by this sample, 198 (38.2%) did not receive nursing services; 65 (12.5%) had home nursing services, and 256 (49.3%) had home hospice services. About one quarter of all patients with pain or dyspnea did not receive adequate treatment, and one quarter reported concerns with physician communication. More than one third of respondents cared for by a home health agency, nursing home, or hospital reported insufficient emotional support for the patient and/or 1 or more concerns with family emotional support, compared with about one fifth of those receiving home hospice services. Nursing home residents were less likely than those cared for in a hospital or by home hospice services to always have been treated with respect at the end of life (68.2% vs 79.6% and 96.2%, respectively). Family members of patients receiving hospice services were more satisfied with overall quality of care: 70.7% rated care as \"excellent\" compared with less than 50% of those dying in an institutional setting or with home health services (P&lt;.001).\nCONCLUSIONS: Many people dying in institutions have unmet needs for symptom amelioration, physician communication, emotional support, and being treated with respect. Family members of decedents who received care at home with hospice services were more likely to report a favorable dying experience.","DOI":"10.1001/jama.291.1.88","ISSN":"1538-3598","note":"PMID: 14709580","journalAbbreviation":"JAMA","language":"eng","author":[{"family":"Teno","given":"Joan M."},{"family":"Clarridge","given":"Brian R."},{"family":"Casey","given":"Virginia"},{"family":"Welch","given":"Lisa C."},{"family":"Wetle","given":"Terrie"},{"family":"Shield","given":"Renee"},{"family":"Mor","given":"Vincent"}],"issued":{"date-parts":[["2004",1,7]]}}}],"schema":"https://github.com/citation-style-language/schema/raw/master/csl-citation.json"} </w:instrText>
      </w:r>
      <w:r w:rsidRPr="00D21DAB">
        <w:rPr>
          <w:rFonts w:cs="Arial"/>
          <w:szCs w:val="22"/>
        </w:rPr>
        <w:fldChar w:fldCharType="separate"/>
      </w:r>
      <w:r w:rsidR="00B55AC2" w:rsidRPr="00B55AC2">
        <w:rPr>
          <w:rFonts w:cs="Arial"/>
          <w:szCs w:val="24"/>
          <w:vertAlign w:val="superscript"/>
        </w:rPr>
        <w:t>7</w:t>
      </w:r>
      <w:r w:rsidRPr="00D21DAB">
        <w:rPr>
          <w:rFonts w:cs="Arial"/>
          <w:szCs w:val="22"/>
        </w:rPr>
        <w:fldChar w:fldCharType="end"/>
      </w:r>
      <w:r w:rsidRPr="00D21DAB">
        <w:rPr>
          <w:rFonts w:cs="Arial"/>
          <w:szCs w:val="22"/>
        </w:rPr>
        <w:t xml:space="preserve"> In addition to high patient and caregiver satisfaction with care, hospice has been associated with decreased costs, fewer hospital and intensive-care unit days, fewer 30-day hospital readmissions, and fewer in-hospital deaths compared to those receiving non-hospice EOL care.</w:t>
      </w:r>
      <w:r w:rsidRPr="00D21DAB">
        <w:rPr>
          <w:rFonts w:cs="Arial"/>
          <w:szCs w:val="22"/>
        </w:rPr>
        <w:fldChar w:fldCharType="begin"/>
      </w:r>
      <w:r w:rsidR="007438F8">
        <w:rPr>
          <w:rFonts w:cs="Arial"/>
          <w:szCs w:val="22"/>
        </w:rPr>
        <w:instrText xml:space="preserve"> ADDIN ZOTERO_ITEM CSL_CITATION {"citationID":"3hfKeao7","properties":{"formattedCitation":"\\super 9,10\\nosupersub{}","plainCitation":"9,10","noteIndex":0},"citationItems":[{"id":2199,"uris":["http://zotero.org/users/2597747/items/UUKCZBJ9"],"uri":["http://zotero.org/users/2597747/items/UUKCZBJ9"],"itemData":{"id":2199,"type":"article-journal","title":"Hospice Enrollment Saves Money For Medicare And Improves Care Quality Across A Number Of Different Lengths-Of-Stay","container-title":"Health Affairs","page":"552-561","volume":"32","issue":"3","source":"content.healthaffairs.org","abstract":"Despite its demonstrated potential to both improve quality of care and lower costs, the Medicare hospice benefit has been seen as producing savings only for patients enrolled 53–105 days before death. Using data from the Health and Retirement Study, 2002–08, and individual Medicare claims, and overcoming limitations of previous work, we found $2,561 in savings to Medicare for each patient enrolled in hospice 53–105 days before death, compared to a matched, nonhospice control. Even higher savings were seen, however, with more common, shorter enrollment periods: $2,650, $5,040, and $6,430 per patient enrolled 1–7, 8–14, and 15–30 days prior to death, respectively. Within all periods examined, hospice patients also had significantly lower rates of hospital service use and in-hospital death than matched controls. Instead of attempting to limit Medicare hospice participation, the Centers for Medicare and Medicaid Services should focus on ensuring the timely enrollment of qualified patients who desire the benefit.","DOI":"10.1377/hlthaff.2012.0851","ISSN":"0278-2715, 1544-5208","note":"PMID: 23459735","journalAbbreviation":"Health Aff","language":"en","author":[{"family":"Kelley","given":"Amy S."},{"family":"Deb","given":"Partha"},{"family":"Du","given":"Qingling"},{"family":"Carlson","given":"Melissa D. Aldridge"},{"family":"Morrison","given":"R. Sean"}],"issued":{"date-parts":[["2013",3,1]]}}},{"id":748,"uris":["http://zotero.org/users/2597747/items/6TR54HZI"],"uri":["http://zotero.org/users/2597747/items/6TR54HZI"],"itemData":{"id":748,"type":"article-journal","title":"Association Between the Medicare Hospice Benefit and Health Care Utilization and Costs for Patients With Poor-Prognosis Cancer","container-title":"JAMA","page":"1888-1896","volume":"312","issue":"18","source":"CrossRef","DOI":"10.1001/jama.2014.14950","ISSN":"0098-7484","language":"en","author":[{"family":"Obermeyer","given":"Ziad"},{"family":"Makar","given":"Maggie"},{"family":"Abujaber","given":"Samer"},{"family":"Dominici","given":"Francesca"},{"family":"Block","given":"Susan"},{"family":"Cutler","given":"David M."}],"issued":{"date-parts":[["2014",11,12]]}}}],"schema":"https://github.com/citation-style-language/schema/raw/master/csl-citation.json"} </w:instrText>
      </w:r>
      <w:r w:rsidRPr="00D21DAB">
        <w:rPr>
          <w:rFonts w:cs="Arial"/>
          <w:szCs w:val="22"/>
        </w:rPr>
        <w:fldChar w:fldCharType="separate"/>
      </w:r>
      <w:r w:rsidR="00B55AC2" w:rsidRPr="00B55AC2">
        <w:rPr>
          <w:rFonts w:cs="Arial"/>
          <w:szCs w:val="24"/>
          <w:vertAlign w:val="superscript"/>
        </w:rPr>
        <w:t>9,10</w:t>
      </w:r>
      <w:r w:rsidRPr="00D21DAB">
        <w:rPr>
          <w:rFonts w:cs="Arial"/>
          <w:szCs w:val="22"/>
        </w:rPr>
        <w:fldChar w:fldCharType="end"/>
      </w:r>
    </w:p>
    <w:p w14:paraId="5563FFE2" w14:textId="77777777" w:rsidR="0034626A" w:rsidRDefault="0034626A" w:rsidP="00576244">
      <w:pPr>
        <w:pStyle w:val="Style2"/>
      </w:pPr>
      <w:bookmarkStart w:id="36" w:name="_Toc506036783"/>
      <w:bookmarkStart w:id="37" w:name="_Toc507326036"/>
      <w:r w:rsidRPr="00DF3833">
        <w:t>1.2 US Hospice Patient Characteristics and Utilization Trends</w:t>
      </w:r>
      <w:bookmarkEnd w:id="36"/>
      <w:bookmarkEnd w:id="37"/>
    </w:p>
    <w:p w14:paraId="785C608F" w14:textId="3AB79991" w:rsidR="00C873BF" w:rsidRDefault="00C873BF" w:rsidP="00C873BF">
      <w:pPr>
        <w:ind w:firstLine="720"/>
      </w:pPr>
      <w:r w:rsidRPr="00C873BF">
        <w:t>The large majority of patients enrolling in hospice in the United States are elderly and white. In 2014, 84% of hospice enrollees were 65 years of age or older and 41% were at least 85 years old.</w:t>
      </w:r>
      <w:r w:rsidRPr="00C873BF">
        <w:fldChar w:fldCharType="begin"/>
      </w:r>
      <w:r w:rsidR="007438F8">
        <w:instrText xml:space="preserve"> ADDIN ZOTERO_ITEM CSL_CITATION {"citationID":"mtdbimnf3","properties":{"formattedCitation":"\\super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C873BF">
        <w:fldChar w:fldCharType="separate"/>
      </w:r>
      <w:r w:rsidR="00B55AC2" w:rsidRPr="00B55AC2">
        <w:rPr>
          <w:rFonts w:cs="Arial"/>
          <w:szCs w:val="24"/>
          <w:vertAlign w:val="superscript"/>
        </w:rPr>
        <w:t>2</w:t>
      </w:r>
      <w:r w:rsidRPr="00C873BF">
        <w:fldChar w:fldCharType="end"/>
      </w:r>
      <w:r w:rsidRPr="00C873BF">
        <w:t xml:space="preserve"> Whites made up 76% of hospice patients, while African-Americans comprised 7.6% of patients and 7.1% of patients were of Hispanic or Latino origin.</w:t>
      </w:r>
      <w:r w:rsidRPr="00C873BF">
        <w:fldChar w:fldCharType="begin"/>
      </w:r>
      <w:r w:rsidR="007438F8">
        <w:instrText xml:space="preserve"> ADDIN ZOTERO_ITEM CSL_CITATION {"citationID":"rppe68klq","properties":{"formattedCitation":"\\super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C873BF">
        <w:fldChar w:fldCharType="separate"/>
      </w:r>
      <w:r w:rsidR="00B55AC2" w:rsidRPr="00B55AC2">
        <w:rPr>
          <w:rFonts w:cs="Arial"/>
          <w:szCs w:val="24"/>
          <w:vertAlign w:val="superscript"/>
        </w:rPr>
        <w:t>2</w:t>
      </w:r>
      <w:r w:rsidRPr="00C873BF">
        <w:fldChar w:fldCharType="end"/>
      </w:r>
      <w:r w:rsidRPr="00C873BF">
        <w:t xml:space="preserve"> Slightly over half of hospice enrollees were women (54%), an increase from the year 2000 when there was an equal proportion of men and women.</w:t>
      </w:r>
      <w:r w:rsidRPr="00C873BF">
        <w:fldChar w:fldCharType="begin"/>
      </w:r>
      <w:r w:rsidR="007438F8">
        <w:instrText xml:space="preserve"> ADDIN ZOTERO_ITEM CSL_CITATION {"citationID":"21leveklr8","properties":{"formattedCitation":"\\super 11\\nosupersub{}","plainCitation":"11","noteIndex":0},"citationItems":[{"id":742,"uris":["http://zotero.org/users/2597747/items/XGDAKNG4"],"uri":["http://zotero.org/users/2597747/items/XGDAKNG4"],"itemData":{"id":742,"type":"article-journal","title":"Home health care and discharged hospice care patients: United States, 2000 and 2007","container-title":"National Health Statistics Reports","page":"1-27","issue":"38","source":"PubMed","abstract":"OBJECTIVES: This report presents national estimates on home health care patients and discharged hospice care patients. Information on characteristics, length of service, medical diagnoses, functional limitations, service use, advance care planning, and emergent and hospital care use are presented for home health care patients and hospice care discharges. A comparison of selected characteristics for 2000 and 2007 is also provided to highlight changes.\nMETHODS: Estimates are based on data collected on agencies from the 2000 and 2007 National Home and Hospice Care Survey, conducted by the Centers for Disease Control and Prevention's National Center for Health Statistics. Estimates are derived from data collected during interviews with administrators and staff designated by the administrators.\nRESULTS: Each day in 2007, there were an estimated 1,459,900 home health care patients. They were predominantly aged 65 years or over, female, and white. Their mean length of service was 315 days, and their most common primary diagnosis at admission was diabetes mellitus. About one-fourth of them had advance care planning and one-fifth had at least one overnight hospital stay since admission to the home health care agency. In 2007, there were 1,045,100 discharged hospice care patients. The majority of discharged patients were aged 65 or over, female, and white, and most were discharged deceased. Their mean length of service was 65 days, and the most common primary diagnosis at admission was malignant neoplasm. Most of them had advance care planning, and about one-fourth had three or more types of advance care planning instruments.","ISSN":"2164-8344","note":"PMID: 21568135","shortTitle":"Home health care and discharged hospice care patients","journalAbbreviation":"Natl Health Stat Report","language":"eng","author":[{"family":"Caffrey","given":"Christine"},{"family":"Sengupta","given":"Manisha"},{"family":"Moss","given":"Abigail"},{"family":"Harris-Kojetin","given":"Lauren"},{"family":"Valverde","given":"Roberto"}],"issued":{"date-parts":[["2011",4,27]]}}}],"schema":"https://github.com/citation-style-language/schema/raw/master/csl-citation.json"} </w:instrText>
      </w:r>
      <w:r w:rsidRPr="00C873BF">
        <w:fldChar w:fldCharType="separate"/>
      </w:r>
      <w:r w:rsidR="00B55AC2" w:rsidRPr="00B55AC2">
        <w:rPr>
          <w:rFonts w:cs="Arial"/>
          <w:szCs w:val="24"/>
          <w:vertAlign w:val="superscript"/>
        </w:rPr>
        <w:t>11</w:t>
      </w:r>
      <w:r w:rsidRPr="00C873BF">
        <w:fldChar w:fldCharType="end"/>
      </w:r>
      <w:r w:rsidRPr="00C873BF">
        <w:t xml:space="preserve"> In the early years of hospice, the vast majority of admissions were for terminal cancer diagnoses. Though terminal cancer is still the most common admitting diagnosis, the past several decades have seen a shift toward increases in hospice admissions for chronic diseases. In 1992, patients admitted with a primary diagnosis of cancer comprised 75% of all hospice patients.</w:t>
      </w:r>
      <w:r w:rsidRPr="00C873BF">
        <w:fldChar w:fldCharType="begin"/>
      </w:r>
      <w:r w:rsidR="007438F8">
        <w:instrText xml:space="preserve"> ADDIN ZOTERO_ITEM CSL_CITATION {"citationID":"18i40kg6qq","properties":{"formattedCitation":"\\super 11\\nosupersub{}","plainCitation":"11","noteIndex":0},"citationItems":[{"id":742,"uris":["http://zotero.org/users/2597747/items/XGDAKNG4"],"uri":["http://zotero.org/users/2597747/items/XGDAKNG4"],"itemData":{"id":742,"type":"article-journal","title":"Home health care and discharged hospice care patients: United States, 2000 and 2007","container-title":"National Health Statistics Reports","page":"1-27","issue":"38","source":"PubMed","abstract":"OBJECTIVES: This report presents national estimates on home health care patients and discharged hospice care patients. Information on characteristics, length of service, medical diagnoses, functional limitations, service use, advance care planning, and emergent and hospital care use are presented for home health care patients and hospice care discharges. A comparison of selected characteristics for 2000 and 2007 is also provided to highlight changes.\nMETHODS: Estimates are based on data collected on agencies from the 2000 and 2007 National Home and Hospice Care Survey, conducted by the Centers for Disease Control and Prevention's National Center for Health Statistics. Estimates are derived from data collected during interviews with administrators and staff designated by the administrators.\nRESULTS: Each day in 2007, there were an estimated 1,459,900 home health care patients. They were predominantly aged 65 years or over, female, and white. Their mean length of service was 315 days, and their most common primary diagnosis at admission was diabetes mellitus. About one-fourth of them had advance care planning and one-fifth had at least one overnight hospital stay since admission to the home health care agency. In 2007, there were 1,045,100 discharged hospice care patients. The majority of discharged patients were aged 65 or over, female, and white, and most were discharged deceased. Their mean length of service was 65 days, and the most common primary diagnosis at admission was malignant neoplasm. Most of them had advance care planning, and about one-fourth had three or more types of advance care planning instruments.","ISSN":"2164-8344","note":"PMID: 21568135","shortTitle":"Home health care and discharged hospice care patients","journalAbbreviation":"Natl Health Stat Report","language":"eng","author":[{"family":"Caffrey","given":"Christine"},{"family":"Sengupta","given":"Manisha"},{"family":"Moss","given":"Abigail"},{"family":"Harris-Kojetin","given":"Lauren"},{"family":"Valverde","given":"Roberto"}],"issued":{"date-parts":[["2011",4,27]]}}}],"schema":"https://github.com/citation-style-language/schema/raw/master/csl-citation.json"} </w:instrText>
      </w:r>
      <w:r w:rsidRPr="00C873BF">
        <w:fldChar w:fldCharType="separate"/>
      </w:r>
      <w:r w:rsidR="00B55AC2" w:rsidRPr="00B55AC2">
        <w:rPr>
          <w:rFonts w:cs="Arial"/>
          <w:szCs w:val="24"/>
          <w:vertAlign w:val="superscript"/>
        </w:rPr>
        <w:t>11</w:t>
      </w:r>
      <w:r w:rsidRPr="00C873BF">
        <w:fldChar w:fldCharType="end"/>
      </w:r>
      <w:r w:rsidRPr="00C873BF">
        <w:t xml:space="preserve"> By 2014, only 37% of hospice admissions were for cancer diagnoses.</w:t>
      </w:r>
      <w:r w:rsidR="00434675">
        <w:fldChar w:fldCharType="begin"/>
      </w:r>
      <w:r w:rsidR="00434675">
        <w:instrText xml:space="preserve"> ADDIN ZOTERO_ITEM CSL_CITATION {"citationID":"a1m7tkj7m15","properties":{"formattedCitation":"\\super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00434675">
        <w:fldChar w:fldCharType="separate"/>
      </w:r>
      <w:r w:rsidR="00B55AC2" w:rsidRPr="00B55AC2">
        <w:rPr>
          <w:rFonts w:cs="Arial"/>
          <w:szCs w:val="24"/>
          <w:vertAlign w:val="superscript"/>
        </w:rPr>
        <w:t>2</w:t>
      </w:r>
      <w:r w:rsidR="00434675">
        <w:fldChar w:fldCharType="end"/>
      </w:r>
      <w:r w:rsidRPr="00C873BF">
        <w:t xml:space="preserve">  Cardiovascular disease, lung disease and dementia now make up a substantial proportion</w:t>
      </w:r>
      <w:r w:rsidR="00434675">
        <w:t xml:space="preserve"> of hospice admitting diagnoses</w:t>
      </w:r>
      <w:r w:rsidRPr="00C873BF">
        <w:t xml:space="preserve"> (</w:t>
      </w:r>
      <w:r w:rsidR="00CE542C" w:rsidRPr="00CE542C">
        <w:rPr>
          <w:b/>
        </w:rPr>
        <w:t>TABLE I</w:t>
      </w:r>
      <w:r w:rsidRPr="00C873BF">
        <w:t>).</w:t>
      </w:r>
      <w:r w:rsidR="00434675">
        <w:fldChar w:fldCharType="begin"/>
      </w:r>
      <w:r w:rsidR="008A1035">
        <w:instrText xml:space="preserve"> ADDIN ZOTERO_ITEM CSL_CITATION {"citationID":"a16l49vpmo0","properties":{"formattedCitation":"\\super 2,4,12\\uc0\\u8211{}14\\nosupersub{}","plainCitation":"2,4,12–14","noteIndex":0},"citationItems":[{"id":2652,"uris":["http://zotero.org/users/2597747/items/G6VPA5U7"],"uri":["http://zotero.org/users/2597747/items/G6VPA5U7"],"itemData":{"id":2652,"type":"article","title":"NHPCO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id":4030,"uris":["http://zotero.org/users/2597747/items/TMB7QZZM"],"uri":["http://zotero.org/users/2597747/items/TMB7QZZM"],"itemData":{"id":4030,"type":"article","title":"NHPCO Facts and Figures: Hospice Care in America. Alexandria, VA: National Hospice and Palliative Care Organization.","URL":"https://www.nhpco.org/sites/default/files/public/Statistics_Research/2016_Facts_Figures.pdf","issued":{"date-parts":[["2016"]]}}},{"id":3270,"uris":["http://zotero.org/users/2597747/items/U5E7FEF7"],"uri":["http://zotero.org/users/2597747/items/U5E7FEF7"],"itemData":{"id":3270,"type":"article","title":"NHPCO Facts and Figures: Hospice Care in America. Alexandria, VA: National Hospice and Palliative Care Organization","URL":"http://www.nhpco.org/sites/default/files/public/Statistics_Research/2014_Facts_Figures.pdf","issued":{"date-parts":[["2014"]]}}},{"id":3271,"uris":["http://zotero.org/users/2597747/items/Z2NHPZC5"],"uri":["http://zotero.org/users/2597747/items/Z2NHPZC5"],"itemData":{"id":3271,"type":"article","title":"NHPCO Facts and Figures: Hospice Care in America. Alexandria, VA: National Hospice and Palliative Care Organization","URL":"http://www.nhpco.org/sites/default/files/public/Statistics_Research/2013_Facts_Figures.pdf","issued":{"date-parts":[["2013"]]}}},{"id":3272,"uris":["http://zotero.org/users/2597747/items/BAI9UC5N"],"uri":["http://zotero.org/users/2597747/items/BAI9UC5N"],"itemData":{"id":3272,"type":"article","title":"NHPCO Facts and Figures: Hospice Care in America. Alexandria, VA: National Hospice and Palliative Care Organization","URL":"http://www.nhpco.org/sites/default/files/public/Statistics_Research/2012_Facts_Figures.pdf","issued":{"date-parts":[["2012"]]}}}],"schema":"https://github.com/citation-style-language/schema/raw/master/csl-citation.json"} </w:instrText>
      </w:r>
      <w:r w:rsidR="00434675">
        <w:fldChar w:fldCharType="separate"/>
      </w:r>
      <w:r w:rsidR="00B55AC2" w:rsidRPr="00B55AC2">
        <w:rPr>
          <w:rFonts w:cs="Arial"/>
          <w:szCs w:val="24"/>
          <w:vertAlign w:val="superscript"/>
        </w:rPr>
        <w:t>2,4,12–14</w:t>
      </w:r>
      <w:r w:rsidR="00434675">
        <w:fldChar w:fldCharType="end"/>
      </w:r>
    </w:p>
    <w:p w14:paraId="5D8026C6" w14:textId="0B977D6A" w:rsidR="00364413" w:rsidRDefault="00364413" w:rsidP="00C873BF">
      <w:pPr>
        <w:ind w:firstLine="720"/>
      </w:pPr>
      <w:r w:rsidRPr="005D0862">
        <w:t xml:space="preserve">While the proportion of deaths occurring under hospice care has steadily increased, the mean and median length of stay have decreased since their peaks of 84.0 days and 27.4 days, </w:t>
      </w:r>
    </w:p>
    <w:p w14:paraId="677EAD03" w14:textId="61CE116D" w:rsidR="00D50BC0" w:rsidRPr="00D50BC0" w:rsidRDefault="00CE542C" w:rsidP="00D50BC0">
      <w:pPr>
        <w:pStyle w:val="Caption"/>
        <w:keepNext/>
        <w:spacing w:after="240"/>
        <w:rPr>
          <w:b/>
          <w:szCs w:val="22"/>
        </w:rPr>
      </w:pPr>
      <w:bookmarkStart w:id="38" w:name="_Toc506108605"/>
      <w:r w:rsidRPr="00D50BC0">
        <w:rPr>
          <w:b/>
          <w:szCs w:val="22"/>
        </w:rPr>
        <w:lastRenderedPageBreak/>
        <w:t>TABLE I</w:t>
      </w:r>
      <w:bookmarkEnd w:id="38"/>
    </w:p>
    <w:p w14:paraId="62EBE6F8" w14:textId="0F2DEDCB" w:rsidR="00236042" w:rsidRPr="00D50BC0" w:rsidRDefault="00D50BC0" w:rsidP="00D50BC0">
      <w:pPr>
        <w:pStyle w:val="Caption"/>
        <w:rPr>
          <w:szCs w:val="22"/>
        </w:rPr>
      </w:pPr>
      <w:bookmarkStart w:id="39" w:name="_Toc507327150"/>
      <w:bookmarkStart w:id="40" w:name="_Toc507329270"/>
      <w:r w:rsidRPr="00804FA4">
        <w:t>DISTRIBUTION OF PRIMARY HOSPICE ADMISSION DIAGNOSES, 2010-2014</w:t>
      </w:r>
      <w:bookmarkEnd w:id="39"/>
      <w:bookmarkEnd w:id="40"/>
    </w:p>
    <w:tbl>
      <w:tblPr>
        <w:tblStyle w:val="TableGrid"/>
        <w:tblW w:w="9355" w:type="dxa"/>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325"/>
        <w:gridCol w:w="1206"/>
        <w:gridCol w:w="1206"/>
        <w:gridCol w:w="1206"/>
        <w:gridCol w:w="1206"/>
        <w:gridCol w:w="1206"/>
      </w:tblGrid>
      <w:tr w:rsidR="005D0862" w:rsidRPr="003F6093" w14:paraId="57B50C4D" w14:textId="77777777" w:rsidTr="00775204">
        <w:trPr>
          <w:trHeight w:hRule="exact" w:val="288"/>
        </w:trPr>
        <w:tc>
          <w:tcPr>
            <w:tcW w:w="3325" w:type="dxa"/>
            <w:vMerge w:val="restart"/>
            <w:tcBorders>
              <w:top w:val="single" w:sz="4" w:space="0" w:color="auto"/>
              <w:bottom w:val="nil"/>
            </w:tcBorders>
            <w:vAlign w:val="bottom"/>
          </w:tcPr>
          <w:p w14:paraId="0F08A963" w14:textId="77777777" w:rsidR="005D0862" w:rsidRPr="003F6093" w:rsidRDefault="005D0862" w:rsidP="005D0862">
            <w:pPr>
              <w:pStyle w:val="Title"/>
              <w:spacing w:before="100" w:beforeAutospacing="1" w:after="100" w:afterAutospacing="1" w:line="240" w:lineRule="auto"/>
              <w:ind w:left="0" w:firstLine="0"/>
              <w:jc w:val="left"/>
              <w:rPr>
                <w:rFonts w:cs="Arial"/>
              </w:rPr>
            </w:pPr>
            <w:r w:rsidRPr="003F6093">
              <w:rPr>
                <w:rFonts w:cs="Arial"/>
              </w:rPr>
              <w:t>Primary Diagnosis</w:t>
            </w:r>
          </w:p>
        </w:tc>
        <w:tc>
          <w:tcPr>
            <w:tcW w:w="6030" w:type="dxa"/>
            <w:gridSpan w:val="5"/>
            <w:tcBorders>
              <w:top w:val="single" w:sz="4" w:space="0" w:color="auto"/>
              <w:bottom w:val="single" w:sz="4" w:space="0" w:color="auto"/>
            </w:tcBorders>
          </w:tcPr>
          <w:p w14:paraId="5A570704" w14:textId="2C5C8BA7" w:rsidR="006619A4" w:rsidRPr="00E22D56" w:rsidRDefault="000E0039" w:rsidP="006619A4">
            <w:pPr>
              <w:pStyle w:val="Title"/>
              <w:spacing w:before="100" w:beforeAutospacing="1" w:after="120" w:line="240" w:lineRule="auto"/>
              <w:ind w:hanging="634"/>
              <w:rPr>
                <w:rFonts w:cs="Arial"/>
              </w:rPr>
            </w:pPr>
            <w:r w:rsidRPr="00E22D56">
              <w:rPr>
                <w:rFonts w:cs="Arial"/>
              </w:rPr>
              <w:t xml:space="preserve">Hospice </w:t>
            </w:r>
            <w:r w:rsidR="005D0862" w:rsidRPr="00E22D56">
              <w:rPr>
                <w:rFonts w:cs="Arial"/>
              </w:rPr>
              <w:t>Admission Year</w:t>
            </w:r>
          </w:p>
        </w:tc>
      </w:tr>
      <w:tr w:rsidR="00CA13B9" w:rsidRPr="003F6093" w14:paraId="3FC252F6" w14:textId="77777777" w:rsidTr="00E22D56">
        <w:tc>
          <w:tcPr>
            <w:tcW w:w="3325" w:type="dxa"/>
            <w:vMerge/>
            <w:tcBorders>
              <w:top w:val="nil"/>
              <w:bottom w:val="single" w:sz="4" w:space="0" w:color="auto"/>
            </w:tcBorders>
          </w:tcPr>
          <w:p w14:paraId="57A5DCBC" w14:textId="77777777" w:rsidR="00CA13B9" w:rsidRPr="003F6093" w:rsidRDefault="00CA13B9" w:rsidP="005D0862">
            <w:pPr>
              <w:pStyle w:val="Title"/>
              <w:spacing w:before="100" w:beforeAutospacing="1" w:after="100" w:afterAutospacing="1" w:line="240" w:lineRule="auto"/>
              <w:ind w:left="0" w:firstLine="0"/>
              <w:jc w:val="left"/>
              <w:rPr>
                <w:rFonts w:cs="Arial"/>
              </w:rPr>
            </w:pPr>
          </w:p>
        </w:tc>
        <w:tc>
          <w:tcPr>
            <w:tcW w:w="1206" w:type="dxa"/>
            <w:tcBorders>
              <w:top w:val="single" w:sz="4" w:space="0" w:color="auto"/>
              <w:bottom w:val="single" w:sz="4" w:space="0" w:color="auto"/>
            </w:tcBorders>
          </w:tcPr>
          <w:p w14:paraId="1111EE51" w14:textId="77777777" w:rsidR="00CA13B9" w:rsidRPr="003F6093" w:rsidRDefault="00CA13B9" w:rsidP="006619A4">
            <w:pPr>
              <w:pStyle w:val="Title"/>
              <w:spacing w:before="100" w:beforeAutospacing="1" w:after="0" w:line="240" w:lineRule="auto"/>
              <w:ind w:hanging="634"/>
              <w:rPr>
                <w:rFonts w:cs="Arial"/>
              </w:rPr>
            </w:pPr>
            <w:r w:rsidRPr="003F6093">
              <w:rPr>
                <w:rFonts w:cs="Arial"/>
              </w:rPr>
              <w:t>2010</w:t>
            </w:r>
          </w:p>
        </w:tc>
        <w:tc>
          <w:tcPr>
            <w:tcW w:w="1206" w:type="dxa"/>
            <w:tcBorders>
              <w:top w:val="single" w:sz="4" w:space="0" w:color="auto"/>
              <w:bottom w:val="single" w:sz="4" w:space="0" w:color="auto"/>
            </w:tcBorders>
          </w:tcPr>
          <w:p w14:paraId="77F060FB" w14:textId="77777777" w:rsidR="00CA13B9" w:rsidRPr="003F6093" w:rsidRDefault="00CA13B9" w:rsidP="006619A4">
            <w:pPr>
              <w:pStyle w:val="Title"/>
              <w:spacing w:before="100" w:beforeAutospacing="1" w:after="0" w:line="240" w:lineRule="auto"/>
              <w:ind w:hanging="634"/>
              <w:rPr>
                <w:rFonts w:cs="Arial"/>
              </w:rPr>
            </w:pPr>
            <w:r w:rsidRPr="003F6093">
              <w:rPr>
                <w:rFonts w:cs="Arial"/>
              </w:rPr>
              <w:t>2011</w:t>
            </w:r>
          </w:p>
        </w:tc>
        <w:tc>
          <w:tcPr>
            <w:tcW w:w="1206" w:type="dxa"/>
            <w:tcBorders>
              <w:top w:val="single" w:sz="4" w:space="0" w:color="auto"/>
              <w:bottom w:val="single" w:sz="4" w:space="0" w:color="auto"/>
            </w:tcBorders>
          </w:tcPr>
          <w:p w14:paraId="5BC568EE" w14:textId="77777777" w:rsidR="00CA13B9" w:rsidRPr="003F6093" w:rsidRDefault="00CA13B9" w:rsidP="006619A4">
            <w:pPr>
              <w:pStyle w:val="Title"/>
              <w:spacing w:before="100" w:beforeAutospacing="1" w:after="0" w:line="240" w:lineRule="auto"/>
              <w:ind w:hanging="634"/>
              <w:rPr>
                <w:rFonts w:cs="Arial"/>
              </w:rPr>
            </w:pPr>
            <w:r w:rsidRPr="003F6093">
              <w:rPr>
                <w:rFonts w:cs="Arial"/>
              </w:rPr>
              <w:t>2012</w:t>
            </w:r>
          </w:p>
        </w:tc>
        <w:tc>
          <w:tcPr>
            <w:tcW w:w="1206" w:type="dxa"/>
            <w:tcBorders>
              <w:top w:val="single" w:sz="4" w:space="0" w:color="auto"/>
              <w:bottom w:val="single" w:sz="4" w:space="0" w:color="auto"/>
            </w:tcBorders>
          </w:tcPr>
          <w:p w14:paraId="3F575418" w14:textId="77777777" w:rsidR="00CA13B9" w:rsidRPr="003F6093" w:rsidRDefault="00CA13B9" w:rsidP="006619A4">
            <w:pPr>
              <w:pStyle w:val="Title"/>
              <w:spacing w:before="100" w:beforeAutospacing="1" w:after="0" w:line="240" w:lineRule="auto"/>
              <w:ind w:hanging="634"/>
              <w:rPr>
                <w:rFonts w:cs="Arial"/>
              </w:rPr>
            </w:pPr>
            <w:r w:rsidRPr="003F6093">
              <w:rPr>
                <w:rFonts w:cs="Arial"/>
              </w:rPr>
              <w:t>2013</w:t>
            </w:r>
          </w:p>
        </w:tc>
        <w:tc>
          <w:tcPr>
            <w:tcW w:w="1206" w:type="dxa"/>
            <w:tcBorders>
              <w:top w:val="single" w:sz="4" w:space="0" w:color="auto"/>
              <w:bottom w:val="single" w:sz="4" w:space="0" w:color="auto"/>
            </w:tcBorders>
          </w:tcPr>
          <w:p w14:paraId="1441EA33" w14:textId="77777777" w:rsidR="00CA13B9" w:rsidRPr="003F6093" w:rsidRDefault="00CA13B9" w:rsidP="006619A4">
            <w:pPr>
              <w:pStyle w:val="Title"/>
              <w:spacing w:before="100" w:beforeAutospacing="1" w:after="0" w:line="240" w:lineRule="auto"/>
              <w:ind w:hanging="634"/>
              <w:rPr>
                <w:rFonts w:cs="Arial"/>
              </w:rPr>
            </w:pPr>
            <w:r w:rsidRPr="003F6093">
              <w:rPr>
                <w:rFonts w:cs="Arial"/>
              </w:rPr>
              <w:t>2014</w:t>
            </w:r>
          </w:p>
        </w:tc>
      </w:tr>
      <w:tr w:rsidR="003F6093" w:rsidRPr="003F6093" w14:paraId="16ACC99C" w14:textId="77777777" w:rsidTr="00441F74">
        <w:tc>
          <w:tcPr>
            <w:tcW w:w="3325" w:type="dxa"/>
            <w:tcBorders>
              <w:top w:val="single" w:sz="4" w:space="0" w:color="auto"/>
            </w:tcBorders>
            <w:vAlign w:val="bottom"/>
          </w:tcPr>
          <w:p w14:paraId="1CF57632"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Cancer</w:t>
            </w:r>
          </w:p>
        </w:tc>
        <w:tc>
          <w:tcPr>
            <w:tcW w:w="1206" w:type="dxa"/>
            <w:tcBorders>
              <w:top w:val="single" w:sz="4" w:space="0" w:color="auto"/>
            </w:tcBorders>
            <w:vAlign w:val="bottom"/>
          </w:tcPr>
          <w:p w14:paraId="0FC412F1"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35.6%</w:t>
            </w:r>
          </w:p>
        </w:tc>
        <w:tc>
          <w:tcPr>
            <w:tcW w:w="1206" w:type="dxa"/>
            <w:tcBorders>
              <w:top w:val="single" w:sz="4" w:space="0" w:color="auto"/>
            </w:tcBorders>
            <w:vAlign w:val="bottom"/>
          </w:tcPr>
          <w:p w14:paraId="7017528F"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37.7%</w:t>
            </w:r>
          </w:p>
        </w:tc>
        <w:tc>
          <w:tcPr>
            <w:tcW w:w="1206" w:type="dxa"/>
            <w:tcBorders>
              <w:top w:val="single" w:sz="4" w:space="0" w:color="auto"/>
            </w:tcBorders>
            <w:vAlign w:val="bottom"/>
          </w:tcPr>
          <w:p w14:paraId="49C71BD4"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36.9%</w:t>
            </w:r>
          </w:p>
        </w:tc>
        <w:tc>
          <w:tcPr>
            <w:tcW w:w="1206" w:type="dxa"/>
            <w:tcBorders>
              <w:top w:val="single" w:sz="4" w:space="0" w:color="auto"/>
            </w:tcBorders>
            <w:vAlign w:val="bottom"/>
          </w:tcPr>
          <w:p w14:paraId="768372CC"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36.5%</w:t>
            </w:r>
          </w:p>
        </w:tc>
        <w:tc>
          <w:tcPr>
            <w:tcW w:w="1206" w:type="dxa"/>
            <w:tcBorders>
              <w:top w:val="single" w:sz="4" w:space="0" w:color="auto"/>
            </w:tcBorders>
            <w:vAlign w:val="bottom"/>
          </w:tcPr>
          <w:p w14:paraId="2BD7F3B2"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36.6%</w:t>
            </w:r>
          </w:p>
        </w:tc>
      </w:tr>
      <w:tr w:rsidR="003F6093" w:rsidRPr="003F6093" w14:paraId="3A798F5B" w14:textId="77777777" w:rsidTr="00441F74">
        <w:tc>
          <w:tcPr>
            <w:tcW w:w="3325" w:type="dxa"/>
            <w:vAlign w:val="bottom"/>
          </w:tcPr>
          <w:p w14:paraId="7DBF2642"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Dementia</w:t>
            </w:r>
          </w:p>
        </w:tc>
        <w:tc>
          <w:tcPr>
            <w:tcW w:w="1206" w:type="dxa"/>
            <w:vAlign w:val="bottom"/>
          </w:tcPr>
          <w:p w14:paraId="292BA1D9"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13.0%</w:t>
            </w:r>
          </w:p>
        </w:tc>
        <w:tc>
          <w:tcPr>
            <w:tcW w:w="1206" w:type="dxa"/>
            <w:vAlign w:val="bottom"/>
          </w:tcPr>
          <w:p w14:paraId="09ECBCA8"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12.5%</w:t>
            </w:r>
          </w:p>
        </w:tc>
        <w:tc>
          <w:tcPr>
            <w:tcW w:w="1206" w:type="dxa"/>
            <w:vAlign w:val="bottom"/>
          </w:tcPr>
          <w:p w14:paraId="5A0E1CB2"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12.8%</w:t>
            </w:r>
          </w:p>
        </w:tc>
        <w:tc>
          <w:tcPr>
            <w:tcW w:w="1206" w:type="dxa"/>
            <w:vAlign w:val="bottom"/>
          </w:tcPr>
          <w:p w14:paraId="6A6FC42F"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15.2%</w:t>
            </w:r>
          </w:p>
        </w:tc>
        <w:tc>
          <w:tcPr>
            <w:tcW w:w="1206" w:type="dxa"/>
            <w:vAlign w:val="bottom"/>
          </w:tcPr>
          <w:p w14:paraId="5CC63203"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14.8%</w:t>
            </w:r>
          </w:p>
        </w:tc>
      </w:tr>
      <w:tr w:rsidR="003F6093" w:rsidRPr="003F6093" w14:paraId="4C9095DC" w14:textId="77777777" w:rsidTr="00441F74">
        <w:tc>
          <w:tcPr>
            <w:tcW w:w="3325" w:type="dxa"/>
            <w:vAlign w:val="bottom"/>
          </w:tcPr>
          <w:p w14:paraId="647D6FF8"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Heart Disease</w:t>
            </w:r>
          </w:p>
        </w:tc>
        <w:tc>
          <w:tcPr>
            <w:tcW w:w="1206" w:type="dxa"/>
            <w:vAlign w:val="bottom"/>
          </w:tcPr>
          <w:p w14:paraId="3B3D7C19"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14.3%</w:t>
            </w:r>
          </w:p>
        </w:tc>
        <w:tc>
          <w:tcPr>
            <w:tcW w:w="1206" w:type="dxa"/>
            <w:vAlign w:val="bottom"/>
          </w:tcPr>
          <w:p w14:paraId="40CEA05A"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11.4%</w:t>
            </w:r>
          </w:p>
        </w:tc>
        <w:tc>
          <w:tcPr>
            <w:tcW w:w="1206" w:type="dxa"/>
            <w:vAlign w:val="bottom"/>
          </w:tcPr>
          <w:p w14:paraId="51EA6B4B"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11.2%</w:t>
            </w:r>
          </w:p>
        </w:tc>
        <w:tc>
          <w:tcPr>
            <w:tcW w:w="1206" w:type="dxa"/>
            <w:vAlign w:val="bottom"/>
          </w:tcPr>
          <w:p w14:paraId="29230AD8"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13.4%</w:t>
            </w:r>
          </w:p>
        </w:tc>
        <w:tc>
          <w:tcPr>
            <w:tcW w:w="1206" w:type="dxa"/>
            <w:vAlign w:val="bottom"/>
          </w:tcPr>
          <w:p w14:paraId="4063B7D7"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14.7%</w:t>
            </w:r>
          </w:p>
        </w:tc>
      </w:tr>
      <w:tr w:rsidR="003F6093" w:rsidRPr="003F6093" w14:paraId="5C93CD1B" w14:textId="77777777" w:rsidTr="00441F74">
        <w:tc>
          <w:tcPr>
            <w:tcW w:w="3325" w:type="dxa"/>
            <w:vAlign w:val="bottom"/>
          </w:tcPr>
          <w:p w14:paraId="61D20232"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Lung Disease</w:t>
            </w:r>
          </w:p>
        </w:tc>
        <w:tc>
          <w:tcPr>
            <w:tcW w:w="1206" w:type="dxa"/>
            <w:vAlign w:val="bottom"/>
          </w:tcPr>
          <w:p w14:paraId="50AB19DF"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8.3%</w:t>
            </w:r>
          </w:p>
        </w:tc>
        <w:tc>
          <w:tcPr>
            <w:tcW w:w="1206" w:type="dxa"/>
            <w:vAlign w:val="bottom"/>
          </w:tcPr>
          <w:p w14:paraId="4F0C5475"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8.5%</w:t>
            </w:r>
          </w:p>
        </w:tc>
        <w:tc>
          <w:tcPr>
            <w:tcW w:w="1206" w:type="dxa"/>
            <w:vAlign w:val="bottom"/>
          </w:tcPr>
          <w:p w14:paraId="2710DB2E"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8.2%</w:t>
            </w:r>
          </w:p>
        </w:tc>
        <w:tc>
          <w:tcPr>
            <w:tcW w:w="1206" w:type="dxa"/>
            <w:vAlign w:val="bottom"/>
          </w:tcPr>
          <w:p w14:paraId="4CB542E9"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9.9%</w:t>
            </w:r>
          </w:p>
        </w:tc>
        <w:tc>
          <w:tcPr>
            <w:tcW w:w="1206" w:type="dxa"/>
            <w:vAlign w:val="bottom"/>
          </w:tcPr>
          <w:p w14:paraId="60D4BE42"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9.3%</w:t>
            </w:r>
          </w:p>
        </w:tc>
      </w:tr>
      <w:tr w:rsidR="003F6093" w:rsidRPr="003F6093" w14:paraId="48947F04" w14:textId="77777777" w:rsidTr="00441F74">
        <w:tc>
          <w:tcPr>
            <w:tcW w:w="3325" w:type="dxa"/>
            <w:vAlign w:val="bottom"/>
          </w:tcPr>
          <w:p w14:paraId="2D306A90"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Other</w:t>
            </w:r>
          </w:p>
        </w:tc>
        <w:tc>
          <w:tcPr>
            <w:tcW w:w="1206" w:type="dxa"/>
            <w:vAlign w:val="bottom"/>
          </w:tcPr>
          <w:p w14:paraId="3574E36A"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5.4%</w:t>
            </w:r>
          </w:p>
        </w:tc>
        <w:tc>
          <w:tcPr>
            <w:tcW w:w="1206" w:type="dxa"/>
            <w:vAlign w:val="bottom"/>
          </w:tcPr>
          <w:p w14:paraId="60452FD3"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4.8%</w:t>
            </w:r>
          </w:p>
        </w:tc>
        <w:tc>
          <w:tcPr>
            <w:tcW w:w="1206" w:type="dxa"/>
            <w:vAlign w:val="bottom"/>
          </w:tcPr>
          <w:p w14:paraId="59489515"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5.2%</w:t>
            </w:r>
          </w:p>
        </w:tc>
        <w:tc>
          <w:tcPr>
            <w:tcW w:w="1206" w:type="dxa"/>
            <w:vAlign w:val="bottom"/>
          </w:tcPr>
          <w:p w14:paraId="508C21E4"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6.9%</w:t>
            </w:r>
          </w:p>
        </w:tc>
        <w:tc>
          <w:tcPr>
            <w:tcW w:w="1206" w:type="dxa"/>
            <w:vAlign w:val="bottom"/>
          </w:tcPr>
          <w:p w14:paraId="2AFD0ACF"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8.3%</w:t>
            </w:r>
          </w:p>
        </w:tc>
      </w:tr>
      <w:tr w:rsidR="003F6093" w:rsidRPr="003F6093" w14:paraId="56499C4D" w14:textId="77777777" w:rsidTr="00441F74">
        <w:tc>
          <w:tcPr>
            <w:tcW w:w="3325" w:type="dxa"/>
            <w:vAlign w:val="bottom"/>
          </w:tcPr>
          <w:p w14:paraId="03D991CD"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Stroke or Coma</w:t>
            </w:r>
          </w:p>
        </w:tc>
        <w:tc>
          <w:tcPr>
            <w:tcW w:w="1206" w:type="dxa"/>
            <w:vAlign w:val="bottom"/>
          </w:tcPr>
          <w:p w14:paraId="4CBB14AD"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4.2%</w:t>
            </w:r>
          </w:p>
        </w:tc>
        <w:tc>
          <w:tcPr>
            <w:tcW w:w="1206" w:type="dxa"/>
            <w:vAlign w:val="bottom"/>
          </w:tcPr>
          <w:p w14:paraId="40151B52"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4.1%</w:t>
            </w:r>
          </w:p>
        </w:tc>
        <w:tc>
          <w:tcPr>
            <w:tcW w:w="1206" w:type="dxa"/>
            <w:vAlign w:val="bottom"/>
          </w:tcPr>
          <w:p w14:paraId="04C5F6E7"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4.3%</w:t>
            </w:r>
          </w:p>
        </w:tc>
        <w:tc>
          <w:tcPr>
            <w:tcW w:w="1206" w:type="dxa"/>
            <w:vAlign w:val="bottom"/>
          </w:tcPr>
          <w:p w14:paraId="399DB4CA"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5.2%</w:t>
            </w:r>
          </w:p>
        </w:tc>
        <w:tc>
          <w:tcPr>
            <w:tcW w:w="1206" w:type="dxa"/>
            <w:vAlign w:val="bottom"/>
          </w:tcPr>
          <w:p w14:paraId="722D7E0D"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6.4%</w:t>
            </w:r>
          </w:p>
        </w:tc>
      </w:tr>
      <w:tr w:rsidR="003F6093" w:rsidRPr="003F6093" w14:paraId="133E3361" w14:textId="77777777" w:rsidTr="00441F74">
        <w:tc>
          <w:tcPr>
            <w:tcW w:w="3325" w:type="dxa"/>
            <w:vAlign w:val="bottom"/>
          </w:tcPr>
          <w:p w14:paraId="60FE1F3F"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Kidney Disease</w:t>
            </w:r>
          </w:p>
        </w:tc>
        <w:tc>
          <w:tcPr>
            <w:tcW w:w="1206" w:type="dxa"/>
            <w:vAlign w:val="bottom"/>
          </w:tcPr>
          <w:p w14:paraId="10019599"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2.4%</w:t>
            </w:r>
          </w:p>
        </w:tc>
        <w:tc>
          <w:tcPr>
            <w:tcW w:w="1206" w:type="dxa"/>
            <w:vAlign w:val="bottom"/>
          </w:tcPr>
          <w:p w14:paraId="27D4BCAA"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2.7%</w:t>
            </w:r>
          </w:p>
        </w:tc>
        <w:tc>
          <w:tcPr>
            <w:tcW w:w="1206" w:type="dxa"/>
            <w:vAlign w:val="bottom"/>
          </w:tcPr>
          <w:p w14:paraId="2756946F"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2.7%</w:t>
            </w:r>
          </w:p>
        </w:tc>
        <w:tc>
          <w:tcPr>
            <w:tcW w:w="1206" w:type="dxa"/>
            <w:vAlign w:val="bottom"/>
          </w:tcPr>
          <w:p w14:paraId="3F893586"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3.0%</w:t>
            </w:r>
          </w:p>
        </w:tc>
        <w:tc>
          <w:tcPr>
            <w:tcW w:w="1206" w:type="dxa"/>
            <w:vAlign w:val="bottom"/>
          </w:tcPr>
          <w:p w14:paraId="0DD72F4C"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3.0%</w:t>
            </w:r>
          </w:p>
        </w:tc>
      </w:tr>
      <w:tr w:rsidR="003F6093" w:rsidRPr="003F6093" w14:paraId="09A3ED6C" w14:textId="77777777" w:rsidTr="00441F74">
        <w:tc>
          <w:tcPr>
            <w:tcW w:w="3325" w:type="dxa"/>
            <w:vAlign w:val="bottom"/>
          </w:tcPr>
          <w:p w14:paraId="5445CFA0"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Liver Disease</w:t>
            </w:r>
          </w:p>
        </w:tc>
        <w:tc>
          <w:tcPr>
            <w:tcW w:w="1206" w:type="dxa"/>
            <w:vAlign w:val="bottom"/>
          </w:tcPr>
          <w:p w14:paraId="153B2098"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1.9%</w:t>
            </w:r>
          </w:p>
        </w:tc>
        <w:tc>
          <w:tcPr>
            <w:tcW w:w="1206" w:type="dxa"/>
            <w:vAlign w:val="bottom"/>
          </w:tcPr>
          <w:p w14:paraId="185E172D"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2.1%</w:t>
            </w:r>
          </w:p>
        </w:tc>
        <w:tc>
          <w:tcPr>
            <w:tcW w:w="1206" w:type="dxa"/>
            <w:vAlign w:val="bottom"/>
          </w:tcPr>
          <w:p w14:paraId="6CABD669"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2.1%</w:t>
            </w:r>
          </w:p>
        </w:tc>
        <w:tc>
          <w:tcPr>
            <w:tcW w:w="1206" w:type="dxa"/>
            <w:vAlign w:val="bottom"/>
          </w:tcPr>
          <w:p w14:paraId="174D7BC6"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2.1%</w:t>
            </w:r>
          </w:p>
        </w:tc>
        <w:tc>
          <w:tcPr>
            <w:tcW w:w="1206" w:type="dxa"/>
            <w:vAlign w:val="bottom"/>
          </w:tcPr>
          <w:p w14:paraId="129217B3"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2.3%</w:t>
            </w:r>
          </w:p>
        </w:tc>
      </w:tr>
      <w:tr w:rsidR="003F6093" w:rsidRPr="003F6093" w14:paraId="3F34E2C3" w14:textId="77777777" w:rsidTr="00441F74">
        <w:tc>
          <w:tcPr>
            <w:tcW w:w="3325" w:type="dxa"/>
            <w:vAlign w:val="bottom"/>
          </w:tcPr>
          <w:p w14:paraId="70D7EEF8"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Non-ALS Motor Neuron</w:t>
            </w:r>
          </w:p>
        </w:tc>
        <w:tc>
          <w:tcPr>
            <w:tcW w:w="1206" w:type="dxa"/>
            <w:vAlign w:val="bottom"/>
          </w:tcPr>
          <w:p w14:paraId="26F79CC7"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1.2%</w:t>
            </w:r>
          </w:p>
        </w:tc>
        <w:tc>
          <w:tcPr>
            <w:tcW w:w="1206" w:type="dxa"/>
            <w:vAlign w:val="bottom"/>
          </w:tcPr>
          <w:p w14:paraId="04463B5D"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1.6%</w:t>
            </w:r>
          </w:p>
        </w:tc>
        <w:tc>
          <w:tcPr>
            <w:tcW w:w="1206" w:type="dxa"/>
            <w:vAlign w:val="bottom"/>
          </w:tcPr>
          <w:p w14:paraId="156013B0"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1.6%</w:t>
            </w:r>
          </w:p>
        </w:tc>
        <w:tc>
          <w:tcPr>
            <w:tcW w:w="1206" w:type="dxa"/>
            <w:vAlign w:val="bottom"/>
          </w:tcPr>
          <w:p w14:paraId="21E0038F"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1.8%</w:t>
            </w:r>
          </w:p>
        </w:tc>
        <w:tc>
          <w:tcPr>
            <w:tcW w:w="1206" w:type="dxa"/>
            <w:vAlign w:val="bottom"/>
          </w:tcPr>
          <w:p w14:paraId="29F53667"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2.1%</w:t>
            </w:r>
          </w:p>
        </w:tc>
      </w:tr>
      <w:tr w:rsidR="003F6093" w:rsidRPr="003F6093" w14:paraId="66AE1D12" w14:textId="77777777" w:rsidTr="00441F74">
        <w:tc>
          <w:tcPr>
            <w:tcW w:w="3325" w:type="dxa"/>
            <w:vAlign w:val="bottom"/>
          </w:tcPr>
          <w:p w14:paraId="6AEC2868" w14:textId="77777777" w:rsidR="00C873BF" w:rsidRPr="00ED5457" w:rsidRDefault="00ED5457" w:rsidP="005D0862">
            <w:pPr>
              <w:pStyle w:val="Title"/>
              <w:spacing w:before="100" w:beforeAutospacing="1" w:after="100" w:afterAutospacing="1" w:line="240" w:lineRule="auto"/>
              <w:ind w:left="0" w:firstLine="0"/>
              <w:jc w:val="left"/>
              <w:rPr>
                <w:rFonts w:cs="Arial"/>
                <w:b w:val="0"/>
                <w:vertAlign w:val="superscript"/>
              </w:rPr>
            </w:pPr>
            <w:r>
              <w:rPr>
                <w:rFonts w:cs="Arial"/>
                <w:b w:val="0"/>
              </w:rPr>
              <w:t>Debility Unspecified</w:t>
            </w:r>
            <w:r>
              <w:rPr>
                <w:rFonts w:cs="Arial"/>
                <w:b w:val="0"/>
                <w:vertAlign w:val="superscript"/>
              </w:rPr>
              <w:t>a</w:t>
            </w:r>
          </w:p>
        </w:tc>
        <w:tc>
          <w:tcPr>
            <w:tcW w:w="1206" w:type="dxa"/>
            <w:vAlign w:val="bottom"/>
          </w:tcPr>
          <w:p w14:paraId="00D70842"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13.0%</w:t>
            </w:r>
          </w:p>
        </w:tc>
        <w:tc>
          <w:tcPr>
            <w:tcW w:w="1206" w:type="dxa"/>
            <w:vAlign w:val="bottom"/>
          </w:tcPr>
          <w:p w14:paraId="546483CC"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13.9%</w:t>
            </w:r>
          </w:p>
        </w:tc>
        <w:tc>
          <w:tcPr>
            <w:tcW w:w="1206" w:type="dxa"/>
            <w:vAlign w:val="bottom"/>
          </w:tcPr>
          <w:p w14:paraId="2F210F50"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14.2%</w:t>
            </w:r>
          </w:p>
        </w:tc>
        <w:tc>
          <w:tcPr>
            <w:tcW w:w="1206" w:type="dxa"/>
            <w:vAlign w:val="bottom"/>
          </w:tcPr>
          <w:p w14:paraId="22554C14"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5.4%</w:t>
            </w:r>
          </w:p>
        </w:tc>
        <w:tc>
          <w:tcPr>
            <w:tcW w:w="1206" w:type="dxa"/>
            <w:vAlign w:val="bottom"/>
          </w:tcPr>
          <w:p w14:paraId="3D5450D7"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1.9%</w:t>
            </w:r>
          </w:p>
        </w:tc>
      </w:tr>
      <w:tr w:rsidR="003F6093" w:rsidRPr="003F6093" w14:paraId="2EB7BC42" w14:textId="77777777" w:rsidTr="00441F74">
        <w:tc>
          <w:tcPr>
            <w:tcW w:w="3325" w:type="dxa"/>
            <w:vAlign w:val="bottom"/>
          </w:tcPr>
          <w:p w14:paraId="409E3AFE"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 xml:space="preserve">Amyotrophic Lateral Sclerosis </w:t>
            </w:r>
          </w:p>
        </w:tc>
        <w:tc>
          <w:tcPr>
            <w:tcW w:w="1206" w:type="dxa"/>
            <w:vAlign w:val="bottom"/>
          </w:tcPr>
          <w:p w14:paraId="1149FAFE"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0.4%</w:t>
            </w:r>
          </w:p>
        </w:tc>
        <w:tc>
          <w:tcPr>
            <w:tcW w:w="1206" w:type="dxa"/>
            <w:vAlign w:val="bottom"/>
          </w:tcPr>
          <w:p w14:paraId="5E2E9825"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0.4%</w:t>
            </w:r>
          </w:p>
        </w:tc>
        <w:tc>
          <w:tcPr>
            <w:tcW w:w="1206" w:type="dxa"/>
            <w:vAlign w:val="bottom"/>
          </w:tcPr>
          <w:p w14:paraId="3C8FB449"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0.4%</w:t>
            </w:r>
          </w:p>
        </w:tc>
        <w:tc>
          <w:tcPr>
            <w:tcW w:w="1206" w:type="dxa"/>
            <w:vAlign w:val="bottom"/>
          </w:tcPr>
          <w:p w14:paraId="70041D1F"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0.4%</w:t>
            </w:r>
          </w:p>
        </w:tc>
        <w:tc>
          <w:tcPr>
            <w:tcW w:w="1206" w:type="dxa"/>
            <w:vAlign w:val="bottom"/>
          </w:tcPr>
          <w:p w14:paraId="68DE2ED6"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0.4%</w:t>
            </w:r>
          </w:p>
        </w:tc>
      </w:tr>
      <w:tr w:rsidR="003F6093" w:rsidRPr="003F6093" w14:paraId="51704C25" w14:textId="77777777" w:rsidTr="00441F74">
        <w:tc>
          <w:tcPr>
            <w:tcW w:w="3325" w:type="dxa"/>
            <w:vAlign w:val="bottom"/>
          </w:tcPr>
          <w:p w14:paraId="59BDF4C2" w14:textId="77777777" w:rsidR="00C873BF" w:rsidRPr="003F6093" w:rsidRDefault="00C873BF" w:rsidP="005D0862">
            <w:pPr>
              <w:pStyle w:val="Title"/>
              <w:spacing w:before="100" w:beforeAutospacing="1" w:after="100" w:afterAutospacing="1" w:line="240" w:lineRule="auto"/>
              <w:ind w:left="0" w:firstLine="0"/>
              <w:jc w:val="left"/>
              <w:rPr>
                <w:rFonts w:cs="Arial"/>
                <w:b w:val="0"/>
              </w:rPr>
            </w:pPr>
            <w:r w:rsidRPr="003F6093">
              <w:rPr>
                <w:rFonts w:cs="Arial"/>
                <w:b w:val="0"/>
              </w:rPr>
              <w:t>HIV/AIDS</w:t>
            </w:r>
          </w:p>
        </w:tc>
        <w:tc>
          <w:tcPr>
            <w:tcW w:w="1206" w:type="dxa"/>
            <w:vAlign w:val="bottom"/>
          </w:tcPr>
          <w:p w14:paraId="6763ACF0"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0.3%</w:t>
            </w:r>
          </w:p>
        </w:tc>
        <w:tc>
          <w:tcPr>
            <w:tcW w:w="1206" w:type="dxa"/>
            <w:vAlign w:val="bottom"/>
          </w:tcPr>
          <w:p w14:paraId="75EE53B1"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0.2%</w:t>
            </w:r>
          </w:p>
        </w:tc>
        <w:tc>
          <w:tcPr>
            <w:tcW w:w="1206" w:type="dxa"/>
            <w:vAlign w:val="bottom"/>
          </w:tcPr>
          <w:p w14:paraId="530DABB4"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0.2%</w:t>
            </w:r>
          </w:p>
        </w:tc>
        <w:tc>
          <w:tcPr>
            <w:tcW w:w="1206" w:type="dxa"/>
            <w:vAlign w:val="bottom"/>
          </w:tcPr>
          <w:p w14:paraId="4E8102B7"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0.2%</w:t>
            </w:r>
          </w:p>
        </w:tc>
        <w:tc>
          <w:tcPr>
            <w:tcW w:w="1206" w:type="dxa"/>
            <w:vAlign w:val="bottom"/>
          </w:tcPr>
          <w:p w14:paraId="4651F6A7" w14:textId="77777777" w:rsidR="00C873BF" w:rsidRPr="003F6093" w:rsidRDefault="00C873BF" w:rsidP="003F6093">
            <w:pPr>
              <w:pStyle w:val="Title"/>
              <w:spacing w:before="100" w:beforeAutospacing="1" w:after="100" w:afterAutospacing="1" w:line="240" w:lineRule="auto"/>
              <w:rPr>
                <w:rFonts w:cs="Arial"/>
                <w:b w:val="0"/>
              </w:rPr>
            </w:pPr>
            <w:r w:rsidRPr="003F6093">
              <w:rPr>
                <w:rFonts w:cs="Arial"/>
                <w:b w:val="0"/>
              </w:rPr>
              <w:t>0.2%</w:t>
            </w:r>
          </w:p>
        </w:tc>
      </w:tr>
    </w:tbl>
    <w:p w14:paraId="5C25FB5C" w14:textId="77777777" w:rsidR="005D0862" w:rsidRPr="00E9363E" w:rsidRDefault="00D62772" w:rsidP="005D0862">
      <w:pPr>
        <w:spacing w:after="0" w:line="240" w:lineRule="auto"/>
        <w:rPr>
          <w:sz w:val="20"/>
        </w:rPr>
      </w:pPr>
      <w:r w:rsidRPr="00E9363E">
        <w:rPr>
          <w:sz w:val="20"/>
          <w:vertAlign w:val="superscript"/>
        </w:rPr>
        <w:t>a</w:t>
      </w:r>
      <w:r w:rsidR="003F6093" w:rsidRPr="00E9363E">
        <w:rPr>
          <w:sz w:val="20"/>
        </w:rPr>
        <w:t>In April 2013, CMS released guidance strongly discouraging the use of debility or adult failure to thrive as a principal hospice admission diagnosis, stating that in the future most hospice claims with these conditions as a principal diagnosis will be rejected.</w:t>
      </w:r>
      <w:bookmarkStart w:id="41" w:name="_Toc506036784"/>
    </w:p>
    <w:p w14:paraId="3828E30C" w14:textId="77777777" w:rsidR="005D0862" w:rsidRPr="00441F74" w:rsidRDefault="005D0862" w:rsidP="005D0862">
      <w:pPr>
        <w:spacing w:after="0" w:line="240" w:lineRule="auto"/>
        <w:rPr>
          <w:szCs w:val="22"/>
        </w:rPr>
      </w:pPr>
    </w:p>
    <w:p w14:paraId="139B090C" w14:textId="77777777" w:rsidR="005D0862" w:rsidRPr="00441F74" w:rsidRDefault="005D0862" w:rsidP="005D0862">
      <w:pPr>
        <w:spacing w:after="0" w:line="240" w:lineRule="auto"/>
        <w:rPr>
          <w:szCs w:val="22"/>
        </w:rPr>
      </w:pPr>
    </w:p>
    <w:p w14:paraId="52C89D19" w14:textId="77777777" w:rsidR="00441F74" w:rsidRPr="00441F74" w:rsidRDefault="00441F74" w:rsidP="005D0862">
      <w:pPr>
        <w:spacing w:after="0" w:line="240" w:lineRule="auto"/>
        <w:rPr>
          <w:szCs w:val="22"/>
        </w:rPr>
      </w:pPr>
    </w:p>
    <w:p w14:paraId="753FAAC2" w14:textId="77777777" w:rsidR="00441F74" w:rsidRPr="00441F74" w:rsidRDefault="00441F74" w:rsidP="005D0862">
      <w:pPr>
        <w:spacing w:after="0" w:line="240" w:lineRule="auto"/>
        <w:rPr>
          <w:szCs w:val="22"/>
        </w:rPr>
      </w:pPr>
    </w:p>
    <w:p w14:paraId="2686DD26" w14:textId="77777777" w:rsidR="00441F74" w:rsidRPr="0002760F" w:rsidRDefault="00441F74" w:rsidP="005D0862">
      <w:pPr>
        <w:spacing w:after="0" w:line="240" w:lineRule="auto"/>
        <w:rPr>
          <w:szCs w:val="22"/>
        </w:rPr>
      </w:pPr>
    </w:p>
    <w:p w14:paraId="3DB6C1FD" w14:textId="51369E62" w:rsidR="005D0862" w:rsidRPr="005D0862" w:rsidRDefault="0002760F" w:rsidP="00364413">
      <w:pPr>
        <w:widowControl/>
      </w:pPr>
      <w:r w:rsidRPr="005D0862">
        <w:t>respectively, in the mid-1990’s.</w:t>
      </w:r>
      <w:r w:rsidRPr="005D0862">
        <w:fldChar w:fldCharType="begin"/>
      </w:r>
      <w:r w:rsidR="00AB0F6E">
        <w:instrText xml:space="preserve"> ADDIN ZOTERO_ITEM CSL_CITATION {"citationID":"2p7jbu0r6a","properties":{"formattedCitation":"\\super 6,11\\nosupersub{}","plainCitation":"6,11","noteIndex":0},"citationItems":[{"id":2226,"uris":["http://zotero.org/users/2597747/items/F9R9V8IS"],"uri":["http://zotero.org/users/2597747/items/F9R9V8IS"],"itemData":{"id":2226,"type":"article-journal","title":"Characteristics of hospice care discharges and their length of service: United States, 2000","container-title":"Vital and Health Statistics. Series 13, Data from the National Health Survey","page":"1-36","issue":"154","source":"PubMed","abstract":"OBJECTIVE: To obtain the maximum benefit from hospice, a person should receive hospice services for at least 30 days. For many Americans, this goal is not being met. This report presents data on hospice care discharges for 2000. Selected trend data are also presented.\nMETHODS: Data are from the National Home and Hospice Care Survey. The data presented are numbers and percents by selected discharge characteristics. Length of service measures include average and median length of service and length of service intervals.\nRESULTS AND CONCLUSIONS: There were 621,100 discharges from hospice care in 2000. The typical discharge was elderly, white, lived in a private or semiprivate residence with a caregiver to whom they were related, and died while in hospice care. The primary source of payment was Medicare. Most received three or more services, were seen by three or more service providers, received help from the hospice with at least one activity of daily living (ADL), were incontinent, and had mobility limitation. Cancer is the most common primary admission diagnosis, but the proportion decreased from 75 percent in 1992 to 58 percent in 2000. Most of the discharges did not receive timely care. Sixty-three percent of discharges received hospice care for less than 30 days. The average length of service was 46.9 days, and the median length of service was 15.6 days. Shorter lengths of service occurred for those who were living in institutions, did not receive help from the agency with ADLs, had a lower level of mobility limitation, and had a primary admission diagnosis of cerebrovascular disease. Of the noninstitutionalized discharges, those whose primary caregiver was a spouse had shorter lengths of service than those who were cared for by a child.","ISSN":"0083-2006","note":"PMID: 12974075","shortTitle":"Characteristics of hospice care discharges and their length of service","journalAbbreviation":"Vital Health Stat 13","language":"eng","author":[{"family":"Haupt","given":"Barbara J."}],"issued":{"date-parts":[["2003",8]]}}},{"id":742,"uris":["http://zotero.org/users/2597747/items/XGDAKNG4"],"uri":["http://zotero.org/users/2597747/items/XGDAKNG4"],"itemData":{"id":742,"type":"article-journal","title":"Home health care and discharged hospice care patients: United States, 2000 and 2007","container-title":"National Health Statistics Reports","page":"1-27","issue":"38","source":"PubMed","abstract":"OBJECTIVES: This report presents national estimates on home health care patients and discharged hospice care patients. Information on characteristics, length of service, medical diagnoses, functional limitations, service use, advance care planning, and emergent and hospital care use are presented for home health care patients and hospice care discharges. A comparison of selected characteristics for 2000 and 2007 is also provided to highlight changes.\nMETHODS: Estimates are based on data collected on agencies from the 2000 and 2007 National Home and Hospice Care Survey, conducted by the Centers for Disease Control and Prevention's National Center for Health Statistics. Estimates are derived from data collected during interviews with administrators and staff designated by the administrators.\nRESULTS: Each day in 2007, there were an estimated 1,459,900 home health care patients. They were predominantly aged 65 years or over, female, and white. Their mean length of service was 315 days, and their most common primary diagnosis at admission was diabetes mellitus. About one-fourth of them had advance care planning and one-fifth had at least one overnight hospital stay since admission to the home health care agency. In 2007, there were 1,045,100 discharged hospice care patients. The majority of discharged patients were aged 65 or over, female, and white, and most were discharged deceased. Their mean length of service was 65 days, and the most common primary diagnosis at admission was malignant neoplasm. Most of them had advance care planning, and about one-fourth had three or more types of advance care planning instruments.","ISSN":"2164-8344","note":"PMID: 21568135","shortTitle":"Home health care and discharged hospice care patients","journalAbbreviation":"Natl Health Stat Report","language":"eng","author":[{"family":"Caffrey","given":"Christine"},{"family":"Sengupta","given":"Manisha"},{"family":"Moss","given":"Abigail"},{"family":"Harris-Kojetin","given":"Lauren"},{"family":"Valverde","given":"Roberto"}],"issued":{"date-parts":[["2011",4,27]]}}}],"schema":"https://github.com/citation-style-language/schema/raw/master/csl-citation.json"} </w:instrText>
      </w:r>
      <w:r w:rsidRPr="005D0862">
        <w:fldChar w:fldCharType="separate"/>
      </w:r>
      <w:r w:rsidR="00B55AC2" w:rsidRPr="00B55AC2">
        <w:rPr>
          <w:rFonts w:cs="Arial"/>
          <w:szCs w:val="24"/>
          <w:vertAlign w:val="superscript"/>
        </w:rPr>
        <w:t>6,11</w:t>
      </w:r>
      <w:r w:rsidRPr="005D0862">
        <w:fldChar w:fldCharType="end"/>
      </w:r>
      <w:r w:rsidRPr="005D0862">
        <w:t xml:space="preserve"> The minimum length of stay for fully effective hospice care</w:t>
      </w:r>
      <w:r w:rsidR="00C579C7">
        <w:t xml:space="preserve"> </w:t>
      </w:r>
      <w:r w:rsidR="005D0862" w:rsidRPr="005D0862">
        <w:t>has been cited to be between 30 and 60 days; however, the majority of patients are enrolled in hospice for shorter periods.</w:t>
      </w:r>
      <w:r w:rsidR="005D0862" w:rsidRPr="005D0862">
        <w:fldChar w:fldCharType="begin"/>
      </w:r>
      <w:r w:rsidR="00AB0F6E">
        <w:instrText xml:space="preserve"> ADDIN ZOTERO_ITEM CSL_CITATION {"citationID":"2g3np7tdq8","properties":{"formattedCitation":"\\super 6,11\\nosupersub{}","plainCitation":"6,11","noteIndex":0},"citationItems":[{"id":2226,"uris":["http://zotero.org/users/2597747/items/F9R9V8IS"],"uri":["http://zotero.org/users/2597747/items/F9R9V8IS"],"itemData":{"id":2226,"type":"article-journal","title":"Characteristics of hospice care discharges and their length of service: United States, 2000","container-title":"Vital and Health Statistics. Series 13, Data from the National Health Survey","page":"1-36","issue":"154","source":"PubMed","abstract":"OBJECTIVE: To obtain the maximum benefit from hospice, a person should receive hospice services for at least 30 days. For many Americans, this goal is not being met. This report presents data on hospice care discharges for 2000. Selected trend data are also presented.\nMETHODS: Data are from the National Home and Hospice Care Survey. The data presented are numbers and percents by selected discharge characteristics. Length of service measures include average and median length of service and length of service intervals.\nRESULTS AND CONCLUSIONS: There were 621,100 discharges from hospice care in 2000. The typical discharge was elderly, white, lived in a private or semiprivate residence with a caregiver to whom they were related, and died while in hospice care. The primary source of payment was Medicare. Most received three or more services, were seen by three or more service providers, received help from the hospice with at least one activity of daily living (ADL), were incontinent, and had mobility limitation. Cancer is the most common primary admission diagnosis, but the proportion decreased from 75 percent in 1992 to 58 percent in 2000. Most of the discharges did not receive timely care. Sixty-three percent of discharges received hospice care for less than 30 days. The average length of service was 46.9 days, and the median length of service was 15.6 days. Shorter lengths of service occurred for those who were living in institutions, did not receive help from the agency with ADLs, had a lower level of mobility limitation, and had a primary admission diagnosis of cerebrovascular disease. Of the noninstitutionalized discharges, those whose primary caregiver was a spouse had shorter lengths of service than those who were cared for by a child.","ISSN":"0083-2006","note":"PMID: 12974075","shortTitle":"Characteristics of hospice care discharges and their length of service","journalAbbreviation":"Vital Health Stat 13","language":"eng","author":[{"family":"Haupt","given":"Barbara J."}],"issued":{"date-parts":[["2003",8]]}}},{"id":742,"uris":["http://zotero.org/users/2597747/items/XGDAKNG4"],"uri":["http://zotero.org/users/2597747/items/XGDAKNG4"],"itemData":{"id":742,"type":"article-journal","title":"Home health care and discharged hospice care patients: United States, 2000 and 2007","container-title":"National Health Statistics Reports","page":"1-27","issue":"38","source":"PubMed","abstract":"OBJECTIVES: This report presents national estimates on home health care patients and discharged hospice care patients. Information on characteristics, length of service, medical diagnoses, functional limitations, service use, advance care planning, and emergent and hospital care use are presented for home health care patients and hospice care discharges. A comparison of selected characteristics for 2000 and 2007 is also provided to highlight changes.\nMETHODS: Estimates are based on data collected on agencies from the 2000 and 2007 National Home and Hospice Care Survey, conducted by the Centers for Disease Control and Prevention's National Center for Health Statistics. Estimates are derived from data collected during interviews with administrators and staff designated by the administrators.\nRESULTS: Each day in 2007, there were an estimated 1,459,900 home health care patients. They were predominantly aged 65 years or over, female, and white. Their mean length of service was 315 days, and their most common primary diagnosis at admission was diabetes mellitus. About one-fourth of them had advance care planning and one-fifth had at least one overnight hospital stay since admission to the home health care agency. In 2007, there were 1,045,100 discharged hospice care patients. The majority of discharged patients were aged 65 or over, female, and white, and most were discharged deceased. Their mean length of service was 65 days, and the most common primary diagnosis at admission was malignant neoplasm. Most of them had advance care planning, and about one-fourth had three or more types of advance care planning instruments.","ISSN":"2164-8344","note":"PMID: 21568135","shortTitle":"Home health care and discharged hospice care patients","journalAbbreviation":"Natl Health Stat Report","language":"eng","author":[{"family":"Caffrey","given":"Christine"},{"family":"Sengupta","given":"Manisha"},{"family":"Moss","given":"Abigail"},{"family":"Harris-Kojetin","given":"Lauren"},{"family":"Valverde","given":"Roberto"}],"issued":{"date-parts":[["2011",4,27]]}}}],"schema":"https://github.com/citation-style-language/schema/raw/master/csl-citation.json"} </w:instrText>
      </w:r>
      <w:r w:rsidR="005D0862" w:rsidRPr="005D0862">
        <w:fldChar w:fldCharType="separate"/>
      </w:r>
      <w:r w:rsidR="00B55AC2" w:rsidRPr="00B55AC2">
        <w:rPr>
          <w:rFonts w:cs="Arial"/>
          <w:szCs w:val="24"/>
          <w:vertAlign w:val="superscript"/>
        </w:rPr>
        <w:t>6,11</w:t>
      </w:r>
      <w:r w:rsidR="005D0862" w:rsidRPr="005D0862">
        <w:fldChar w:fldCharType="end"/>
      </w:r>
      <w:r w:rsidR="005D0862" w:rsidRPr="005D0862">
        <w:t xml:space="preserve"> In 2014, the average length of stay was 71.3 days while the median length of stay was 17.4 days.</w:t>
      </w:r>
      <w:r w:rsidR="005D0862" w:rsidRPr="005D0862">
        <w:fldChar w:fldCharType="begin"/>
      </w:r>
      <w:r w:rsidR="007438F8">
        <w:instrText xml:space="preserve"> ADDIN ZOTERO_ITEM CSL_CITATION {"citationID":"2p9sci143i","properties":{"formattedCitation":"\\super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005D0862" w:rsidRPr="005D0862">
        <w:fldChar w:fldCharType="separate"/>
      </w:r>
      <w:r w:rsidR="00B55AC2" w:rsidRPr="00B55AC2">
        <w:rPr>
          <w:rFonts w:cs="Arial"/>
          <w:szCs w:val="24"/>
          <w:vertAlign w:val="superscript"/>
        </w:rPr>
        <w:t>2</w:t>
      </w:r>
      <w:r w:rsidR="005D0862" w:rsidRPr="005D0862">
        <w:fldChar w:fldCharType="end"/>
      </w:r>
      <w:r w:rsidR="005D0862" w:rsidRPr="005D0862">
        <w:t xml:space="preserve"> Nearly four out of 10 patients had hospice stays greater than 30 days. Several reasons have been cited for the large proportion of late referrals, including a lack of knowledge of the availability and benefits of hospice care in both the medical community and the general public, and an unwillingness of patients, caregivers, and providers to discuss EOL care until the patient is very close to death.</w:t>
      </w:r>
      <w:r w:rsidR="005D0862" w:rsidRPr="005D0862">
        <w:fldChar w:fldCharType="begin"/>
      </w:r>
      <w:r w:rsidR="007438F8">
        <w:instrText xml:space="preserve"> ADDIN ZOTERO_ITEM CSL_CITATION {"citationID":"p0gi6bg54","properties":{"formattedCitation":"\\super 11\\nosupersub{}","plainCitation":"11","noteIndex":0},"citationItems":[{"id":742,"uris":["http://zotero.org/users/2597747/items/XGDAKNG4"],"uri":["http://zotero.org/users/2597747/items/XGDAKNG4"],"itemData":{"id":742,"type":"article-journal","title":"Home health care and discharged hospice care patients: United States, 2000 and 2007","container-title":"National Health Statistics Reports","page":"1-27","issue":"38","source":"PubMed","abstract":"OBJECTIVES: This report presents national estimates on home health care patients and discharged hospice care patients. Information on characteristics, length of service, medical diagnoses, functional limitations, service use, advance care planning, and emergent and hospital care use are presented for home health care patients and hospice care discharges. A comparison of selected characteristics for 2000 and 2007 is also provided to highlight changes.\nMETHODS: Estimates are based on data collected on agencies from the 2000 and 2007 National Home and Hospice Care Survey, conducted by the Centers for Disease Control and Prevention's National Center for Health Statistics. Estimates are derived from data collected during interviews with administrators and staff designated by the administrators.\nRESULTS: Each day in 2007, there were an estimated 1,459,900 home health care patients. They were predominantly aged 65 years or over, female, and white. Their mean length of service was 315 days, and their most common primary diagnosis at admission was diabetes mellitus. About one-fourth of them had advance care planning and one-fifth had at least one overnight hospital stay since admission to the home health care agency. In 2007, there were 1,045,100 discharged hospice care patients. The majority of discharged patients were aged 65 or over, female, and white, and most were discharged deceased. Their mean length of service was 65 days, and the most common primary diagnosis at admission was malignant neoplasm. Most of them had advance care planning, and about one-fourth had three or more types of advance care planning instruments.","ISSN":"2164-8344","note":"PMID: 21568135","shortTitle":"Home health care and discharged hospice care patients","journalAbbreviation":"Natl Health Stat Report","language":"eng","author":[{"family":"Caffrey","given":"Christine"},{"family":"Sengupta","given":"Manisha"},{"family":"Moss","given":"Abigail"},{"family":"Harris-Kojetin","given":"Lauren"},{"family":"Valverde","given":"Roberto"}],"issued":{"date-parts":[["2011",4,27]]}}}],"schema":"https://github.com/citation-style-language/schema/raw/master/csl-citation.json"} </w:instrText>
      </w:r>
      <w:r w:rsidR="005D0862" w:rsidRPr="005D0862">
        <w:fldChar w:fldCharType="separate"/>
      </w:r>
      <w:r w:rsidR="00B55AC2" w:rsidRPr="00B55AC2">
        <w:rPr>
          <w:rFonts w:cs="Arial"/>
          <w:szCs w:val="24"/>
          <w:vertAlign w:val="superscript"/>
        </w:rPr>
        <w:t>11</w:t>
      </w:r>
      <w:r w:rsidR="005D0862" w:rsidRPr="005D0862">
        <w:fldChar w:fldCharType="end"/>
      </w:r>
    </w:p>
    <w:p w14:paraId="273CDC55" w14:textId="3E239735" w:rsidR="005D0862" w:rsidRPr="005D0862" w:rsidRDefault="005D0862" w:rsidP="005D0862">
      <w:pPr>
        <w:ind w:firstLine="720"/>
      </w:pPr>
      <w:r w:rsidRPr="005D0862">
        <w:t>Patients may receive hospice care in a variety of settings, though the majority of hospice patients receive care at their place of residence. In 2014, 35.7% of patients received care at their private residence, 14.5% received care in a nursing home, and 8.7% received care in a residential facility at the time of death.</w:t>
      </w:r>
      <w:r w:rsidRPr="005D0862">
        <w:fldChar w:fldCharType="begin"/>
      </w:r>
      <w:r w:rsidR="007438F8">
        <w:instrText xml:space="preserve"> ADDIN ZOTERO_ITEM CSL_CITATION {"citationID":"aonqnsj0j","properties":{"formattedCitation":"\\super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5D0862">
        <w:fldChar w:fldCharType="separate"/>
      </w:r>
      <w:r w:rsidR="00B55AC2" w:rsidRPr="00B55AC2">
        <w:rPr>
          <w:rFonts w:cs="Arial"/>
          <w:szCs w:val="24"/>
          <w:vertAlign w:val="superscript"/>
        </w:rPr>
        <w:t>2</w:t>
      </w:r>
      <w:r w:rsidRPr="005D0862">
        <w:fldChar w:fldCharType="end"/>
      </w:r>
      <w:r w:rsidRPr="005D0862">
        <w:t xml:space="preserve"> Other care settings include dedicated hospice inpatient units or facilities (31.8%) and acute care hospitals (9.3%). Hospice care is generally provided at </w:t>
      </w:r>
      <w:r w:rsidRPr="005D0862">
        <w:lastRenderedPageBreak/>
        <w:t>four different levels: routine home care, continuous home care, general inpatient care, and inpatient respite care. Most hospice patient care days are classified as routine home care (93.8%), where the hospice team provides up to 8 hours of direct patient care in a 24-hour period at the patient’s residence. General inpatient care comprises approximately 4.8% of hospice care days and is generally reserved for cases of pain control or acute/complex symptom management that cannot be treated in other settings. Continuous care (direct patient care for &gt;8 hours in a 24-hour period) and short-term inpatient respite care make up 1.0% and 0.4% of patient care days, respectively.</w:t>
      </w:r>
      <w:r w:rsidRPr="005D0862">
        <w:fldChar w:fldCharType="begin"/>
      </w:r>
      <w:r w:rsidR="007438F8">
        <w:instrText xml:space="preserve"> ADDIN ZOTERO_ITEM CSL_CITATION {"citationID":"2f3s82oqi4","properties":{"formattedCitation":"\\super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5D0862">
        <w:fldChar w:fldCharType="separate"/>
      </w:r>
      <w:r w:rsidR="00B55AC2" w:rsidRPr="00B55AC2">
        <w:rPr>
          <w:rFonts w:cs="Arial"/>
          <w:szCs w:val="24"/>
          <w:vertAlign w:val="superscript"/>
        </w:rPr>
        <w:t>2</w:t>
      </w:r>
      <w:r w:rsidRPr="005D0862">
        <w:fldChar w:fldCharType="end"/>
      </w:r>
    </w:p>
    <w:p w14:paraId="64DD5F0D" w14:textId="77777777" w:rsidR="0034626A" w:rsidRDefault="0034626A" w:rsidP="005D0862">
      <w:pPr>
        <w:pStyle w:val="Style2"/>
      </w:pPr>
      <w:bookmarkStart w:id="42" w:name="_Toc507326037"/>
      <w:r w:rsidRPr="00DF3833">
        <w:t>1.3 The Medicare Hospice Benefit: Eligibility and Health Care Service Coverage</w:t>
      </w:r>
      <w:bookmarkEnd w:id="41"/>
      <w:bookmarkEnd w:id="42"/>
    </w:p>
    <w:p w14:paraId="1B945C14" w14:textId="041891BE" w:rsidR="005D0862" w:rsidRPr="005D0862" w:rsidRDefault="005D0862" w:rsidP="005D0862">
      <w:pPr>
        <w:ind w:firstLine="720"/>
      </w:pPr>
      <w:r w:rsidRPr="005D0862">
        <w:t>Nearly 46 million individuals over 65 years of age currently receive healthcare benefits under Medicare, of which approximately 2.8 million individuals die annually. Of these decedents, nearly half elect hospice services for some period of time near the EOL.</w:t>
      </w:r>
      <w:r w:rsidRPr="005D0862">
        <w:fldChar w:fldCharType="begin"/>
      </w:r>
      <w:r w:rsidR="00434675">
        <w:instrText xml:space="preserve"> ADDIN ZOTERO_ITEM CSL_CITATION {"citationID":"2mk0uqkigi","properties":{"formattedCitation":"\\super 15\\nosupersub{}","plainCitation":"15","noteIndex":0},"citationItems":[{"id":682,"uris":["http://zotero.org/users/2597747/items/RZJP4MNN"],"uri":["http://zotero.org/users/2597747/items/RZJP4MNN"],"itemData":{"id":682,"type":"article-journal","title":"Growing Pains for the Medicare Hospice Benefit","container-title":"New England Journal of Medicine","page":"1683-1685","volume":"367","issue":"18","source":"Taylor and Francis+NEJM","abstract":"Medicare's current approach to hospice permits patients to choose a well-defined end-of-life care benefit, but it has tradeoffs in terms of eligibility, distinctions between curative and palliative therapy, and the segregation of hospice care from other services.","DOI":"10.1056/NEJMp1208465","ISSN":"0028-4793","note":"PMID: 23113479","author":[{"family":"Stevenson","given":"David G."}],"issued":{"date-parts":[["2012",11,1]]}}}],"schema":"https://github.com/citation-style-language/schema/raw/master/csl-citation.json"} </w:instrText>
      </w:r>
      <w:r w:rsidRPr="005D0862">
        <w:fldChar w:fldCharType="separate"/>
      </w:r>
      <w:r w:rsidR="00B55AC2" w:rsidRPr="00B55AC2">
        <w:rPr>
          <w:rFonts w:cs="Arial"/>
          <w:szCs w:val="24"/>
          <w:vertAlign w:val="superscript"/>
        </w:rPr>
        <w:t>15</w:t>
      </w:r>
      <w:r w:rsidRPr="005D0862">
        <w:fldChar w:fldCharType="end"/>
      </w:r>
      <w:r w:rsidRPr="005D0862">
        <w:t xml:space="preserve"> From 1990 to 2010, the annual number of patients electing hospice care under the MHB has grown from 77,000 to 1.2 million.</w:t>
      </w:r>
      <w:r w:rsidRPr="005D0862">
        <w:fldChar w:fldCharType="begin"/>
      </w:r>
      <w:r w:rsidR="00434675">
        <w:instrText xml:space="preserve"> ADDIN ZOTERO_ITEM CSL_CITATION {"citationID":"2pes20sa94","properties":{"formattedCitation":"\\super 15\\nosupersub{}","plainCitation":"15","noteIndex":0},"citationItems":[{"id":682,"uris":["http://zotero.org/users/2597747/items/RZJP4MNN"],"uri":["http://zotero.org/users/2597747/items/RZJP4MNN"],"itemData":{"id":682,"type":"article-journal","title":"Growing Pains for the Medicare Hospice Benefit","container-title":"New England Journal of Medicine","page":"1683-1685","volume":"367","issue":"18","source":"Taylor and Francis+NEJM","abstract":"Medicare's current approach to hospice permits patients to choose a well-defined end-of-life care benefit, but it has tradeoffs in terms of eligibility, distinctions between curative and palliative therapy, and the segregation of hospice care from other services.","DOI":"10.1056/NEJMp1208465","ISSN":"0028-4793","note":"PMID: 23113479","author":[{"family":"Stevenson","given":"David G."}],"issued":{"date-parts":[["2012",11,1]]}}}],"schema":"https://github.com/citation-style-language/schema/raw/master/csl-citation.json"} </w:instrText>
      </w:r>
      <w:r w:rsidRPr="005D0862">
        <w:fldChar w:fldCharType="separate"/>
      </w:r>
      <w:r w:rsidR="00B55AC2" w:rsidRPr="00B55AC2">
        <w:rPr>
          <w:rFonts w:cs="Arial"/>
          <w:szCs w:val="24"/>
          <w:vertAlign w:val="superscript"/>
        </w:rPr>
        <w:t>15</w:t>
      </w:r>
      <w:r w:rsidRPr="005D0862">
        <w:fldChar w:fldCharType="end"/>
      </w:r>
      <w:r w:rsidRPr="005D0862">
        <w:t xml:space="preserve"> As of 2014, Medicare decedents who have elected hospice care represent approximately 85.5% of all patients receiving hospice care in the United States.</w:t>
      </w:r>
      <w:r w:rsidRPr="005D0862">
        <w:fldChar w:fldCharType="begin"/>
      </w:r>
      <w:r w:rsidR="007438F8">
        <w:instrText xml:space="preserve"> ADDIN ZOTERO_ITEM CSL_CITATION {"citationID":"2lvmmnn1gr","properties":{"formattedCitation":"\\super 2\\nosupersub{}","plainCitation":"2","noteIndex":0},"citationItems":[{"id":2652,"uris":["http://zotero.org/users/2597747/items/G6VPA5U7"],"uri":["http://zotero.org/users/2597747/items/G6VPA5U7"],"itemData":{"id":2652,"type":"article","title":"NHPCO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Organization.","URL":"https://www.nhpco.org/sites/default/files/public/Statistics_Research/2015_Facts_Figures.pdf","issued":{"date-parts":[["2015"]]}}}],"schema":"https://github.com/citation-style-language/schema/raw/master/csl-citation.json"} </w:instrText>
      </w:r>
      <w:r w:rsidRPr="005D0862">
        <w:fldChar w:fldCharType="separate"/>
      </w:r>
      <w:r w:rsidR="00B55AC2" w:rsidRPr="00B55AC2">
        <w:rPr>
          <w:rFonts w:cs="Arial"/>
          <w:szCs w:val="24"/>
          <w:vertAlign w:val="superscript"/>
        </w:rPr>
        <w:t>2</w:t>
      </w:r>
      <w:r w:rsidRPr="005D0862">
        <w:fldChar w:fldCharType="end"/>
      </w:r>
      <w:r w:rsidRPr="005D0862">
        <w:t xml:space="preserve"> The dramatic increase in hospice use in recent years has led to significant increases in Medicare spending under the MHB, from $309 million in 1990 to $2.9 billion in 2000 and $15.1 billion in 2013.</w:t>
      </w:r>
      <w:r w:rsidRPr="005D0862">
        <w:fldChar w:fldCharType="begin"/>
      </w:r>
      <w:r w:rsidR="00434675">
        <w:instrText xml:space="preserve"> ADDIN ZOTERO_ITEM CSL_CITATION {"citationID":"3vjYoRRF","properties":{"formattedCitation":"\\super 5,15\\nosupersub{}","plainCitation":"5,15","noteIndex":0},"citationItems":[{"id":682,"uris":["http://zotero.org/users/2597747/items/RZJP4MNN"],"uri":["http://zotero.org/users/2597747/items/RZJP4MNN"],"itemData":{"id":682,"type":"article-journal","title":"Growing Pains for the Medicare Hospice Benefit","container-title":"New England Journal of Medicine","page":"1683-1685","volume":"367","issue":"18","source":"Taylor and Francis+NEJM","abstract":"Medicare's current approach to hospice permits patients to choose a well-defined end-of-life care benefit, but it has tradeoffs in terms of eligibility, distinctions between curative and palliative therapy, and the segregation of hospice care from other services.","DOI":"10.1056/NEJMp1208465","ISSN":"0028-4793","note":"PMID: 23113479","author":[{"family":"Stevenson","given":"David G."}],"issued":{"date-parts":[["2012",11,1]]}}},{"id":3275,"uris":["http://zotero.org/users/2597747/items/553E3ZIJ"],"uri":["http://zotero.org/users/2597747/items/553E3ZIJ"],"itemData":{"id":3275,"type":"report","title":"Hospice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Pr="005D0862">
        <w:fldChar w:fldCharType="separate"/>
      </w:r>
      <w:r w:rsidR="00B55AC2" w:rsidRPr="00B55AC2">
        <w:rPr>
          <w:rFonts w:cs="Arial"/>
          <w:szCs w:val="24"/>
          <w:vertAlign w:val="superscript"/>
        </w:rPr>
        <w:t>5,15</w:t>
      </w:r>
      <w:r w:rsidRPr="005D0862">
        <w:fldChar w:fldCharType="end"/>
      </w:r>
      <w:r w:rsidR="00272465">
        <w:t xml:space="preserve"> In 2014, hospice care accounted</w:t>
      </w:r>
      <w:r w:rsidRPr="005D0862">
        <w:t xml:space="preserve"> for approximately 2% of total Medicare expenditures.</w:t>
      </w:r>
      <w:r w:rsidRPr="005D0862">
        <w:fldChar w:fldCharType="begin"/>
      </w:r>
      <w:r w:rsidR="00AB0F6E">
        <w:instrText xml:space="preserve"> ADDIN ZOTERO_ITEM CSL_CITATION {"citationID":"WwwmiEcm","properties":{"formattedCitation":"\\super 5\\nosupersub{}","plainCitation":"5","noteIndex":0},"citationItems":[{"id":3275,"uris":["http://zotero.org/users/2597747/items/553E3ZIJ"],"uri":["http://zotero.org/users/2597747/items/553E3ZIJ"],"itemData":{"id":3275,"type":"report","title":"Hospice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Pr="005D0862">
        <w:fldChar w:fldCharType="separate"/>
      </w:r>
      <w:r w:rsidR="00B55AC2" w:rsidRPr="00B55AC2">
        <w:rPr>
          <w:rFonts w:cs="Arial"/>
          <w:szCs w:val="24"/>
          <w:vertAlign w:val="superscript"/>
        </w:rPr>
        <w:t>5</w:t>
      </w:r>
      <w:r w:rsidRPr="005D0862">
        <w:fldChar w:fldCharType="end"/>
      </w:r>
    </w:p>
    <w:p w14:paraId="1EDEBA45" w14:textId="11F7114B" w:rsidR="00441F74" w:rsidRDefault="005D0862" w:rsidP="00441F74">
      <w:pPr>
        <w:ind w:firstLine="720"/>
      </w:pPr>
      <w:r w:rsidRPr="005D0862">
        <w:t>The MHB is administered under Medicare Part A for all Medicare beneficiaries, regardless of whether the patient was enrolled in Original Medicare, a Medicare Advantage Plan, or another type of Medicare health plan prior to hospice enrollment.</w:t>
      </w:r>
      <w:r w:rsidRPr="005D0862">
        <w:fldChar w:fldCharType="begin"/>
      </w:r>
      <w:r w:rsidR="008A1035">
        <w:instrText xml:space="preserve"> ADDIN ZOTERO_ITEM CSL_CITATION {"citationID":"lnJFqOZE","properties":{"formattedCitation":"\\super 16\\nosupersub{}","plainCitation":"16","noteIndex":0},"citationItems":[{"id":3278,"uris":["http://zotero.org/users/2597747/items/NRQWEB4C"],"uri":["http://zotero.org/users/2597747/items/NRQWEB4C"],"itemData":{"id":3278,"type":"report","title":"Medicare Hospice Benefits","publisher":"Centers for Medicare and Medicaid Services","publisher-place":"Baltimore, MD","event-place":"Baltimore, MD","URL":"https://www.medicare.gov/Pubs/pdf/02154-Medicare-Hospice-Benefits.PDF","issued":{"date-parts":[["2016"]]}}}],"schema":"https://github.com/citation-style-language/schema/raw/master/csl-citation.json"} </w:instrText>
      </w:r>
      <w:r w:rsidRPr="005D0862">
        <w:fldChar w:fldCharType="separate"/>
      </w:r>
      <w:r w:rsidR="00B55AC2" w:rsidRPr="00B55AC2">
        <w:rPr>
          <w:rFonts w:cs="Arial"/>
          <w:szCs w:val="24"/>
          <w:vertAlign w:val="superscript"/>
        </w:rPr>
        <w:t>16</w:t>
      </w:r>
      <w:r w:rsidRPr="005D0862">
        <w:fldChar w:fldCharType="end"/>
      </w:r>
      <w:r w:rsidRPr="005D0862">
        <w:t xml:space="preserve"> There are no restrictions on age or type of terminal illness in order to be eligible for hospice. Requirements that must be met in order for patients to be eligible for the MHB include:</w:t>
      </w:r>
    </w:p>
    <w:p w14:paraId="2805E831" w14:textId="77777777" w:rsidR="0002760F" w:rsidRPr="005D0862" w:rsidRDefault="0002760F" w:rsidP="00441F74">
      <w:pPr>
        <w:ind w:firstLine="720"/>
      </w:pPr>
    </w:p>
    <w:p w14:paraId="186368AE" w14:textId="77777777" w:rsidR="005D0862" w:rsidRPr="005D0862" w:rsidRDefault="005D0862" w:rsidP="005D0862">
      <w:pPr>
        <w:pStyle w:val="ListParagraph"/>
        <w:numPr>
          <w:ilvl w:val="0"/>
          <w:numId w:val="5"/>
        </w:numPr>
      </w:pPr>
      <w:r w:rsidRPr="005D0862">
        <w:lastRenderedPageBreak/>
        <w:t>A certification from a hospice physician and the patient’s primary care physician (if he or she has one) of less than 6 months to live if the terminal illness runs its normal course;</w:t>
      </w:r>
    </w:p>
    <w:p w14:paraId="38B39B47" w14:textId="77777777" w:rsidR="005D0862" w:rsidRPr="005D0862" w:rsidRDefault="005D0862" w:rsidP="005D0862">
      <w:pPr>
        <w:pStyle w:val="ListParagraph"/>
        <w:numPr>
          <w:ilvl w:val="0"/>
          <w:numId w:val="5"/>
        </w:numPr>
      </w:pPr>
      <w:r w:rsidRPr="005D0862">
        <w:t>Patient waiver of non-palliative treatment options intended to cure the terminal illness and/or prolong life; and</w:t>
      </w:r>
    </w:p>
    <w:p w14:paraId="5D58B1E2" w14:textId="77777777" w:rsidR="005D0862" w:rsidRPr="005D0862" w:rsidRDefault="005D0862" w:rsidP="005D0862">
      <w:pPr>
        <w:pStyle w:val="ListParagraph"/>
        <w:numPr>
          <w:ilvl w:val="0"/>
          <w:numId w:val="5"/>
        </w:numPr>
      </w:pPr>
      <w:r w:rsidRPr="005D0862">
        <w:t xml:space="preserve">A signed statement from the patient choosing hospice care instead of other Medicare-covered treatments for the terminal illness and related conditions (e.g., inpatient care). </w:t>
      </w:r>
    </w:p>
    <w:p w14:paraId="5510B9E9" w14:textId="213C3BDB" w:rsidR="00441F74" w:rsidRDefault="005D0862" w:rsidP="006619A4">
      <w:pPr>
        <w:spacing w:after="0"/>
        <w:ind w:firstLine="720"/>
      </w:pPr>
      <w:r w:rsidRPr="005D0862">
        <w:t>If these conditions are met and the chosen hospice is Medicare-approved, hospice care services received for the patient’s terminal illness and related conditions are covered 100% under the Part A MHB.</w:t>
      </w:r>
      <w:r w:rsidRPr="005D0862">
        <w:fldChar w:fldCharType="begin"/>
      </w:r>
      <w:r w:rsidR="008A1035">
        <w:instrText xml:space="preserve"> ADDIN ZOTERO_ITEM CSL_CITATION {"citationID":"1eoth1q71u","properties":{"formattedCitation":"\\super 16\\nosupersub{}","plainCitation":"16","noteIndex":0},"citationItems":[{"id":3278,"uris":["http://zotero.org/users/2597747/items/NRQWEB4C"],"uri":["http://zotero.org/users/2597747/items/NRQWEB4C"],"itemData":{"id":3278,"type":"report","title":"Medicare Hospice Benefits","publisher":"Centers for Medicare and Medicaid Services","publisher-place":"Baltimore, MD","event-place":"Baltimore, MD","URL":"https://www.medicare.gov/Pubs/pdf/02154-Medicare-Hospice-Benefits.PDF","issued":{"date-parts":[["2016"]]}}}],"schema":"https://github.com/citation-style-language/schema/raw/master/csl-citation.json"} </w:instrText>
      </w:r>
      <w:r w:rsidRPr="005D0862">
        <w:fldChar w:fldCharType="separate"/>
      </w:r>
      <w:r w:rsidR="00B55AC2" w:rsidRPr="00B55AC2">
        <w:rPr>
          <w:rFonts w:cs="Arial"/>
          <w:szCs w:val="24"/>
          <w:vertAlign w:val="superscript"/>
        </w:rPr>
        <w:t>16</w:t>
      </w:r>
      <w:r w:rsidRPr="005D0862">
        <w:fldChar w:fldCharType="end"/>
      </w:r>
      <w:r w:rsidRPr="005D0862">
        <w:t xml:space="preserve"> A summary of healthcare service co</w:t>
      </w:r>
      <w:r>
        <w:t>verage for Medicare beneficiaries who have ele</w:t>
      </w:r>
      <w:r w:rsidR="00CE542C">
        <w:t xml:space="preserve">cted hospice care are shown in </w:t>
      </w:r>
      <w:r w:rsidR="00CE542C" w:rsidRPr="00CE542C">
        <w:rPr>
          <w:b/>
        </w:rPr>
        <w:t>TABLE</w:t>
      </w:r>
      <w:r w:rsidR="00CE542C">
        <w:rPr>
          <w:b/>
        </w:rPr>
        <w:t xml:space="preserve"> II</w:t>
      </w:r>
      <w:r>
        <w:t>.</w:t>
      </w:r>
      <w:r w:rsidR="008A1035">
        <w:fldChar w:fldCharType="begin"/>
      </w:r>
      <w:r w:rsidR="008A1035">
        <w:instrText xml:space="preserve"> ADDIN ZOTERO_ITEM CSL_CITATION {"citationID":"a1b7brtg2ba","properties":{"formattedCitation":"\\super 16,17\\nosupersub{}","plainCitation":"16,17","noteIndex":0},"citationItems":[{"id":3278,"uris":["http://zotero.org/users/2597747/items/NRQWEB4C"],"uri":["http://zotero.org/users/2597747/items/NRQWEB4C"],"itemData":{"id":3278,"type":"report","title":"Medicare Hospice Benefits","publisher":"Centers for Medicare and Medicaid Services","publisher-place":"Baltimore, MD","event-place":"Baltimore, MD","URL":"https://www.medicare.gov/Pubs/pdf/02154-Medicare-Hospice-Benefits.PDF","issued":{"date-parts":[["2016"]]}}},{"id":3281,"uris":["http://zotero.org/users/2597747/items/QXQK3EQW"],"uri":["http://zotero.org/users/2597747/items/QXQK3EQW"],"itemData":{"id":3281,"type":"report","title":"Part D Payment for Drugs for Beneficiaries Enrolled in Hospice—Request for Comments [Memorandum]","publisher":"Centers for Medicare and Medicaid Services","publisher-place":"Baltimore, MD","event-place":"Baltimore, MD","author":[{"family":"Tudor","given":"CG"},{"family":"Wilson","given":"L"},{"family":"Majestic","given":"M"}],"issued":{"date-parts":[["2013",12,6]]}}}],"schema":"https://github.com/citation-style-language/schema/raw/master/csl-citation.json"} </w:instrText>
      </w:r>
      <w:r w:rsidR="008A1035">
        <w:fldChar w:fldCharType="separate"/>
      </w:r>
      <w:r w:rsidR="00B55AC2" w:rsidRPr="00B55AC2">
        <w:rPr>
          <w:rFonts w:cs="Arial"/>
          <w:szCs w:val="24"/>
          <w:vertAlign w:val="superscript"/>
        </w:rPr>
        <w:t>16,17</w:t>
      </w:r>
      <w:r w:rsidR="008A1035">
        <w:fldChar w:fldCharType="end"/>
      </w:r>
      <w:r>
        <w:t xml:space="preserve"> </w:t>
      </w:r>
    </w:p>
    <w:p w14:paraId="478CCF61" w14:textId="77777777" w:rsidR="00441F74" w:rsidRDefault="00441F74" w:rsidP="00441F74">
      <w:pPr>
        <w:spacing w:after="0" w:line="240" w:lineRule="auto"/>
      </w:pPr>
    </w:p>
    <w:p w14:paraId="30E1F261" w14:textId="77777777" w:rsidR="002116F6" w:rsidRDefault="002116F6" w:rsidP="00441F74">
      <w:pPr>
        <w:spacing w:after="0" w:line="240" w:lineRule="auto"/>
      </w:pPr>
    </w:p>
    <w:p w14:paraId="691C14DF" w14:textId="77777777" w:rsidR="00441F74" w:rsidRDefault="00441F74" w:rsidP="00441F74">
      <w:pPr>
        <w:spacing w:after="0" w:line="240" w:lineRule="auto"/>
      </w:pPr>
    </w:p>
    <w:p w14:paraId="3D972C17" w14:textId="77777777" w:rsidR="00441F74" w:rsidRDefault="00441F74" w:rsidP="00441F74">
      <w:pPr>
        <w:spacing w:after="0" w:line="240" w:lineRule="auto"/>
      </w:pPr>
    </w:p>
    <w:p w14:paraId="6B834352" w14:textId="77777777" w:rsidR="00441F74" w:rsidRDefault="00441F74" w:rsidP="00441F74">
      <w:pPr>
        <w:spacing w:after="0" w:line="240" w:lineRule="auto"/>
      </w:pPr>
    </w:p>
    <w:p w14:paraId="671C3639" w14:textId="77777777" w:rsidR="00194117" w:rsidRPr="00D50BC0" w:rsidRDefault="00CE542C" w:rsidP="0002760F">
      <w:pPr>
        <w:pStyle w:val="Caption"/>
        <w:rPr>
          <w:b/>
          <w:szCs w:val="22"/>
        </w:rPr>
      </w:pPr>
      <w:bookmarkStart w:id="43" w:name="_Toc506108607"/>
      <w:r w:rsidRPr="00D50BC0">
        <w:rPr>
          <w:b/>
          <w:szCs w:val="22"/>
        </w:rPr>
        <w:t>TABLE II</w:t>
      </w:r>
      <w:bookmarkEnd w:id="43"/>
    </w:p>
    <w:p w14:paraId="3CF789C7" w14:textId="77777777" w:rsidR="0002760F" w:rsidRPr="00D50BC0" w:rsidRDefault="0002760F" w:rsidP="0002760F">
      <w:pPr>
        <w:spacing w:after="0" w:line="240" w:lineRule="auto"/>
      </w:pPr>
    </w:p>
    <w:p w14:paraId="40591162" w14:textId="38538713" w:rsidR="00194117" w:rsidRPr="00D50BC0" w:rsidRDefault="002B2951" w:rsidP="002B2951">
      <w:pPr>
        <w:pStyle w:val="Caption"/>
        <w:rPr>
          <w:caps w:val="0"/>
          <w:szCs w:val="22"/>
        </w:rPr>
      </w:pPr>
      <w:bookmarkStart w:id="44" w:name="_Toc506108608"/>
      <w:bookmarkStart w:id="45" w:name="_Toc507327151"/>
      <w:bookmarkStart w:id="46" w:name="_Toc507329271"/>
      <w:r w:rsidRPr="00D50BC0">
        <w:rPr>
          <w:szCs w:val="22"/>
        </w:rPr>
        <w:t>HEALTH CARE COVERAGE UNDER MEDICARE FOR PATIENTS ENROLLED IN HOSPICE</w:t>
      </w:r>
      <w:bookmarkEnd w:id="44"/>
      <w:bookmarkEnd w:id="45"/>
      <w:bookmarkEnd w:id="46"/>
    </w:p>
    <w:tbl>
      <w:tblPr>
        <w:tblStyle w:val="TableGrid"/>
        <w:tblW w:w="0" w:type="auto"/>
        <w:jc w:val="center"/>
        <w:tblLayout w:type="fixed"/>
        <w:tblLook w:val="04A0" w:firstRow="1" w:lastRow="0" w:firstColumn="1" w:lastColumn="0" w:noHBand="0" w:noVBand="1"/>
      </w:tblPr>
      <w:tblGrid>
        <w:gridCol w:w="6115"/>
        <w:gridCol w:w="2430"/>
      </w:tblGrid>
      <w:tr w:rsidR="005D0862" w14:paraId="5851B07B" w14:textId="77777777" w:rsidTr="003C667C">
        <w:trPr>
          <w:jc w:val="center"/>
        </w:trPr>
        <w:tc>
          <w:tcPr>
            <w:tcW w:w="6115" w:type="dxa"/>
            <w:tcBorders>
              <w:left w:val="nil"/>
              <w:bottom w:val="single" w:sz="4" w:space="0" w:color="auto"/>
              <w:right w:val="nil"/>
            </w:tcBorders>
          </w:tcPr>
          <w:p w14:paraId="33FCACED" w14:textId="77777777" w:rsidR="005D0862" w:rsidRPr="000E0039" w:rsidRDefault="005D0862" w:rsidP="00194117">
            <w:pPr>
              <w:pStyle w:val="Title"/>
              <w:spacing w:before="0" w:after="0" w:line="240" w:lineRule="auto"/>
              <w:ind w:left="0" w:firstLine="0"/>
              <w:jc w:val="left"/>
              <w:rPr>
                <w:rFonts w:cs="Arial"/>
              </w:rPr>
            </w:pPr>
            <w:r w:rsidRPr="000E0039">
              <w:rPr>
                <w:rFonts w:cs="Arial"/>
                <w:bCs/>
                <w:kern w:val="24"/>
              </w:rPr>
              <w:t>Service</w:t>
            </w:r>
          </w:p>
        </w:tc>
        <w:tc>
          <w:tcPr>
            <w:tcW w:w="2430" w:type="dxa"/>
            <w:tcBorders>
              <w:left w:val="nil"/>
              <w:bottom w:val="single" w:sz="4" w:space="0" w:color="auto"/>
              <w:right w:val="nil"/>
            </w:tcBorders>
          </w:tcPr>
          <w:p w14:paraId="7F82CF25" w14:textId="77777777" w:rsidR="005D0862" w:rsidRPr="000E0039" w:rsidRDefault="005D0862" w:rsidP="000E0039">
            <w:pPr>
              <w:pStyle w:val="Title"/>
              <w:spacing w:before="0" w:after="0" w:line="240" w:lineRule="auto"/>
              <w:ind w:hanging="634"/>
              <w:rPr>
                <w:rFonts w:cs="Arial"/>
              </w:rPr>
            </w:pPr>
            <w:r w:rsidRPr="000E0039">
              <w:rPr>
                <w:rFonts w:cs="Arial"/>
                <w:bCs/>
                <w:kern w:val="24"/>
              </w:rPr>
              <w:t>Medicare Coverage</w:t>
            </w:r>
          </w:p>
        </w:tc>
      </w:tr>
      <w:tr w:rsidR="005D0862" w14:paraId="37EB7A48" w14:textId="77777777" w:rsidTr="003C667C">
        <w:trPr>
          <w:jc w:val="center"/>
        </w:trPr>
        <w:tc>
          <w:tcPr>
            <w:tcW w:w="6115" w:type="dxa"/>
            <w:tcBorders>
              <w:left w:val="nil"/>
              <w:bottom w:val="nil"/>
              <w:right w:val="nil"/>
            </w:tcBorders>
            <w:vAlign w:val="bottom"/>
          </w:tcPr>
          <w:p w14:paraId="50EC4A34" w14:textId="77777777" w:rsidR="005D0862" w:rsidRPr="000E0039" w:rsidRDefault="005D0862" w:rsidP="003C667C">
            <w:pPr>
              <w:pStyle w:val="Title"/>
              <w:spacing w:before="0" w:after="200" w:line="240" w:lineRule="auto"/>
              <w:ind w:left="0" w:firstLine="0"/>
              <w:jc w:val="both"/>
              <w:rPr>
                <w:rFonts w:cs="Arial"/>
                <w:b w:val="0"/>
              </w:rPr>
            </w:pPr>
            <w:r w:rsidRPr="000E0039">
              <w:rPr>
                <w:rFonts w:cs="Arial"/>
                <w:b w:val="0"/>
                <w:color w:val="000000" w:themeColor="dark1"/>
                <w:kern w:val="24"/>
              </w:rPr>
              <w:t>All palliative care for terminal illness and related conditions</w:t>
            </w:r>
          </w:p>
        </w:tc>
        <w:tc>
          <w:tcPr>
            <w:tcW w:w="2430" w:type="dxa"/>
            <w:tcBorders>
              <w:left w:val="nil"/>
              <w:bottom w:val="nil"/>
              <w:right w:val="nil"/>
            </w:tcBorders>
            <w:vAlign w:val="bottom"/>
          </w:tcPr>
          <w:p w14:paraId="13E79FD5" w14:textId="77777777" w:rsidR="005D0862" w:rsidRPr="000E0039" w:rsidRDefault="005D0862" w:rsidP="003C667C">
            <w:pPr>
              <w:pStyle w:val="Title"/>
              <w:spacing w:before="0" w:after="200" w:line="240" w:lineRule="auto"/>
              <w:ind w:hanging="634"/>
              <w:rPr>
                <w:rFonts w:cs="Arial"/>
                <w:b w:val="0"/>
              </w:rPr>
            </w:pPr>
            <w:r w:rsidRPr="000E0039">
              <w:rPr>
                <w:rFonts w:cs="Arial"/>
                <w:b w:val="0"/>
                <w:color w:val="000000" w:themeColor="dark1"/>
                <w:kern w:val="24"/>
              </w:rPr>
              <w:t>Part A, MHB</w:t>
            </w:r>
          </w:p>
        </w:tc>
      </w:tr>
      <w:tr w:rsidR="005D0862" w14:paraId="70E85EFA" w14:textId="77777777" w:rsidTr="003C667C">
        <w:trPr>
          <w:jc w:val="center"/>
        </w:trPr>
        <w:tc>
          <w:tcPr>
            <w:tcW w:w="6115" w:type="dxa"/>
            <w:tcBorders>
              <w:top w:val="nil"/>
              <w:left w:val="nil"/>
              <w:bottom w:val="nil"/>
              <w:right w:val="nil"/>
            </w:tcBorders>
            <w:vAlign w:val="bottom"/>
          </w:tcPr>
          <w:p w14:paraId="5FBEF612" w14:textId="77777777" w:rsidR="005D0862" w:rsidRPr="000E0039" w:rsidRDefault="005D0862" w:rsidP="003C667C">
            <w:pPr>
              <w:pStyle w:val="Title"/>
              <w:spacing w:before="0" w:after="200" w:line="240" w:lineRule="auto"/>
              <w:ind w:left="0" w:firstLine="0"/>
              <w:jc w:val="both"/>
              <w:rPr>
                <w:rFonts w:cs="Arial"/>
                <w:b w:val="0"/>
              </w:rPr>
            </w:pPr>
            <w:r w:rsidRPr="000E0039">
              <w:rPr>
                <w:rFonts w:cs="Arial"/>
                <w:b w:val="0"/>
                <w:color w:val="000000" w:themeColor="dark1"/>
                <w:kern w:val="24"/>
              </w:rPr>
              <w:t>Medications for terminal illness and related conditions</w:t>
            </w:r>
          </w:p>
        </w:tc>
        <w:tc>
          <w:tcPr>
            <w:tcW w:w="2430" w:type="dxa"/>
            <w:tcBorders>
              <w:top w:val="nil"/>
              <w:left w:val="nil"/>
              <w:bottom w:val="nil"/>
              <w:right w:val="nil"/>
            </w:tcBorders>
            <w:vAlign w:val="bottom"/>
          </w:tcPr>
          <w:p w14:paraId="3BF2E92E" w14:textId="77777777" w:rsidR="005D0862" w:rsidRPr="000E0039" w:rsidRDefault="005D0862" w:rsidP="003C667C">
            <w:pPr>
              <w:pStyle w:val="Title"/>
              <w:spacing w:before="0" w:after="200" w:line="240" w:lineRule="auto"/>
              <w:ind w:hanging="634"/>
              <w:rPr>
                <w:rFonts w:cs="Arial"/>
                <w:b w:val="0"/>
              </w:rPr>
            </w:pPr>
            <w:r w:rsidRPr="000E0039">
              <w:rPr>
                <w:rFonts w:cs="Arial"/>
                <w:b w:val="0"/>
                <w:color w:val="000000" w:themeColor="dark1"/>
                <w:kern w:val="24"/>
              </w:rPr>
              <w:t>Part A, MHB</w:t>
            </w:r>
          </w:p>
        </w:tc>
      </w:tr>
      <w:tr w:rsidR="005D0862" w14:paraId="788818DA" w14:textId="77777777" w:rsidTr="003C667C">
        <w:trPr>
          <w:jc w:val="center"/>
        </w:trPr>
        <w:tc>
          <w:tcPr>
            <w:tcW w:w="6115" w:type="dxa"/>
            <w:tcBorders>
              <w:top w:val="nil"/>
              <w:left w:val="nil"/>
              <w:bottom w:val="nil"/>
              <w:right w:val="nil"/>
            </w:tcBorders>
            <w:vAlign w:val="bottom"/>
          </w:tcPr>
          <w:p w14:paraId="1D9091C9" w14:textId="77777777" w:rsidR="005D0862" w:rsidRPr="000E0039" w:rsidRDefault="005D0862" w:rsidP="003C667C">
            <w:pPr>
              <w:pStyle w:val="Title"/>
              <w:spacing w:before="0" w:after="200" w:line="240" w:lineRule="auto"/>
              <w:ind w:left="0" w:firstLine="0"/>
              <w:jc w:val="both"/>
              <w:rPr>
                <w:rFonts w:cs="Arial"/>
                <w:b w:val="0"/>
              </w:rPr>
            </w:pPr>
            <w:r w:rsidRPr="000E0039">
              <w:rPr>
                <w:rFonts w:cs="Arial"/>
                <w:b w:val="0"/>
                <w:color w:val="000000" w:themeColor="dark1"/>
                <w:kern w:val="24"/>
              </w:rPr>
              <w:t xml:space="preserve">Medications for conditions </w:t>
            </w:r>
            <w:r w:rsidRPr="000E0039">
              <w:rPr>
                <w:rFonts w:cs="Arial"/>
                <w:b w:val="0"/>
                <w:color w:val="000000" w:themeColor="dark1"/>
                <w:kern w:val="24"/>
                <w:u w:val="single"/>
              </w:rPr>
              <w:t>unrelated</w:t>
            </w:r>
            <w:r w:rsidRPr="000E0039">
              <w:rPr>
                <w:rFonts w:cs="Arial"/>
                <w:b w:val="0"/>
                <w:color w:val="000000" w:themeColor="dark1"/>
                <w:kern w:val="24"/>
              </w:rPr>
              <w:t xml:space="preserve"> to terminal illness and related conditions</w:t>
            </w:r>
          </w:p>
        </w:tc>
        <w:tc>
          <w:tcPr>
            <w:tcW w:w="2430" w:type="dxa"/>
            <w:tcBorders>
              <w:top w:val="nil"/>
              <w:left w:val="nil"/>
              <w:bottom w:val="nil"/>
              <w:right w:val="nil"/>
            </w:tcBorders>
          </w:tcPr>
          <w:p w14:paraId="4E359453" w14:textId="77777777" w:rsidR="005D0862" w:rsidRPr="00D62772" w:rsidRDefault="005D0862" w:rsidP="003C667C">
            <w:pPr>
              <w:pStyle w:val="Title"/>
              <w:spacing w:before="0" w:after="200" w:line="240" w:lineRule="auto"/>
              <w:ind w:hanging="634"/>
              <w:rPr>
                <w:rFonts w:cs="Arial"/>
                <w:b w:val="0"/>
                <w:vertAlign w:val="superscript"/>
              </w:rPr>
            </w:pPr>
            <w:r w:rsidRPr="000E0039">
              <w:rPr>
                <w:rFonts w:cs="Arial"/>
                <w:b w:val="0"/>
                <w:color w:val="000000" w:themeColor="dark1"/>
                <w:kern w:val="24"/>
              </w:rPr>
              <w:t>Part D</w:t>
            </w:r>
            <w:r w:rsidR="00D62772">
              <w:rPr>
                <w:rFonts w:cs="Arial"/>
                <w:b w:val="0"/>
                <w:color w:val="000000" w:themeColor="dark1"/>
                <w:kern w:val="24"/>
                <w:vertAlign w:val="superscript"/>
              </w:rPr>
              <w:t>a</w:t>
            </w:r>
          </w:p>
        </w:tc>
      </w:tr>
      <w:tr w:rsidR="005D0862" w14:paraId="4A5A3ED5" w14:textId="77777777" w:rsidTr="003C667C">
        <w:trPr>
          <w:jc w:val="center"/>
        </w:trPr>
        <w:tc>
          <w:tcPr>
            <w:tcW w:w="6115" w:type="dxa"/>
            <w:tcBorders>
              <w:top w:val="nil"/>
              <w:left w:val="nil"/>
              <w:bottom w:val="nil"/>
              <w:right w:val="nil"/>
            </w:tcBorders>
            <w:vAlign w:val="bottom"/>
          </w:tcPr>
          <w:p w14:paraId="182E6832" w14:textId="77777777" w:rsidR="005D0862" w:rsidRPr="000E0039" w:rsidRDefault="005D0862" w:rsidP="003C667C">
            <w:pPr>
              <w:pStyle w:val="Title"/>
              <w:spacing w:before="0" w:after="200" w:line="240" w:lineRule="auto"/>
              <w:ind w:left="0" w:firstLine="0"/>
              <w:jc w:val="both"/>
              <w:rPr>
                <w:rFonts w:cs="Arial"/>
                <w:b w:val="0"/>
              </w:rPr>
            </w:pPr>
            <w:r w:rsidRPr="000E0039">
              <w:rPr>
                <w:rFonts w:cs="Arial"/>
                <w:b w:val="0"/>
                <w:color w:val="000000" w:themeColor="dark1"/>
                <w:kern w:val="24"/>
              </w:rPr>
              <w:t>Any treatment intended to cure the terminal illness and/or related conditions</w:t>
            </w:r>
          </w:p>
        </w:tc>
        <w:tc>
          <w:tcPr>
            <w:tcW w:w="2430" w:type="dxa"/>
            <w:tcBorders>
              <w:top w:val="nil"/>
              <w:left w:val="nil"/>
              <w:bottom w:val="nil"/>
              <w:right w:val="nil"/>
            </w:tcBorders>
          </w:tcPr>
          <w:p w14:paraId="47600986" w14:textId="77777777" w:rsidR="005D0862" w:rsidRPr="000E0039" w:rsidRDefault="005D0862" w:rsidP="003C667C">
            <w:pPr>
              <w:pStyle w:val="Title"/>
              <w:spacing w:before="0" w:after="200" w:line="240" w:lineRule="auto"/>
              <w:ind w:hanging="634"/>
              <w:rPr>
                <w:rFonts w:cs="Arial"/>
                <w:b w:val="0"/>
              </w:rPr>
            </w:pPr>
            <w:r w:rsidRPr="000E0039">
              <w:rPr>
                <w:rFonts w:cs="Arial"/>
                <w:b w:val="0"/>
                <w:color w:val="000000" w:themeColor="dark1"/>
                <w:kern w:val="24"/>
              </w:rPr>
              <w:t>None</w:t>
            </w:r>
          </w:p>
        </w:tc>
      </w:tr>
      <w:tr w:rsidR="005D0862" w14:paraId="66D273D1" w14:textId="77777777" w:rsidTr="003C667C">
        <w:trPr>
          <w:jc w:val="center"/>
        </w:trPr>
        <w:tc>
          <w:tcPr>
            <w:tcW w:w="6115" w:type="dxa"/>
            <w:tcBorders>
              <w:top w:val="nil"/>
              <w:left w:val="nil"/>
              <w:bottom w:val="nil"/>
              <w:right w:val="nil"/>
            </w:tcBorders>
            <w:vAlign w:val="bottom"/>
          </w:tcPr>
          <w:p w14:paraId="03295377" w14:textId="77777777" w:rsidR="005D0862" w:rsidRPr="000E0039" w:rsidRDefault="005D0862" w:rsidP="003C667C">
            <w:pPr>
              <w:pStyle w:val="Title"/>
              <w:spacing w:before="0" w:after="200" w:line="240" w:lineRule="auto"/>
              <w:ind w:left="0" w:firstLine="0"/>
              <w:jc w:val="both"/>
              <w:rPr>
                <w:rFonts w:cs="Arial"/>
                <w:b w:val="0"/>
              </w:rPr>
            </w:pPr>
            <w:r w:rsidRPr="000E0039">
              <w:rPr>
                <w:rFonts w:cs="Arial"/>
                <w:b w:val="0"/>
                <w:color w:val="000000" w:themeColor="dark1"/>
                <w:kern w:val="24"/>
              </w:rPr>
              <w:t>Room and board</w:t>
            </w:r>
          </w:p>
        </w:tc>
        <w:tc>
          <w:tcPr>
            <w:tcW w:w="2430" w:type="dxa"/>
            <w:tcBorders>
              <w:top w:val="nil"/>
              <w:left w:val="nil"/>
              <w:bottom w:val="nil"/>
              <w:right w:val="nil"/>
            </w:tcBorders>
          </w:tcPr>
          <w:p w14:paraId="6373A6CA" w14:textId="77777777" w:rsidR="005D0862" w:rsidRPr="00D62772" w:rsidRDefault="005D0862" w:rsidP="003C667C">
            <w:pPr>
              <w:pStyle w:val="Title"/>
              <w:spacing w:before="0" w:after="200" w:line="240" w:lineRule="auto"/>
              <w:ind w:hanging="634"/>
              <w:rPr>
                <w:rFonts w:cs="Arial"/>
                <w:b w:val="0"/>
                <w:vertAlign w:val="superscript"/>
              </w:rPr>
            </w:pPr>
            <w:r w:rsidRPr="000E0039">
              <w:rPr>
                <w:rFonts w:cs="Arial"/>
                <w:b w:val="0"/>
                <w:color w:val="000000" w:themeColor="dark1"/>
                <w:kern w:val="24"/>
              </w:rPr>
              <w:t>None</w:t>
            </w:r>
            <w:r w:rsidR="00D62772">
              <w:rPr>
                <w:rFonts w:cs="Arial"/>
                <w:b w:val="0"/>
                <w:color w:val="000000" w:themeColor="dark1"/>
                <w:kern w:val="24"/>
                <w:vertAlign w:val="superscript"/>
              </w:rPr>
              <w:t>b</w:t>
            </w:r>
          </w:p>
        </w:tc>
      </w:tr>
      <w:tr w:rsidR="005D0862" w14:paraId="504573FD" w14:textId="77777777" w:rsidTr="003C667C">
        <w:trPr>
          <w:jc w:val="center"/>
        </w:trPr>
        <w:tc>
          <w:tcPr>
            <w:tcW w:w="6115" w:type="dxa"/>
            <w:tcBorders>
              <w:top w:val="nil"/>
              <w:left w:val="nil"/>
              <w:bottom w:val="nil"/>
              <w:right w:val="nil"/>
            </w:tcBorders>
            <w:vAlign w:val="bottom"/>
          </w:tcPr>
          <w:p w14:paraId="32B20101" w14:textId="77777777" w:rsidR="005D0862" w:rsidRPr="000E0039" w:rsidRDefault="005D0862" w:rsidP="003C667C">
            <w:pPr>
              <w:pStyle w:val="Title"/>
              <w:spacing w:before="0" w:after="200" w:line="240" w:lineRule="auto"/>
              <w:ind w:left="0" w:firstLine="0"/>
              <w:jc w:val="both"/>
              <w:rPr>
                <w:rFonts w:cs="Arial"/>
                <w:b w:val="0"/>
              </w:rPr>
            </w:pPr>
            <w:r w:rsidRPr="000E0039">
              <w:rPr>
                <w:rFonts w:cs="Arial"/>
                <w:b w:val="0"/>
                <w:color w:val="000000" w:themeColor="dark1"/>
                <w:kern w:val="24"/>
              </w:rPr>
              <w:t>ER visits and hospitalizations for terminal illness and related conditions</w:t>
            </w:r>
          </w:p>
        </w:tc>
        <w:tc>
          <w:tcPr>
            <w:tcW w:w="2430" w:type="dxa"/>
            <w:tcBorders>
              <w:top w:val="nil"/>
              <w:left w:val="nil"/>
              <w:bottom w:val="nil"/>
              <w:right w:val="nil"/>
            </w:tcBorders>
          </w:tcPr>
          <w:p w14:paraId="71DD424D" w14:textId="77777777" w:rsidR="005D0862" w:rsidRPr="00D62772" w:rsidRDefault="005D0862" w:rsidP="003C667C">
            <w:pPr>
              <w:pStyle w:val="Title"/>
              <w:spacing w:before="0" w:after="200" w:line="240" w:lineRule="auto"/>
              <w:ind w:hanging="634"/>
              <w:rPr>
                <w:rFonts w:cs="Arial"/>
                <w:b w:val="0"/>
                <w:vertAlign w:val="superscript"/>
              </w:rPr>
            </w:pPr>
            <w:r w:rsidRPr="000E0039">
              <w:rPr>
                <w:rFonts w:cs="Arial"/>
                <w:b w:val="0"/>
                <w:color w:val="000000" w:themeColor="dark1"/>
                <w:kern w:val="24"/>
              </w:rPr>
              <w:t>None</w:t>
            </w:r>
            <w:r w:rsidR="00D62772">
              <w:rPr>
                <w:rFonts w:cs="Arial"/>
                <w:b w:val="0"/>
                <w:color w:val="000000" w:themeColor="dark1"/>
                <w:kern w:val="24"/>
                <w:vertAlign w:val="superscript"/>
              </w:rPr>
              <w:t>c</w:t>
            </w:r>
          </w:p>
        </w:tc>
      </w:tr>
      <w:tr w:rsidR="005D0862" w14:paraId="69C5B692" w14:textId="77777777" w:rsidTr="003C667C">
        <w:trPr>
          <w:jc w:val="center"/>
        </w:trPr>
        <w:tc>
          <w:tcPr>
            <w:tcW w:w="6115" w:type="dxa"/>
            <w:tcBorders>
              <w:top w:val="nil"/>
              <w:left w:val="nil"/>
              <w:right w:val="nil"/>
            </w:tcBorders>
            <w:vAlign w:val="bottom"/>
          </w:tcPr>
          <w:p w14:paraId="137FA008" w14:textId="77777777" w:rsidR="005D0862" w:rsidRPr="000E0039" w:rsidRDefault="005D0862" w:rsidP="003C667C">
            <w:pPr>
              <w:pStyle w:val="Title"/>
              <w:spacing w:before="0" w:after="200" w:line="240" w:lineRule="auto"/>
              <w:ind w:left="0" w:firstLine="0"/>
              <w:jc w:val="both"/>
              <w:rPr>
                <w:rFonts w:cs="Arial"/>
                <w:b w:val="0"/>
              </w:rPr>
            </w:pPr>
            <w:r w:rsidRPr="000E0039">
              <w:rPr>
                <w:rFonts w:cs="Arial"/>
                <w:b w:val="0"/>
                <w:color w:val="000000" w:themeColor="dark1"/>
                <w:kern w:val="24"/>
              </w:rPr>
              <w:t xml:space="preserve">ER visits and hospitalizations </w:t>
            </w:r>
            <w:r w:rsidRPr="000E0039">
              <w:rPr>
                <w:rFonts w:cs="Arial"/>
                <w:b w:val="0"/>
                <w:color w:val="000000" w:themeColor="dark1"/>
                <w:kern w:val="24"/>
                <w:u w:val="single"/>
              </w:rPr>
              <w:t>unrelated</w:t>
            </w:r>
            <w:r w:rsidRPr="000E0039">
              <w:rPr>
                <w:rFonts w:cs="Arial"/>
                <w:b w:val="0"/>
                <w:color w:val="000000" w:themeColor="dark1"/>
                <w:kern w:val="24"/>
              </w:rPr>
              <w:t xml:space="preserve"> to terminal illness and related conditions</w:t>
            </w:r>
          </w:p>
        </w:tc>
        <w:tc>
          <w:tcPr>
            <w:tcW w:w="2430" w:type="dxa"/>
            <w:tcBorders>
              <w:top w:val="nil"/>
              <w:left w:val="nil"/>
              <w:right w:val="nil"/>
            </w:tcBorders>
          </w:tcPr>
          <w:p w14:paraId="222B14B2" w14:textId="77777777" w:rsidR="005D0862" w:rsidRPr="000E0039" w:rsidRDefault="005D0862" w:rsidP="003C667C">
            <w:pPr>
              <w:pStyle w:val="Title"/>
              <w:spacing w:before="0" w:after="200" w:line="240" w:lineRule="auto"/>
              <w:ind w:hanging="634"/>
              <w:rPr>
                <w:rFonts w:cs="Arial"/>
                <w:b w:val="0"/>
              </w:rPr>
            </w:pPr>
            <w:r w:rsidRPr="000E0039">
              <w:rPr>
                <w:rFonts w:cs="Arial"/>
                <w:b w:val="0"/>
                <w:color w:val="000000" w:themeColor="dark1"/>
                <w:kern w:val="24"/>
              </w:rPr>
              <w:t>Part A, non-MHB</w:t>
            </w:r>
          </w:p>
        </w:tc>
      </w:tr>
    </w:tbl>
    <w:p w14:paraId="60F9EAEF" w14:textId="12C3AA32" w:rsidR="000E0039" w:rsidRPr="00D62772" w:rsidRDefault="00D62772" w:rsidP="000E0039">
      <w:pPr>
        <w:spacing w:after="0" w:line="240" w:lineRule="auto"/>
        <w:ind w:left="360"/>
        <w:rPr>
          <w:sz w:val="20"/>
        </w:rPr>
      </w:pPr>
      <w:r w:rsidRPr="00D62772">
        <w:rPr>
          <w:sz w:val="20"/>
          <w:vertAlign w:val="superscript"/>
        </w:rPr>
        <w:t>a</w:t>
      </w:r>
      <w:r w:rsidR="000E0039" w:rsidRPr="00D62772">
        <w:rPr>
          <w:sz w:val="20"/>
        </w:rPr>
        <w:t>If patient has active Part D coverage</w:t>
      </w:r>
      <w:r w:rsidR="008816EF">
        <w:rPr>
          <w:sz w:val="20"/>
        </w:rPr>
        <w:t>.</w:t>
      </w:r>
    </w:p>
    <w:p w14:paraId="6EB6C23D" w14:textId="77650C23" w:rsidR="000E0039" w:rsidRPr="00D62772" w:rsidRDefault="00D62772" w:rsidP="000E0039">
      <w:pPr>
        <w:spacing w:after="0" w:line="240" w:lineRule="auto"/>
        <w:ind w:left="360"/>
        <w:rPr>
          <w:sz w:val="20"/>
        </w:rPr>
      </w:pPr>
      <w:r w:rsidRPr="00D62772">
        <w:rPr>
          <w:sz w:val="20"/>
          <w:vertAlign w:val="superscript"/>
        </w:rPr>
        <w:t>b</w:t>
      </w:r>
      <w:r w:rsidR="000E0039" w:rsidRPr="00D62772">
        <w:rPr>
          <w:sz w:val="20"/>
        </w:rPr>
        <w:t>Except short-term inpatient or respite care arranged by the hospice team</w:t>
      </w:r>
      <w:r w:rsidR="008816EF">
        <w:rPr>
          <w:sz w:val="20"/>
        </w:rPr>
        <w:t>.</w:t>
      </w:r>
    </w:p>
    <w:p w14:paraId="7446A22E" w14:textId="7A8FA1F5" w:rsidR="000E0039" w:rsidRPr="00D62772" w:rsidRDefault="00D62772" w:rsidP="000E0039">
      <w:pPr>
        <w:spacing w:after="0" w:line="240" w:lineRule="auto"/>
        <w:ind w:left="360"/>
        <w:rPr>
          <w:sz w:val="20"/>
        </w:rPr>
      </w:pPr>
      <w:r w:rsidRPr="00D62772">
        <w:rPr>
          <w:sz w:val="20"/>
          <w:vertAlign w:val="superscript"/>
        </w:rPr>
        <w:t>c</w:t>
      </w:r>
      <w:r w:rsidR="000E0039" w:rsidRPr="00D62772">
        <w:rPr>
          <w:sz w:val="20"/>
        </w:rPr>
        <w:t>Unless arranged by the hospice team</w:t>
      </w:r>
      <w:r w:rsidR="008816EF">
        <w:rPr>
          <w:sz w:val="20"/>
        </w:rPr>
        <w:t>.</w:t>
      </w:r>
    </w:p>
    <w:p w14:paraId="3E6F3BCA" w14:textId="77777777" w:rsidR="003C667C" w:rsidRDefault="003C667C" w:rsidP="003C667C"/>
    <w:p w14:paraId="34A16522" w14:textId="3ECEC532" w:rsidR="002116F6" w:rsidRPr="002116F6" w:rsidRDefault="002116F6" w:rsidP="006619A4">
      <w:pPr>
        <w:ind w:firstLine="720"/>
      </w:pPr>
      <w:r w:rsidRPr="002116F6">
        <w:lastRenderedPageBreak/>
        <w:t>Patients meeting hospice eligibility requirements receive hospice care in defined benefit periods, starting with two 90-day benefit periods followed by an unlimited number of 60-day benefit periods.</w:t>
      </w:r>
      <w:r w:rsidRPr="002116F6">
        <w:fldChar w:fldCharType="begin"/>
      </w:r>
      <w:r w:rsidR="00AB0F6E">
        <w:instrText xml:space="preserve"> ADDIN ZOTERO_ITEM CSL_CITATION {"citationID":"172rbms830","properties":{"formattedCitation":"\\super 5\\nosupersub{}","plainCitation":"5","noteIndex":0},"citationItems":[{"id":3275,"uris":["http://zotero.org/users/2597747/items/553E3ZIJ"],"uri":["http://zotero.org/users/2597747/items/553E3ZIJ"],"itemData":{"id":3275,"type":"report","title":"Hospice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Pr="002116F6">
        <w:fldChar w:fldCharType="separate"/>
      </w:r>
      <w:r w:rsidR="00B55AC2" w:rsidRPr="00B55AC2">
        <w:rPr>
          <w:rFonts w:cs="Arial"/>
          <w:szCs w:val="24"/>
          <w:vertAlign w:val="superscript"/>
        </w:rPr>
        <w:t>5</w:t>
      </w:r>
      <w:r w:rsidRPr="002116F6">
        <w:fldChar w:fldCharType="end"/>
      </w:r>
      <w:r w:rsidRPr="002116F6">
        <w:t xml:space="preserve"> There is no limit on hospice length of stay; however, a hospice physician must recertify that the patient is terminally ill with a life expectancy of less than 6 months at the beginning of each benefit period.</w:t>
      </w:r>
      <w:r w:rsidRPr="002116F6">
        <w:fldChar w:fldCharType="begin"/>
      </w:r>
      <w:r w:rsidR="00AB0F6E">
        <w:instrText xml:space="preserve"> ADDIN ZOTERO_ITEM CSL_CITATION {"citationID":"1fcq3934s6","properties":{"formattedCitation":"\\super 5\\nosupersub{}","plainCitation":"5","noteIndex":0},"citationItems":[{"id":3275,"uris":["http://zotero.org/users/2597747/items/553E3ZIJ"],"uri":["http://zotero.org/users/2597747/items/553E3ZIJ"],"itemData":{"id":3275,"type":"report","title":"Hospice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Pr="002116F6">
        <w:fldChar w:fldCharType="separate"/>
      </w:r>
      <w:r w:rsidR="00B55AC2" w:rsidRPr="00B55AC2">
        <w:rPr>
          <w:rFonts w:cs="Arial"/>
          <w:szCs w:val="24"/>
          <w:vertAlign w:val="superscript"/>
        </w:rPr>
        <w:t>5</w:t>
      </w:r>
      <w:r w:rsidRPr="002116F6">
        <w:fldChar w:fldCharType="end"/>
      </w:r>
      <w:r w:rsidRPr="002116F6">
        <w:t xml:space="preserve"> Patients are free to disenroll from hospice care at any time for any reason, and they may choose to reenroll in hospice as long as Medicare’s hospice eligibility criteria are still met. During any period of disenrollment, patients will receive care under their previous Medicare </w:t>
      </w:r>
      <w:r w:rsidR="00D44C3D">
        <w:t>benefit</w:t>
      </w:r>
      <w:r w:rsidRPr="002116F6">
        <w:t xml:space="preserve"> provided that any applicable premiums are paid. </w:t>
      </w:r>
    </w:p>
    <w:p w14:paraId="2EB1A969" w14:textId="63B8A9AC" w:rsidR="002116F6" w:rsidRDefault="002116F6" w:rsidP="006619A4">
      <w:pPr>
        <w:ind w:firstLine="720"/>
      </w:pPr>
      <w:r w:rsidRPr="002116F6">
        <w:t xml:space="preserve">As shown in </w:t>
      </w:r>
      <w:r>
        <w:rPr>
          <w:b/>
        </w:rPr>
        <w:t>TABLE II</w:t>
      </w:r>
      <w:r w:rsidRPr="002116F6">
        <w:t xml:space="preserve"> above, Medicare regulations stipulate that medications intended for the palliation of the patient’s terminal illness and any related conditions must be provided by hospice as part of the Part A MHB. Common medications provided by hospice include those for pain, anxiety, depression, anorexia, nausea and vomiting, constipation, diarrhea, fatigue, dyspnea, respiratory secretions, insomnia and delirium.</w:t>
      </w:r>
      <w:r w:rsidRPr="002116F6">
        <w:fldChar w:fldCharType="begin"/>
      </w:r>
      <w:r w:rsidR="008A1035">
        <w:instrText xml:space="preserve"> ADDIN ZOTERO_ITEM CSL_CITATION {"citationID":"qb1jc7a8l","properties":{"formattedCitation":"\\super 18,19\\nosupersub{}","plainCitation":"18,19","noteIndex":0},"citationItems":[{"id":2295,"uris":["http://zotero.org/users/2597747/items/N9WMEV7R"],"uri":["http://zotero.org/users/2597747/items/N9WMEV7R"],"itemData":{"id":2295,"type":"article-journal","title":"Age and gender differences in symptom intensity and symptom clusters among patients with metastatic cancer","container-title":"Supportive Care in Cancer","page":"417-423","volume":"19","issue":"3","source":"link.springer.com","abstract":"BackgroundFew studies have explored demographic variations in symptom patterns. Our goals were to examine age and gender differences in symptom intensity and symptom clusters among outpatients with advanced cancer.MethodsSymptom scores by the Edmonton Symptom Assessment System (ESAS) were collected for patients attending the Oncology Palliative Care Clinics at Princess Margaret Hospital from 2005 to 2007. Symptom intensity was compared between individuals aged ≤60 and &gt;60 years and between males and females. Principal component analysis (PCA) was performed to determine inter-relationships of the nine ESAS symptoms and to compare symptom clusters within age and gender subgroups.ResultsFrom a total of 1,358 patients, 49.8% were male and 50.2% were female. The median age was 64 (range 19 to 99): 39.6% were ≤60 and 60.4% were &gt;60. The most common primary cancer sites were gastrointestinal (27%), lung (15%), and breast (11%). Younger patients reported worse pain (4.9 vs. 4.5, p = 0.02) and better appetite (4.7 vs. 5.3, p = 0.002) than older patients. Females reported poorer scores than males for nausea (2.6 vs. 2.2, p = 0.02). Analyses of symptom clusters revealed that fatigue and drowsiness were included in the cluster of pain, nausea, and appetite in younger but not older patients. In men, pain clustered together with depression and anxiety; for women, physical and psychological symptoms formed separate clusters.ConclusionsIn patients with advanced cancers, symptom patterns differ according to age and gender. Palliative interventions tailored for symptoms that are more prominent in specific patient subgroups may offer greater therapeutic benefit.","DOI":"10.1007/s00520-010-0865-2","ISSN":"0941-4355, 1433-7339","journalAbbreviation":"Support Care Cancer","language":"en","author":[{"family":"Cheung","given":"Winson Y."},{"family":"Le","given":"Lisa W."},{"family":"Gagliese","given":"Lucia"},{"family":"Zimmermann","given":"Camilla"}],"issued":{"date-parts":[["2010",3,24]]}}},{"id":943,"uris":["http://zotero.org/users/2597747/items/N5SCQKIT"],"uri":["http://zotero.org/users/2597747/items/N5SCQKIT"],"itemData":{"id":943,"type":"article-journal","title":"International Association for Hospice and Palliative Care list of essential medicines for palliative care","container-title":"Annals of Oncology","page":"395-399","volume":"18","issue":"2","source":"annonc.oxfordjournals.org.proxy.cc.uic.edu","DOI":"10.1093/annonc/mdl373","ISSN":"0923-7534, 1569-8041","note":"PMID: 17071936","journalAbbreviation":"Ann Oncol","language":"en","author":[{"family":"Lima","given":"L. De"}],"issued":{"date-parts":[["2007",2,1]]}}}],"schema":"https://github.com/citation-style-language/schema/raw/master/csl-citation.json"} </w:instrText>
      </w:r>
      <w:r w:rsidRPr="002116F6">
        <w:fldChar w:fldCharType="separate"/>
      </w:r>
      <w:r w:rsidR="00B55AC2" w:rsidRPr="00B55AC2">
        <w:rPr>
          <w:rFonts w:cs="Arial"/>
          <w:szCs w:val="24"/>
          <w:vertAlign w:val="superscript"/>
        </w:rPr>
        <w:t>18,19</w:t>
      </w:r>
      <w:r w:rsidRPr="002116F6">
        <w:fldChar w:fldCharType="end"/>
      </w:r>
      <w:r w:rsidRPr="002116F6">
        <w:t xml:space="preserve"> Specific medications considered essential in palliative care by the International Association for Hospice and Palliative Care</w:t>
      </w:r>
      <w:r>
        <w:t xml:space="preserve"> (IAHPC)</w:t>
      </w:r>
      <w:r w:rsidRPr="002116F6">
        <w:t xml:space="preserve"> are listed in</w:t>
      </w:r>
      <w:r>
        <w:t xml:space="preserve"> </w:t>
      </w:r>
      <w:r>
        <w:rPr>
          <w:b/>
        </w:rPr>
        <w:t>TABLE III</w:t>
      </w:r>
      <w:r w:rsidR="00184952">
        <w:rPr>
          <w:b/>
        </w:rPr>
        <w:t xml:space="preserve"> </w:t>
      </w:r>
      <w:r w:rsidR="00184952">
        <w:t>along with their palliative indications</w:t>
      </w:r>
      <w:r w:rsidRPr="002116F6">
        <w:t>.</w:t>
      </w:r>
      <w:r w:rsidR="007438F8">
        <w:fldChar w:fldCharType="begin"/>
      </w:r>
      <w:r w:rsidR="008A1035">
        <w:instrText xml:space="preserve"> ADDIN ZOTERO_ITEM CSL_CITATION {"citationID":"ahco76d6lh","properties":{"formattedCitation":"\\super 20\\nosupersub{}","plainCitation":"20","noteIndex":0},"citationItems":[{"id":4189,"uris":["http://zotero.org/users/2597747/items/HB5PPRYB"],"uri":["http://zotero.org/users/2597747/items/HB5PPRYB"],"itemData":{"id":4189,"type":"article-journal","title":"Key concepts in palliative care: the IAHPC list of essential medicines in palliative care","container-title":"European Journal of Hospital Pharmacy: Science and Practice","page":"34-37","volume":"19","issue":"1","source":"ejhp.bmj.com","abstract":"Background This paper describes the process of developing a list of essential medicines in palliative care based on a consensus of experts.\nMethod Phase I: guiding principles and identifying the most prevalent symptoms in palliative care. Phase II: identifying the medications used to treat the symptoms, developing an initial list of medicines with a survey of 40 physicians, and implementing a Delphi survey. 112 physicians and pharmacologists were invited to rate the safety and efficacy of each medication. Phase III: representatives of 28 pain and palliative care organisations were invited to a meeting. 26 accepted (93% RR). Participants were split into groups and received the results of the Delphi survey. Groups were instructed to base the discussions on medications for which at least 50% of the respondents rated both safe and effective (score of 7 or above).\nResults 21 symptoms were identified as the most common in palliative care. 120 medications were recommended to treat these symptoms. 71 participants (63% RR) responded to the Delphi survey. A final list with 33 medications was approved as the International Association for Hospice and Palliative Care (IAHPC) essential medicines list for palliative care. There was no consensus among respondents in recommending medications as safe and effective for bone pain, dry mouth, sweating, fatigue or hiccups.\nConclusion Additional research is needed to identify safe and effective medications to treat these symptoms. The IAHPC will soon be implementing a project to update the list of essential medicines in palliative care to reflect these new findings.","DOI":"10.1136/ejhpharm-2011-000044","ISSN":"2047-9956, 2047-9964","shortTitle":"Key concepts in palliative care","language":"en","author":[{"family":"Lima","given":"Liliana De"}],"issued":{"date-parts":[["2012",2,1]]}}}],"schema":"https://github.com/citation-style-language/schema/raw/master/csl-citation.json"} </w:instrText>
      </w:r>
      <w:r w:rsidR="007438F8">
        <w:fldChar w:fldCharType="separate"/>
      </w:r>
      <w:r w:rsidR="00B55AC2" w:rsidRPr="00B55AC2">
        <w:rPr>
          <w:rFonts w:cs="Arial"/>
          <w:szCs w:val="24"/>
          <w:vertAlign w:val="superscript"/>
        </w:rPr>
        <w:t>20</w:t>
      </w:r>
      <w:r w:rsidR="007438F8">
        <w:fldChar w:fldCharType="end"/>
      </w:r>
      <w:r w:rsidRPr="002116F6">
        <w:t xml:space="preserve"> Medications for conditions completely unrelated to the patient’s terminal illness (e.g., longstanding chronic conditions) may still be covered by Medicare, but under Medicare Part D as opposed to the MHB. Though CMS has stated in guidance </w:t>
      </w:r>
      <w:r w:rsidR="00D44C3D">
        <w:t xml:space="preserve">released in 2013 </w:t>
      </w:r>
      <w:r w:rsidRPr="002116F6">
        <w:t xml:space="preserve">that payment for medications under Part D for Medicare beneficiaries covered by the MHB </w:t>
      </w:r>
      <w:r w:rsidR="00D44C3D">
        <w:t xml:space="preserve">should </w:t>
      </w:r>
      <w:r w:rsidRPr="002116F6">
        <w:t xml:space="preserve">be exceedingly rare, recent studies have shown </w:t>
      </w:r>
      <w:r w:rsidR="00D44C3D">
        <w:t>that use of medications</w:t>
      </w:r>
      <w:r w:rsidRPr="002116F6">
        <w:t xml:space="preserve"> for unrelated conditions </w:t>
      </w:r>
      <w:r w:rsidR="00D44C3D">
        <w:t>is common in the hospice population</w:t>
      </w:r>
      <w:r w:rsidRPr="002116F6">
        <w:t>.</w:t>
      </w:r>
      <w:r w:rsidRPr="002116F6">
        <w:fldChar w:fldCharType="begin"/>
      </w:r>
      <w:r w:rsidR="008A1035">
        <w:instrText xml:space="preserve"> ADDIN ZOTERO_ITEM CSL_CITATION {"citationID":"ND3nkhNc","properties":{"formattedCitation":"\\super 17,21\\uc0\\u8211{}23\\nosupersub{}","plainCitation":"17,21–23","noteIndex":0},"citationItems":[{"id":351,"uris":["http://zotero.org/users/2597747/items/8326S43N"],"uri":["http://zotero.org/users/2597747/items/8326S43N"],"itemData":{"id":351,"type":"article-journal","title":"Medications That Older Adults in Hospice Care in the United States Take, 2007","container-title":"Journal of the American Geriatrics Society","page":"2282-2289","volume":"63","issue":"11","source":"Wiley Online Library","abstract":"Objectives\n\nTo describe medications that older adults in hospice with cancer, dementia, debility, heart disease, and lung disease take during the last week of life.\n\n\nDesign\n\nRetrospective cross-sectional study.\n\n\nSetting\n\nNationally representative sample of 695 U.S. hospices in the 2007 National Home and Hospice Care Survey.\n\n\nParticipants\n\nIndividuals aged 65 and older with a primary diagnosis of cancer (49%), dementia (12%), debility (14%), heart disease (16%), or lung disease (10%) who received end-of-life care during their last week of life (N = 2,623).\n\n\nMeasurements\n\nMedication data were obtained from hospice staff, who were asked, “What are the names of all the medications and drugs the patient was taking 7 days prior to and on the day of his or her death while in hospice? Please include any standing, routine, or PRN medications.”\n\n\nResults\n\nThe unweighted survey response rate was 71%. The average number of medications taken was 10.2. The most common therapeutic classes were analgesics (98%); antiemetic and antivertigo medications (78%); anxiolytics, sedatives, and hypnotics (76%); anticonvulsants (71%); and laxatives (53%). Approximately one-quarter of the individuals took proton pump inhibitors, anticoagulants, and antidepressants, and fewer than 20% took antacids and antibiotics. A smaller percentage of individuals with dementia and debility than of those with cancer took opioid analgesics. Individuals with heart disease were more likely than individuals in the other clinical cohorts to take diuretics, and those with lung disease were more likely than those in the other clinical cohorts to take bronchodilators. A higher percentage of individuals with dementia and with debility than with cancer and lung disease took antidepressants.\n\n\nConclusion\n\nPeople continue to receive disease-focused therapies at the end of life rather than therapies exclusively for palliation of symptoms, suggesting that treatments may vary according to the person's primary diagnosis.","DOI":"10.1111/jgs.13795","ISSN":"1532-5415","journalAbbreviation":"J Am Geriatr Soc","language":"en","author":[{"family":"Dwyer","given":"Lisa L."},{"family":"Lau","given":"Denys T."},{"family":"Shega","given":"Joseph W."}],"issued":{"date-parts":[["2015",11,1]]}}},{"id":253,"uris":["http://zotero.org/users/2597747/items/D5ZTTA6H"],"uri":["http://zotero.org/users/2597747/items/D5ZTTA6H"],"itemData":{"id":253,"type":"article-journal","title":"Prescribing practices in hospice patients with adult failure to thrive or debility","container-title":"Progress in palliative care","page":"69-74","volume":"22","issue":"2","source":"PubMed Central","abstract":"Objectives\nDespite being a common admitting diagnosis, there is very little published literature on medication management in hospice patients admitted with a diagnosis of failure to thrive or debility. The purpose of this study was to describe medication prescribing practices in hospice patients with either of these primary diagnoses by characterizing prescribed medications by name and by pharmaceutical class, and determining whether the patient or the hospice organization provided each medication.\n\nMethods\nA retrospective review of a patient information database compiled by a national hospice organization was conducted. Patients were included in this retrospective study if they were admitted to hospice care with a primary diagnosis of failure to thrive or debility, and if they were admitted on or after 1 January 2010, and discharged by death on or before 31 December 2010.\n\nResults\nOverall 293 patients and 6181 medication entries were evaluated. The most commonly prescribed drugs were acetaminophen, lorazepam, morphine, atropine, prochlorperazine, haloperidol, docusate, aspirin, and bisacodyl. The most commonly prescribed pharmacological classes were opioid and non-opioid analgesics, anxiolytics, anticholinergics, antihypertensives, laxatives, antidepressants, and supplements. The hospice organization provided over 90% of prescriptions for analgesics, antipsychotics, anticholinergics, and anxiolytics, and these medications were discontinued before death in less than 5% of patients.\n\nConclusion\nRecognized clinical components of failure to thrive syndrome include cognitive impairment, malnutrition, and depression. The hospice organization provided 80% of antidepressants, but infrequently provided appetite stimulants and drugs treating dementia. The most commonly provided drugs were those used for symptoms associated with most end-stage diseases.","DOI":"10.1179/1743291X13Y.0000000068","ISSN":"0969-9260","note":"PMID: 24904199\nPMCID: PMC4041741","journalAbbreviation":"Prog Palliat Care","author":[{"family":"Sera","given":"Leah"},{"family":"Holmes","given":"Holly M."},{"family":"McPherson","given":"Mary Lynn"}],"issued":{"date-parts":[["2014",4,1]]}}},{"id":241,"uris":["http://zotero.org/users/2597747/items/J8JVATI3"],"uri":["http://zotero.org/users/2597747/items/J8JVATI3"],"itemData":{"id":241,"type":"article-journal","title":"Commonly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M."}],"issued":{"date-parts":[["2014",3]]}}},{"id":3281,"uris":["http://zotero.org/users/2597747/items/QXQK3EQW"],"uri":["http://zotero.org/users/2597747/items/QXQK3EQW"],"itemData":{"id":3281,"type":"report","title":"Part D Payment for Drugs for Beneficiaries Enrolled in Hospice—Request for Comments [Memorandum]","publisher":"Centers for Medicare and Medicaid Services","publisher-place":"Baltimore, MD","event-place":"Baltimore, MD","author":[{"family":"Tudor","given":"CG"},{"family":"Wilson","given":"L"},{"family":"Majestic","given":"M"}],"issued":{"date-parts":[["2013",12,6]]}}}],"schema":"https://github.com/citation-style-language/schema/raw/master/csl-citation.json"} </w:instrText>
      </w:r>
      <w:r w:rsidRPr="002116F6">
        <w:fldChar w:fldCharType="separate"/>
      </w:r>
      <w:r w:rsidR="00B55AC2" w:rsidRPr="00B55AC2">
        <w:rPr>
          <w:rFonts w:cs="Arial"/>
          <w:szCs w:val="24"/>
          <w:vertAlign w:val="superscript"/>
        </w:rPr>
        <w:t>17,21–23</w:t>
      </w:r>
      <w:r w:rsidRPr="002116F6">
        <w:fldChar w:fldCharType="end"/>
      </w:r>
      <w:r w:rsidRPr="002116F6">
        <w:t xml:space="preserve"> In 2012, Medicare payments under Part D for patients currently enrolled in hospice totaled $340 million.</w:t>
      </w:r>
      <w:r w:rsidRPr="002116F6">
        <w:fldChar w:fldCharType="begin"/>
      </w:r>
      <w:r w:rsidR="00AB0F6E">
        <w:instrText xml:space="preserve"> ADDIN ZOTERO_ITEM CSL_CITATION {"citationID":"14hv698o2f","properties":{"formattedCitation":"\\super 5\\nosupersub{}","plainCitation":"5","noteIndex":0},"citationItems":[{"id":3275,"uris":["http://zotero.org/users/2597747/items/553E3ZIJ"],"uri":["http://zotero.org/users/2597747/items/553E3ZIJ"],"itemData":{"id":3275,"type":"report","title":"Hospice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Pr="002116F6">
        <w:fldChar w:fldCharType="separate"/>
      </w:r>
      <w:r w:rsidR="00B55AC2" w:rsidRPr="00B55AC2">
        <w:rPr>
          <w:rFonts w:cs="Arial"/>
          <w:szCs w:val="24"/>
          <w:vertAlign w:val="superscript"/>
        </w:rPr>
        <w:t>5</w:t>
      </w:r>
      <w:r w:rsidRPr="002116F6">
        <w:fldChar w:fldCharType="end"/>
      </w:r>
    </w:p>
    <w:p w14:paraId="76A3D975" w14:textId="77777777" w:rsidR="00441F74" w:rsidRDefault="00441F74" w:rsidP="002116F6">
      <w:pPr>
        <w:ind w:firstLine="360"/>
      </w:pPr>
    </w:p>
    <w:p w14:paraId="06DA5AB7" w14:textId="77777777" w:rsidR="00441F74" w:rsidRDefault="00441F74" w:rsidP="002116F6">
      <w:pPr>
        <w:ind w:firstLine="360"/>
      </w:pPr>
    </w:p>
    <w:p w14:paraId="0B261ED0" w14:textId="77777777" w:rsidR="00AB5A76" w:rsidRDefault="00AB5A76" w:rsidP="001F0C79">
      <w:pPr>
        <w:spacing w:after="0" w:line="240" w:lineRule="auto"/>
        <w:rPr>
          <w:b/>
        </w:rPr>
      </w:pPr>
      <w:bookmarkStart w:id="47" w:name="_Toc506108609"/>
      <w:bookmarkStart w:id="48" w:name="_Toc506920257"/>
    </w:p>
    <w:p w14:paraId="5078B65A" w14:textId="77777777" w:rsidR="00AB5A76" w:rsidRDefault="00AB5A76" w:rsidP="00B609D9">
      <w:pPr>
        <w:spacing w:after="0" w:line="240" w:lineRule="auto"/>
        <w:ind w:left="1350" w:hanging="1350"/>
        <w:jc w:val="center"/>
        <w:rPr>
          <w:b/>
        </w:rPr>
      </w:pPr>
    </w:p>
    <w:p w14:paraId="70BCF5BC" w14:textId="5A7B795D" w:rsidR="002116F6" w:rsidRPr="00275977" w:rsidRDefault="002116F6" w:rsidP="00B609D9">
      <w:pPr>
        <w:spacing w:after="0" w:line="240" w:lineRule="auto"/>
        <w:ind w:left="1350" w:hanging="1350"/>
        <w:jc w:val="center"/>
        <w:rPr>
          <w:b/>
        </w:rPr>
      </w:pPr>
      <w:r w:rsidRPr="00275977">
        <w:rPr>
          <w:b/>
        </w:rPr>
        <w:t xml:space="preserve">TABLE </w:t>
      </w:r>
      <w:bookmarkEnd w:id="47"/>
      <w:bookmarkEnd w:id="48"/>
      <w:r w:rsidR="00275977" w:rsidRPr="00275977">
        <w:rPr>
          <w:b/>
        </w:rPr>
        <w:t>III</w:t>
      </w:r>
    </w:p>
    <w:p w14:paraId="419CA23B" w14:textId="77777777" w:rsidR="00946EAB" w:rsidRPr="00946EAB" w:rsidRDefault="00946EAB" w:rsidP="00B609D9">
      <w:pPr>
        <w:spacing w:after="0" w:line="240" w:lineRule="auto"/>
        <w:ind w:left="1350" w:hanging="90"/>
        <w:jc w:val="center"/>
        <w:rPr>
          <w:b/>
        </w:rPr>
      </w:pPr>
    </w:p>
    <w:p w14:paraId="1C2C3046" w14:textId="690A0B6D" w:rsidR="002116F6" w:rsidRPr="007438F8" w:rsidRDefault="00B609D9" w:rsidP="00B609D9">
      <w:pPr>
        <w:pStyle w:val="Caption"/>
        <w:tabs>
          <w:tab w:val="left" w:pos="1350"/>
        </w:tabs>
        <w:ind w:left="1350" w:right="1260" w:hanging="90"/>
      </w:pPr>
      <w:bookmarkStart w:id="49" w:name="_Toc507327152"/>
      <w:bookmarkStart w:id="50" w:name="_Toc507329272"/>
      <w:r w:rsidRPr="00FF17A2">
        <w:t>IAHPC LIST OF ESSENTIAL MEDICATIONS AND INDICATIONS FOR PALLIATIVE CARE</w:t>
      </w:r>
      <w:bookmarkEnd w:id="49"/>
      <w:bookmarkEnd w:id="50"/>
      <w:r w:rsidR="00015753" w:rsidRPr="00015753">
        <w:rPr>
          <w:rFonts w:cs="Arial"/>
          <w:b/>
          <w:caps w:val="0"/>
          <w:color w:val="000000"/>
          <w:vertAlign w:val="superscript"/>
        </w:rPr>
        <w:t>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5405"/>
      </w:tblGrid>
      <w:tr w:rsidR="002116F6" w14:paraId="611DB69A" w14:textId="77777777" w:rsidTr="001E4557">
        <w:trPr>
          <w:jc w:val="center"/>
        </w:trPr>
        <w:tc>
          <w:tcPr>
            <w:tcW w:w="2605" w:type="dxa"/>
            <w:tcBorders>
              <w:top w:val="single" w:sz="4" w:space="0" w:color="auto"/>
              <w:bottom w:val="single" w:sz="4" w:space="0" w:color="auto"/>
            </w:tcBorders>
          </w:tcPr>
          <w:p w14:paraId="6644B463" w14:textId="77777777" w:rsidR="002116F6" w:rsidRPr="002116F6" w:rsidRDefault="002116F6" w:rsidP="002116F6">
            <w:pPr>
              <w:pStyle w:val="Title"/>
              <w:spacing w:before="0" w:after="0" w:line="240" w:lineRule="auto"/>
              <w:ind w:left="0" w:firstLine="0"/>
              <w:jc w:val="left"/>
              <w:rPr>
                <w:rFonts w:cs="Arial"/>
              </w:rPr>
            </w:pPr>
            <w:r w:rsidRPr="002116F6">
              <w:rPr>
                <w:rFonts w:cs="Arial"/>
              </w:rPr>
              <w:t>Medication</w:t>
            </w:r>
          </w:p>
        </w:tc>
        <w:tc>
          <w:tcPr>
            <w:tcW w:w="5405" w:type="dxa"/>
            <w:tcBorders>
              <w:top w:val="single" w:sz="4" w:space="0" w:color="auto"/>
              <w:bottom w:val="single" w:sz="4" w:space="0" w:color="auto"/>
            </w:tcBorders>
          </w:tcPr>
          <w:p w14:paraId="74C91453" w14:textId="4CE0E0DB" w:rsidR="002116F6" w:rsidRPr="002116F6" w:rsidRDefault="00015753" w:rsidP="001E4557">
            <w:pPr>
              <w:pStyle w:val="Title"/>
              <w:spacing w:before="0" w:after="0" w:line="240" w:lineRule="auto"/>
              <w:ind w:left="0" w:firstLine="0"/>
              <w:jc w:val="left"/>
              <w:rPr>
                <w:rFonts w:cs="Arial"/>
              </w:rPr>
            </w:pPr>
            <w:r>
              <w:rPr>
                <w:rFonts w:cs="Arial"/>
              </w:rPr>
              <w:t xml:space="preserve">Palliative </w:t>
            </w:r>
            <w:r w:rsidR="002116F6" w:rsidRPr="002116F6">
              <w:rPr>
                <w:rFonts w:cs="Arial"/>
              </w:rPr>
              <w:t>Indication</w:t>
            </w:r>
          </w:p>
        </w:tc>
      </w:tr>
      <w:tr w:rsidR="002116F6" w14:paraId="2CE1A95A" w14:textId="77777777" w:rsidTr="001E4557">
        <w:trPr>
          <w:jc w:val="center"/>
        </w:trPr>
        <w:tc>
          <w:tcPr>
            <w:tcW w:w="2605" w:type="dxa"/>
            <w:tcBorders>
              <w:top w:val="single" w:sz="4" w:space="0" w:color="auto"/>
            </w:tcBorders>
            <w:vAlign w:val="bottom"/>
          </w:tcPr>
          <w:p w14:paraId="4BF314ED"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Acetaminophen</w:t>
            </w:r>
          </w:p>
        </w:tc>
        <w:tc>
          <w:tcPr>
            <w:tcW w:w="5405" w:type="dxa"/>
            <w:tcBorders>
              <w:top w:val="single" w:sz="4" w:space="0" w:color="auto"/>
            </w:tcBorders>
            <w:vAlign w:val="bottom"/>
          </w:tcPr>
          <w:p w14:paraId="47769FEA" w14:textId="5314A99C" w:rsidR="002116F6" w:rsidRPr="002116F6" w:rsidRDefault="00015753" w:rsidP="001E4557">
            <w:pPr>
              <w:pStyle w:val="Title"/>
              <w:spacing w:before="0" w:after="0" w:line="240" w:lineRule="auto"/>
              <w:ind w:left="0" w:firstLine="0"/>
              <w:jc w:val="left"/>
              <w:rPr>
                <w:rFonts w:cs="Arial"/>
                <w:b w:val="0"/>
              </w:rPr>
            </w:pPr>
            <w:r>
              <w:rPr>
                <w:rFonts w:cs="Arial"/>
                <w:b w:val="0"/>
                <w:color w:val="000000"/>
              </w:rPr>
              <w:t>M</w:t>
            </w:r>
            <w:r w:rsidR="002116F6" w:rsidRPr="002116F6">
              <w:rPr>
                <w:rFonts w:cs="Arial"/>
                <w:b w:val="0"/>
                <w:color w:val="000000"/>
              </w:rPr>
              <w:t>ild to moderate pain</w:t>
            </w:r>
          </w:p>
        </w:tc>
      </w:tr>
      <w:tr w:rsidR="002116F6" w14:paraId="365F5CAC" w14:textId="77777777" w:rsidTr="001E4557">
        <w:trPr>
          <w:jc w:val="center"/>
        </w:trPr>
        <w:tc>
          <w:tcPr>
            <w:tcW w:w="2605" w:type="dxa"/>
            <w:vAlign w:val="bottom"/>
          </w:tcPr>
          <w:p w14:paraId="682AB743"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Amitriptyline</w:t>
            </w:r>
          </w:p>
        </w:tc>
        <w:tc>
          <w:tcPr>
            <w:tcW w:w="5405" w:type="dxa"/>
            <w:vAlign w:val="bottom"/>
          </w:tcPr>
          <w:p w14:paraId="49C56FD0" w14:textId="3455D109" w:rsidR="002116F6" w:rsidRPr="002116F6" w:rsidRDefault="00015753" w:rsidP="001E4557">
            <w:pPr>
              <w:pStyle w:val="Title"/>
              <w:spacing w:before="0" w:after="0" w:line="240" w:lineRule="auto"/>
              <w:ind w:left="0" w:firstLine="0"/>
              <w:jc w:val="left"/>
              <w:rPr>
                <w:rFonts w:cs="Arial"/>
                <w:b w:val="0"/>
              </w:rPr>
            </w:pPr>
            <w:r>
              <w:rPr>
                <w:rFonts w:cs="Arial"/>
                <w:b w:val="0"/>
                <w:color w:val="000000"/>
              </w:rPr>
              <w:t>Depression, n</w:t>
            </w:r>
            <w:r w:rsidR="002116F6" w:rsidRPr="002116F6">
              <w:rPr>
                <w:rFonts w:cs="Arial"/>
                <w:b w:val="0"/>
                <w:color w:val="000000"/>
              </w:rPr>
              <w:t>europathic pain</w:t>
            </w:r>
          </w:p>
        </w:tc>
      </w:tr>
      <w:tr w:rsidR="002116F6" w14:paraId="4FFD492B" w14:textId="77777777" w:rsidTr="001E4557">
        <w:trPr>
          <w:jc w:val="center"/>
        </w:trPr>
        <w:tc>
          <w:tcPr>
            <w:tcW w:w="2605" w:type="dxa"/>
            <w:vAlign w:val="bottom"/>
          </w:tcPr>
          <w:p w14:paraId="037311B9"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Bisacodyl</w:t>
            </w:r>
          </w:p>
        </w:tc>
        <w:tc>
          <w:tcPr>
            <w:tcW w:w="5405" w:type="dxa"/>
            <w:vAlign w:val="bottom"/>
          </w:tcPr>
          <w:p w14:paraId="707B9483"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Constipation</w:t>
            </w:r>
          </w:p>
        </w:tc>
      </w:tr>
      <w:tr w:rsidR="002116F6" w14:paraId="4A5E8D00" w14:textId="77777777" w:rsidTr="001E4557">
        <w:trPr>
          <w:jc w:val="center"/>
        </w:trPr>
        <w:tc>
          <w:tcPr>
            <w:tcW w:w="2605" w:type="dxa"/>
            <w:vAlign w:val="bottom"/>
          </w:tcPr>
          <w:p w14:paraId="42ECDFE5"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Carbamazepine</w:t>
            </w:r>
          </w:p>
        </w:tc>
        <w:tc>
          <w:tcPr>
            <w:tcW w:w="5405" w:type="dxa"/>
            <w:vAlign w:val="bottom"/>
          </w:tcPr>
          <w:p w14:paraId="145635E7"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Neuropathic pain</w:t>
            </w:r>
          </w:p>
        </w:tc>
      </w:tr>
      <w:tr w:rsidR="002116F6" w14:paraId="242D70FA" w14:textId="77777777" w:rsidTr="001E4557">
        <w:trPr>
          <w:jc w:val="center"/>
        </w:trPr>
        <w:tc>
          <w:tcPr>
            <w:tcW w:w="2605" w:type="dxa"/>
            <w:vAlign w:val="bottom"/>
          </w:tcPr>
          <w:p w14:paraId="285407AD" w14:textId="2C95BE0B" w:rsidR="002116F6" w:rsidRPr="00015753" w:rsidRDefault="00015753" w:rsidP="002116F6">
            <w:pPr>
              <w:pStyle w:val="Title"/>
              <w:spacing w:before="0" w:after="0" w:line="240" w:lineRule="auto"/>
              <w:ind w:left="0" w:firstLine="0"/>
              <w:jc w:val="left"/>
              <w:rPr>
                <w:rFonts w:cs="Arial"/>
                <w:b w:val="0"/>
                <w:vertAlign w:val="superscript"/>
              </w:rPr>
            </w:pPr>
            <w:r>
              <w:rPr>
                <w:rFonts w:cs="Arial"/>
                <w:b w:val="0"/>
                <w:color w:val="000000"/>
              </w:rPr>
              <w:t>Citalopram</w:t>
            </w:r>
            <w:r>
              <w:rPr>
                <w:rFonts w:cs="Arial"/>
                <w:b w:val="0"/>
                <w:color w:val="000000"/>
                <w:vertAlign w:val="superscript"/>
              </w:rPr>
              <w:t>b</w:t>
            </w:r>
          </w:p>
        </w:tc>
        <w:tc>
          <w:tcPr>
            <w:tcW w:w="5405" w:type="dxa"/>
            <w:vAlign w:val="bottom"/>
          </w:tcPr>
          <w:p w14:paraId="3AB7470C"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Depression</w:t>
            </w:r>
          </w:p>
        </w:tc>
      </w:tr>
      <w:tr w:rsidR="002116F6" w14:paraId="32A45924" w14:textId="77777777" w:rsidTr="001E4557">
        <w:trPr>
          <w:jc w:val="center"/>
        </w:trPr>
        <w:tc>
          <w:tcPr>
            <w:tcW w:w="2605" w:type="dxa"/>
            <w:vAlign w:val="bottom"/>
          </w:tcPr>
          <w:p w14:paraId="7E53E395"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Codeine</w:t>
            </w:r>
          </w:p>
        </w:tc>
        <w:tc>
          <w:tcPr>
            <w:tcW w:w="5405" w:type="dxa"/>
            <w:vAlign w:val="bottom"/>
          </w:tcPr>
          <w:p w14:paraId="734ED73E" w14:textId="03BB42BA" w:rsidR="002116F6" w:rsidRPr="002116F6" w:rsidRDefault="00015753" w:rsidP="001E4557">
            <w:pPr>
              <w:pStyle w:val="Title"/>
              <w:spacing w:before="0" w:after="0" w:line="240" w:lineRule="auto"/>
              <w:ind w:left="0" w:firstLine="0"/>
              <w:jc w:val="left"/>
              <w:rPr>
                <w:rFonts w:cs="Arial"/>
                <w:b w:val="0"/>
              </w:rPr>
            </w:pPr>
            <w:r>
              <w:rPr>
                <w:rFonts w:cs="Arial"/>
                <w:b w:val="0"/>
                <w:color w:val="000000"/>
              </w:rPr>
              <w:t>Diarrhea, m</w:t>
            </w:r>
            <w:r w:rsidR="002116F6" w:rsidRPr="002116F6">
              <w:rPr>
                <w:rFonts w:cs="Arial"/>
                <w:b w:val="0"/>
                <w:color w:val="000000"/>
              </w:rPr>
              <w:t>ild to moderate pain</w:t>
            </w:r>
          </w:p>
        </w:tc>
      </w:tr>
      <w:tr w:rsidR="002116F6" w14:paraId="175C5010" w14:textId="77777777" w:rsidTr="001E4557">
        <w:trPr>
          <w:jc w:val="center"/>
        </w:trPr>
        <w:tc>
          <w:tcPr>
            <w:tcW w:w="2605" w:type="dxa"/>
            <w:vAlign w:val="bottom"/>
          </w:tcPr>
          <w:p w14:paraId="65FC780B"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Dexamethasone</w:t>
            </w:r>
          </w:p>
        </w:tc>
        <w:tc>
          <w:tcPr>
            <w:tcW w:w="5405" w:type="dxa"/>
            <w:vAlign w:val="bottom"/>
          </w:tcPr>
          <w:p w14:paraId="21962028" w14:textId="4B0BDA62" w:rsidR="002116F6" w:rsidRPr="002116F6" w:rsidRDefault="00015753" w:rsidP="001E4557">
            <w:pPr>
              <w:pStyle w:val="Title"/>
              <w:spacing w:before="0" w:after="0" w:line="240" w:lineRule="auto"/>
              <w:ind w:left="0" w:firstLine="0"/>
              <w:jc w:val="left"/>
              <w:rPr>
                <w:rFonts w:cs="Arial"/>
                <w:b w:val="0"/>
              </w:rPr>
            </w:pPr>
            <w:r>
              <w:rPr>
                <w:rFonts w:cs="Arial"/>
                <w:b w:val="0"/>
                <w:color w:val="000000"/>
              </w:rPr>
              <w:t>Anorexia, n</w:t>
            </w:r>
            <w:r w:rsidR="002116F6" w:rsidRPr="002116F6">
              <w:rPr>
                <w:rFonts w:cs="Arial"/>
                <w:b w:val="0"/>
                <w:color w:val="000000"/>
              </w:rPr>
              <w:t xml:space="preserve">ausea, vomiting, </w:t>
            </w:r>
            <w:r>
              <w:rPr>
                <w:rFonts w:cs="Arial"/>
                <w:b w:val="0"/>
                <w:color w:val="000000"/>
              </w:rPr>
              <w:t xml:space="preserve">neuropathic </w:t>
            </w:r>
            <w:r w:rsidR="002116F6" w:rsidRPr="002116F6">
              <w:rPr>
                <w:rFonts w:cs="Arial"/>
                <w:b w:val="0"/>
                <w:color w:val="000000"/>
              </w:rPr>
              <w:t>pain</w:t>
            </w:r>
          </w:p>
        </w:tc>
      </w:tr>
      <w:tr w:rsidR="002116F6" w14:paraId="44F2405E" w14:textId="77777777" w:rsidTr="001E4557">
        <w:trPr>
          <w:jc w:val="center"/>
        </w:trPr>
        <w:tc>
          <w:tcPr>
            <w:tcW w:w="2605" w:type="dxa"/>
            <w:vAlign w:val="bottom"/>
          </w:tcPr>
          <w:p w14:paraId="4B782BC3"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Diazepam</w:t>
            </w:r>
          </w:p>
        </w:tc>
        <w:tc>
          <w:tcPr>
            <w:tcW w:w="5405" w:type="dxa"/>
            <w:vAlign w:val="bottom"/>
          </w:tcPr>
          <w:p w14:paraId="5C33A949"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Anxiety</w:t>
            </w:r>
          </w:p>
        </w:tc>
      </w:tr>
      <w:tr w:rsidR="002116F6" w14:paraId="2967266D" w14:textId="77777777" w:rsidTr="001E4557">
        <w:trPr>
          <w:jc w:val="center"/>
        </w:trPr>
        <w:tc>
          <w:tcPr>
            <w:tcW w:w="2605" w:type="dxa"/>
            <w:vAlign w:val="bottom"/>
          </w:tcPr>
          <w:p w14:paraId="1C9C30BD"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Diclofenac</w:t>
            </w:r>
          </w:p>
        </w:tc>
        <w:tc>
          <w:tcPr>
            <w:tcW w:w="5405" w:type="dxa"/>
            <w:vAlign w:val="bottom"/>
          </w:tcPr>
          <w:p w14:paraId="2F068D4A"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Mild to moderate pain</w:t>
            </w:r>
          </w:p>
        </w:tc>
      </w:tr>
      <w:tr w:rsidR="002116F6" w14:paraId="3C26CB5E" w14:textId="77777777" w:rsidTr="001E4557">
        <w:trPr>
          <w:jc w:val="center"/>
        </w:trPr>
        <w:tc>
          <w:tcPr>
            <w:tcW w:w="2605" w:type="dxa"/>
            <w:vAlign w:val="bottom"/>
          </w:tcPr>
          <w:p w14:paraId="7539F591"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Diphenhydramine</w:t>
            </w:r>
          </w:p>
        </w:tc>
        <w:tc>
          <w:tcPr>
            <w:tcW w:w="5405" w:type="dxa"/>
            <w:vAlign w:val="bottom"/>
          </w:tcPr>
          <w:p w14:paraId="4B8EB0F0"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Nausea, vomiting</w:t>
            </w:r>
          </w:p>
        </w:tc>
      </w:tr>
      <w:tr w:rsidR="002116F6" w14:paraId="7DA4B4B7" w14:textId="77777777" w:rsidTr="001E4557">
        <w:trPr>
          <w:jc w:val="center"/>
        </w:trPr>
        <w:tc>
          <w:tcPr>
            <w:tcW w:w="2605" w:type="dxa"/>
            <w:vAlign w:val="bottom"/>
          </w:tcPr>
          <w:p w14:paraId="3754A95E" w14:textId="7F25EC82" w:rsidR="002116F6" w:rsidRPr="002116F6" w:rsidRDefault="001E4557" w:rsidP="002116F6">
            <w:pPr>
              <w:pStyle w:val="Title"/>
              <w:spacing w:before="0" w:after="0" w:line="240" w:lineRule="auto"/>
              <w:ind w:left="0" w:firstLine="0"/>
              <w:jc w:val="left"/>
              <w:rPr>
                <w:rFonts w:cs="Arial"/>
                <w:b w:val="0"/>
              </w:rPr>
            </w:pPr>
            <w:r>
              <w:rPr>
                <w:rFonts w:cs="Arial"/>
                <w:b w:val="0"/>
                <w:color w:val="000000"/>
              </w:rPr>
              <w:t>F</w:t>
            </w:r>
            <w:r w:rsidR="002116F6" w:rsidRPr="002116F6">
              <w:rPr>
                <w:rFonts w:cs="Arial"/>
                <w:b w:val="0"/>
                <w:color w:val="000000"/>
              </w:rPr>
              <w:t>entanyl</w:t>
            </w:r>
            <w:r>
              <w:rPr>
                <w:rFonts w:cs="Arial"/>
                <w:b w:val="0"/>
                <w:color w:val="000000"/>
              </w:rPr>
              <w:t xml:space="preserve"> patch</w:t>
            </w:r>
          </w:p>
        </w:tc>
        <w:tc>
          <w:tcPr>
            <w:tcW w:w="5405" w:type="dxa"/>
            <w:vAlign w:val="bottom"/>
          </w:tcPr>
          <w:p w14:paraId="45F25B48"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Moderate to severe pain</w:t>
            </w:r>
          </w:p>
        </w:tc>
      </w:tr>
      <w:tr w:rsidR="002116F6" w14:paraId="3E47071E" w14:textId="77777777" w:rsidTr="001E4557">
        <w:trPr>
          <w:jc w:val="center"/>
        </w:trPr>
        <w:tc>
          <w:tcPr>
            <w:tcW w:w="2605" w:type="dxa"/>
            <w:vAlign w:val="bottom"/>
          </w:tcPr>
          <w:p w14:paraId="32B5CF56"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Gabapentin</w:t>
            </w:r>
          </w:p>
        </w:tc>
        <w:tc>
          <w:tcPr>
            <w:tcW w:w="5405" w:type="dxa"/>
            <w:vAlign w:val="bottom"/>
          </w:tcPr>
          <w:p w14:paraId="03DFDDA7"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Neuropathic pain</w:t>
            </w:r>
          </w:p>
        </w:tc>
      </w:tr>
      <w:tr w:rsidR="002116F6" w14:paraId="0A50CE13" w14:textId="77777777" w:rsidTr="001E4557">
        <w:trPr>
          <w:jc w:val="center"/>
        </w:trPr>
        <w:tc>
          <w:tcPr>
            <w:tcW w:w="2605" w:type="dxa"/>
            <w:vAlign w:val="bottom"/>
          </w:tcPr>
          <w:p w14:paraId="45E8CD42"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Haloperidol</w:t>
            </w:r>
          </w:p>
        </w:tc>
        <w:tc>
          <w:tcPr>
            <w:tcW w:w="5405" w:type="dxa"/>
            <w:vAlign w:val="bottom"/>
          </w:tcPr>
          <w:p w14:paraId="0F174222" w14:textId="1EB8209A" w:rsidR="002116F6" w:rsidRPr="002116F6" w:rsidRDefault="001E4557" w:rsidP="001E4557">
            <w:pPr>
              <w:pStyle w:val="Title"/>
              <w:spacing w:before="0" w:after="0" w:line="240" w:lineRule="auto"/>
              <w:ind w:left="0" w:firstLine="0"/>
              <w:jc w:val="left"/>
              <w:rPr>
                <w:rFonts w:cs="Arial"/>
                <w:b w:val="0"/>
              </w:rPr>
            </w:pPr>
            <w:r>
              <w:rPr>
                <w:rFonts w:cs="Arial"/>
                <w:b w:val="0"/>
                <w:color w:val="000000"/>
              </w:rPr>
              <w:t>Delirium, n</w:t>
            </w:r>
            <w:r w:rsidR="002116F6" w:rsidRPr="002116F6">
              <w:rPr>
                <w:rFonts w:cs="Arial"/>
                <w:b w:val="0"/>
                <w:color w:val="000000"/>
              </w:rPr>
              <w:t xml:space="preserve">ausea, vomiting, terminal </w:t>
            </w:r>
            <w:r>
              <w:rPr>
                <w:rFonts w:cs="Arial"/>
                <w:b w:val="0"/>
                <w:color w:val="000000"/>
              </w:rPr>
              <w:t>restlessness</w:t>
            </w:r>
          </w:p>
        </w:tc>
      </w:tr>
      <w:tr w:rsidR="002116F6" w14:paraId="0CD52F0C" w14:textId="77777777" w:rsidTr="001E4557">
        <w:trPr>
          <w:jc w:val="center"/>
        </w:trPr>
        <w:tc>
          <w:tcPr>
            <w:tcW w:w="2605" w:type="dxa"/>
            <w:vAlign w:val="bottom"/>
          </w:tcPr>
          <w:p w14:paraId="58FE5976"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Hyoscine butylbromide</w:t>
            </w:r>
          </w:p>
        </w:tc>
        <w:tc>
          <w:tcPr>
            <w:tcW w:w="5405" w:type="dxa"/>
            <w:vAlign w:val="bottom"/>
          </w:tcPr>
          <w:p w14:paraId="30BAE44D" w14:textId="1380266F"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Nausea, vomiting,</w:t>
            </w:r>
            <w:r w:rsidR="001E4557">
              <w:rPr>
                <w:rFonts w:cs="Arial"/>
                <w:b w:val="0"/>
                <w:color w:val="000000"/>
              </w:rPr>
              <w:t xml:space="preserve"> visceral pain,</w:t>
            </w:r>
            <w:r w:rsidRPr="002116F6">
              <w:rPr>
                <w:rFonts w:cs="Arial"/>
                <w:b w:val="0"/>
                <w:color w:val="000000"/>
              </w:rPr>
              <w:t xml:space="preserve"> terminal secretions</w:t>
            </w:r>
          </w:p>
        </w:tc>
      </w:tr>
      <w:tr w:rsidR="002116F6" w14:paraId="68812AF0" w14:textId="77777777" w:rsidTr="001E4557">
        <w:trPr>
          <w:jc w:val="center"/>
        </w:trPr>
        <w:tc>
          <w:tcPr>
            <w:tcW w:w="2605" w:type="dxa"/>
            <w:vAlign w:val="bottom"/>
          </w:tcPr>
          <w:p w14:paraId="697AA75D"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Ibuprofen</w:t>
            </w:r>
          </w:p>
        </w:tc>
        <w:tc>
          <w:tcPr>
            <w:tcW w:w="5405" w:type="dxa"/>
            <w:vAlign w:val="bottom"/>
          </w:tcPr>
          <w:p w14:paraId="217389FB"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Mild to moderate pain</w:t>
            </w:r>
          </w:p>
        </w:tc>
      </w:tr>
      <w:tr w:rsidR="002116F6" w14:paraId="2892A97D" w14:textId="77777777" w:rsidTr="001E4557">
        <w:trPr>
          <w:jc w:val="center"/>
        </w:trPr>
        <w:tc>
          <w:tcPr>
            <w:tcW w:w="2605" w:type="dxa"/>
            <w:vAlign w:val="bottom"/>
          </w:tcPr>
          <w:p w14:paraId="3E592157"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Levomepromazine</w:t>
            </w:r>
          </w:p>
        </w:tc>
        <w:tc>
          <w:tcPr>
            <w:tcW w:w="5405" w:type="dxa"/>
            <w:vAlign w:val="bottom"/>
          </w:tcPr>
          <w:p w14:paraId="7C60CC83" w14:textId="3551ED5A"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 xml:space="preserve">Terminal </w:t>
            </w:r>
            <w:r w:rsidR="001E4557">
              <w:rPr>
                <w:rFonts w:cs="Arial"/>
                <w:b w:val="0"/>
                <w:color w:val="000000"/>
              </w:rPr>
              <w:t>restlessness</w:t>
            </w:r>
          </w:p>
        </w:tc>
      </w:tr>
      <w:tr w:rsidR="002116F6" w14:paraId="39D9A19E" w14:textId="77777777" w:rsidTr="001E4557">
        <w:trPr>
          <w:jc w:val="center"/>
        </w:trPr>
        <w:tc>
          <w:tcPr>
            <w:tcW w:w="2605" w:type="dxa"/>
            <w:vAlign w:val="bottom"/>
          </w:tcPr>
          <w:p w14:paraId="1D7CE978"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Loperamide</w:t>
            </w:r>
          </w:p>
        </w:tc>
        <w:tc>
          <w:tcPr>
            <w:tcW w:w="5405" w:type="dxa"/>
            <w:vAlign w:val="bottom"/>
          </w:tcPr>
          <w:p w14:paraId="5C1557E4"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Diarrhea</w:t>
            </w:r>
          </w:p>
        </w:tc>
      </w:tr>
      <w:tr w:rsidR="002116F6" w14:paraId="6FDC1749" w14:textId="77777777" w:rsidTr="001E4557">
        <w:trPr>
          <w:jc w:val="center"/>
        </w:trPr>
        <w:tc>
          <w:tcPr>
            <w:tcW w:w="2605" w:type="dxa"/>
            <w:vAlign w:val="bottom"/>
          </w:tcPr>
          <w:p w14:paraId="6D19F16E"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Lorazepam</w:t>
            </w:r>
          </w:p>
        </w:tc>
        <w:tc>
          <w:tcPr>
            <w:tcW w:w="5405" w:type="dxa"/>
            <w:vAlign w:val="bottom"/>
          </w:tcPr>
          <w:p w14:paraId="174FEA4C" w14:textId="230B770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Anxiety</w:t>
            </w:r>
            <w:r w:rsidR="001E4557">
              <w:rPr>
                <w:rFonts w:cs="Arial"/>
                <w:b w:val="0"/>
                <w:color w:val="000000"/>
              </w:rPr>
              <w:t>, insomnia</w:t>
            </w:r>
          </w:p>
        </w:tc>
      </w:tr>
      <w:tr w:rsidR="002116F6" w14:paraId="5F1323E7" w14:textId="77777777" w:rsidTr="001E4557">
        <w:trPr>
          <w:jc w:val="center"/>
        </w:trPr>
        <w:tc>
          <w:tcPr>
            <w:tcW w:w="2605" w:type="dxa"/>
            <w:vAlign w:val="bottom"/>
          </w:tcPr>
          <w:p w14:paraId="697635C4"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Megestrol acetate</w:t>
            </w:r>
          </w:p>
        </w:tc>
        <w:tc>
          <w:tcPr>
            <w:tcW w:w="5405" w:type="dxa"/>
            <w:vAlign w:val="bottom"/>
          </w:tcPr>
          <w:p w14:paraId="76F98FEB"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Anorexia</w:t>
            </w:r>
          </w:p>
        </w:tc>
      </w:tr>
      <w:tr w:rsidR="002116F6" w14:paraId="5CFDDA5B" w14:textId="77777777" w:rsidTr="001E4557">
        <w:trPr>
          <w:jc w:val="center"/>
        </w:trPr>
        <w:tc>
          <w:tcPr>
            <w:tcW w:w="2605" w:type="dxa"/>
            <w:vAlign w:val="bottom"/>
          </w:tcPr>
          <w:p w14:paraId="7C5546BB"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Methadone</w:t>
            </w:r>
          </w:p>
        </w:tc>
        <w:tc>
          <w:tcPr>
            <w:tcW w:w="5405" w:type="dxa"/>
            <w:vAlign w:val="bottom"/>
          </w:tcPr>
          <w:p w14:paraId="6E8770C3"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Moderate to severe pain</w:t>
            </w:r>
          </w:p>
        </w:tc>
      </w:tr>
      <w:tr w:rsidR="002116F6" w14:paraId="051D62F8" w14:textId="77777777" w:rsidTr="001E4557">
        <w:trPr>
          <w:jc w:val="center"/>
        </w:trPr>
        <w:tc>
          <w:tcPr>
            <w:tcW w:w="2605" w:type="dxa"/>
            <w:vAlign w:val="bottom"/>
          </w:tcPr>
          <w:p w14:paraId="11AEB618"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Metoclopramide</w:t>
            </w:r>
          </w:p>
        </w:tc>
        <w:tc>
          <w:tcPr>
            <w:tcW w:w="5405" w:type="dxa"/>
            <w:vAlign w:val="bottom"/>
          </w:tcPr>
          <w:p w14:paraId="768C72CF"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Nausea, vomiting</w:t>
            </w:r>
          </w:p>
        </w:tc>
      </w:tr>
      <w:tr w:rsidR="002116F6" w14:paraId="5F7848D7" w14:textId="77777777" w:rsidTr="001E4557">
        <w:trPr>
          <w:jc w:val="center"/>
        </w:trPr>
        <w:tc>
          <w:tcPr>
            <w:tcW w:w="2605" w:type="dxa"/>
            <w:vAlign w:val="bottom"/>
          </w:tcPr>
          <w:p w14:paraId="536A69A2"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Midazolam</w:t>
            </w:r>
          </w:p>
        </w:tc>
        <w:tc>
          <w:tcPr>
            <w:tcW w:w="5405" w:type="dxa"/>
            <w:vAlign w:val="bottom"/>
          </w:tcPr>
          <w:p w14:paraId="346345C4" w14:textId="1843C58E"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Anxiety</w:t>
            </w:r>
            <w:r w:rsidR="001E4557">
              <w:rPr>
                <w:rFonts w:cs="Arial"/>
                <w:b w:val="0"/>
                <w:color w:val="000000"/>
              </w:rPr>
              <w:t>, terminal restlessness</w:t>
            </w:r>
          </w:p>
        </w:tc>
      </w:tr>
      <w:tr w:rsidR="002116F6" w14:paraId="03AB4293" w14:textId="77777777" w:rsidTr="001E4557">
        <w:trPr>
          <w:jc w:val="center"/>
        </w:trPr>
        <w:tc>
          <w:tcPr>
            <w:tcW w:w="2605" w:type="dxa"/>
            <w:vAlign w:val="bottom"/>
          </w:tcPr>
          <w:p w14:paraId="248F5BBD"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Mirtazapine</w:t>
            </w:r>
          </w:p>
        </w:tc>
        <w:tc>
          <w:tcPr>
            <w:tcW w:w="5405" w:type="dxa"/>
            <w:vAlign w:val="bottom"/>
          </w:tcPr>
          <w:p w14:paraId="2ABF3043"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Depression</w:t>
            </w:r>
          </w:p>
        </w:tc>
      </w:tr>
      <w:tr w:rsidR="002116F6" w14:paraId="452630D9" w14:textId="77777777" w:rsidTr="001E4557">
        <w:trPr>
          <w:jc w:val="center"/>
        </w:trPr>
        <w:tc>
          <w:tcPr>
            <w:tcW w:w="2605" w:type="dxa"/>
            <w:vAlign w:val="bottom"/>
          </w:tcPr>
          <w:p w14:paraId="5C25B8C6"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Morphine</w:t>
            </w:r>
          </w:p>
        </w:tc>
        <w:tc>
          <w:tcPr>
            <w:tcW w:w="5405" w:type="dxa"/>
            <w:vAlign w:val="bottom"/>
          </w:tcPr>
          <w:p w14:paraId="2E2E66B0" w14:textId="7EBCB90A" w:rsidR="002116F6" w:rsidRPr="002116F6" w:rsidRDefault="009417D4" w:rsidP="009417D4">
            <w:pPr>
              <w:pStyle w:val="Title"/>
              <w:spacing w:before="0" w:after="0" w:line="240" w:lineRule="auto"/>
              <w:ind w:left="0" w:firstLine="0"/>
              <w:jc w:val="left"/>
              <w:rPr>
                <w:rFonts w:cs="Arial"/>
                <w:b w:val="0"/>
              </w:rPr>
            </w:pPr>
            <w:r>
              <w:rPr>
                <w:rFonts w:cs="Arial"/>
                <w:b w:val="0"/>
                <w:color w:val="000000"/>
              </w:rPr>
              <w:t>Dyspnea, moderate to severe pain</w:t>
            </w:r>
          </w:p>
        </w:tc>
      </w:tr>
      <w:tr w:rsidR="002116F6" w14:paraId="23CD3C71" w14:textId="77777777" w:rsidTr="001E4557">
        <w:trPr>
          <w:jc w:val="center"/>
        </w:trPr>
        <w:tc>
          <w:tcPr>
            <w:tcW w:w="2605" w:type="dxa"/>
            <w:vAlign w:val="bottom"/>
          </w:tcPr>
          <w:p w14:paraId="652CD689"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Octreotide</w:t>
            </w:r>
          </w:p>
        </w:tc>
        <w:tc>
          <w:tcPr>
            <w:tcW w:w="5405" w:type="dxa"/>
            <w:vAlign w:val="bottom"/>
          </w:tcPr>
          <w:p w14:paraId="042F4095"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Vomiting, diarrhea</w:t>
            </w:r>
          </w:p>
        </w:tc>
      </w:tr>
      <w:tr w:rsidR="009417D4" w14:paraId="2A71FBD6" w14:textId="77777777" w:rsidTr="001E4557">
        <w:trPr>
          <w:jc w:val="center"/>
        </w:trPr>
        <w:tc>
          <w:tcPr>
            <w:tcW w:w="2605" w:type="dxa"/>
            <w:vAlign w:val="bottom"/>
          </w:tcPr>
          <w:p w14:paraId="6FBF6529" w14:textId="71D7096B" w:rsidR="009417D4" w:rsidRPr="002116F6" w:rsidRDefault="009417D4" w:rsidP="002116F6">
            <w:pPr>
              <w:pStyle w:val="Title"/>
              <w:spacing w:before="0" w:after="0" w:line="240" w:lineRule="auto"/>
              <w:ind w:left="0" w:firstLine="0"/>
              <w:jc w:val="left"/>
              <w:rPr>
                <w:rFonts w:cs="Arial"/>
                <w:b w:val="0"/>
                <w:color w:val="000000"/>
              </w:rPr>
            </w:pPr>
            <w:r>
              <w:rPr>
                <w:rFonts w:cs="Arial"/>
                <w:b w:val="0"/>
                <w:color w:val="000000"/>
              </w:rPr>
              <w:t>Oral rehydration salts</w:t>
            </w:r>
          </w:p>
        </w:tc>
        <w:tc>
          <w:tcPr>
            <w:tcW w:w="5405" w:type="dxa"/>
            <w:vAlign w:val="bottom"/>
          </w:tcPr>
          <w:p w14:paraId="1C98BC06" w14:textId="6191556A" w:rsidR="009417D4" w:rsidRPr="002116F6" w:rsidRDefault="009417D4" w:rsidP="001E4557">
            <w:pPr>
              <w:pStyle w:val="Title"/>
              <w:spacing w:before="0" w:after="0" w:line="240" w:lineRule="auto"/>
              <w:ind w:left="0" w:firstLine="0"/>
              <w:jc w:val="left"/>
              <w:rPr>
                <w:rFonts w:cs="Arial"/>
                <w:b w:val="0"/>
                <w:color w:val="000000"/>
              </w:rPr>
            </w:pPr>
            <w:r>
              <w:rPr>
                <w:rFonts w:cs="Arial"/>
                <w:b w:val="0"/>
                <w:color w:val="000000"/>
              </w:rPr>
              <w:t>Diarrhea</w:t>
            </w:r>
          </w:p>
        </w:tc>
      </w:tr>
      <w:tr w:rsidR="002116F6" w14:paraId="46770B6A" w14:textId="77777777" w:rsidTr="001E4557">
        <w:trPr>
          <w:jc w:val="center"/>
        </w:trPr>
        <w:tc>
          <w:tcPr>
            <w:tcW w:w="2605" w:type="dxa"/>
            <w:vAlign w:val="bottom"/>
          </w:tcPr>
          <w:p w14:paraId="13948A41"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Oxycodone</w:t>
            </w:r>
          </w:p>
        </w:tc>
        <w:tc>
          <w:tcPr>
            <w:tcW w:w="5405" w:type="dxa"/>
            <w:vAlign w:val="bottom"/>
          </w:tcPr>
          <w:p w14:paraId="448892DD"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Moderate to severe pain</w:t>
            </w:r>
          </w:p>
        </w:tc>
      </w:tr>
      <w:tr w:rsidR="002116F6" w14:paraId="09801F5F" w14:textId="77777777" w:rsidTr="001E4557">
        <w:trPr>
          <w:jc w:val="center"/>
        </w:trPr>
        <w:tc>
          <w:tcPr>
            <w:tcW w:w="2605" w:type="dxa"/>
            <w:vAlign w:val="bottom"/>
          </w:tcPr>
          <w:p w14:paraId="5FFDC742"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Prednisolone</w:t>
            </w:r>
          </w:p>
        </w:tc>
        <w:tc>
          <w:tcPr>
            <w:tcW w:w="5405" w:type="dxa"/>
            <w:vAlign w:val="bottom"/>
          </w:tcPr>
          <w:p w14:paraId="25D22271"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Anorexia</w:t>
            </w:r>
          </w:p>
        </w:tc>
      </w:tr>
      <w:tr w:rsidR="002116F6" w14:paraId="77D95085" w14:textId="77777777" w:rsidTr="001E4557">
        <w:trPr>
          <w:jc w:val="center"/>
        </w:trPr>
        <w:tc>
          <w:tcPr>
            <w:tcW w:w="2605" w:type="dxa"/>
            <w:vAlign w:val="bottom"/>
          </w:tcPr>
          <w:p w14:paraId="13403C95"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Senna</w:t>
            </w:r>
          </w:p>
        </w:tc>
        <w:tc>
          <w:tcPr>
            <w:tcW w:w="5405" w:type="dxa"/>
            <w:vAlign w:val="bottom"/>
          </w:tcPr>
          <w:p w14:paraId="2260D508"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Constipation</w:t>
            </w:r>
          </w:p>
        </w:tc>
      </w:tr>
      <w:tr w:rsidR="002116F6" w14:paraId="6D546940" w14:textId="77777777" w:rsidTr="001E4557">
        <w:trPr>
          <w:jc w:val="center"/>
        </w:trPr>
        <w:tc>
          <w:tcPr>
            <w:tcW w:w="2605" w:type="dxa"/>
            <w:vAlign w:val="bottom"/>
          </w:tcPr>
          <w:p w14:paraId="66F2FC7E"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Tramadol</w:t>
            </w:r>
          </w:p>
        </w:tc>
        <w:tc>
          <w:tcPr>
            <w:tcW w:w="5405" w:type="dxa"/>
            <w:vAlign w:val="bottom"/>
          </w:tcPr>
          <w:p w14:paraId="12CD697C"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Mild to moderate pain</w:t>
            </w:r>
          </w:p>
        </w:tc>
      </w:tr>
      <w:tr w:rsidR="002116F6" w14:paraId="3FDB1388" w14:textId="77777777" w:rsidTr="001E4557">
        <w:trPr>
          <w:jc w:val="center"/>
        </w:trPr>
        <w:tc>
          <w:tcPr>
            <w:tcW w:w="2605" w:type="dxa"/>
            <w:vAlign w:val="bottom"/>
          </w:tcPr>
          <w:p w14:paraId="5A56A6B9" w14:textId="77777777" w:rsidR="002116F6" w:rsidRPr="002116F6" w:rsidRDefault="002116F6" w:rsidP="002116F6">
            <w:pPr>
              <w:pStyle w:val="Title"/>
              <w:spacing w:before="0" w:after="0" w:line="240" w:lineRule="auto"/>
              <w:ind w:left="0" w:firstLine="0"/>
              <w:jc w:val="left"/>
              <w:rPr>
                <w:rFonts w:cs="Arial"/>
                <w:b w:val="0"/>
              </w:rPr>
            </w:pPr>
            <w:r w:rsidRPr="002116F6">
              <w:rPr>
                <w:rFonts w:cs="Arial"/>
                <w:b w:val="0"/>
                <w:color w:val="000000"/>
              </w:rPr>
              <w:t>Trazodone</w:t>
            </w:r>
          </w:p>
        </w:tc>
        <w:tc>
          <w:tcPr>
            <w:tcW w:w="5405" w:type="dxa"/>
            <w:vAlign w:val="bottom"/>
          </w:tcPr>
          <w:p w14:paraId="4946E564" w14:textId="77777777" w:rsidR="002116F6" w:rsidRPr="002116F6" w:rsidRDefault="002116F6" w:rsidP="001E4557">
            <w:pPr>
              <w:pStyle w:val="Title"/>
              <w:spacing w:before="0" w:after="0" w:line="240" w:lineRule="auto"/>
              <w:ind w:left="0" w:firstLine="0"/>
              <w:jc w:val="left"/>
              <w:rPr>
                <w:rFonts w:cs="Arial"/>
                <w:b w:val="0"/>
              </w:rPr>
            </w:pPr>
            <w:r w:rsidRPr="002116F6">
              <w:rPr>
                <w:rFonts w:cs="Arial"/>
                <w:b w:val="0"/>
                <w:color w:val="000000"/>
              </w:rPr>
              <w:t>Insomnia</w:t>
            </w:r>
          </w:p>
        </w:tc>
      </w:tr>
      <w:tr w:rsidR="009417D4" w14:paraId="07E7A4CC" w14:textId="77777777" w:rsidTr="001E4557">
        <w:trPr>
          <w:jc w:val="center"/>
        </w:trPr>
        <w:tc>
          <w:tcPr>
            <w:tcW w:w="2605" w:type="dxa"/>
            <w:vAlign w:val="bottom"/>
          </w:tcPr>
          <w:p w14:paraId="3228B7BC" w14:textId="5CA9EA25" w:rsidR="009417D4" w:rsidRPr="002116F6" w:rsidRDefault="009417D4" w:rsidP="002116F6">
            <w:pPr>
              <w:pStyle w:val="Title"/>
              <w:spacing w:before="0" w:after="0" w:line="240" w:lineRule="auto"/>
              <w:ind w:left="0" w:firstLine="0"/>
              <w:jc w:val="left"/>
              <w:rPr>
                <w:rFonts w:cs="Arial"/>
                <w:b w:val="0"/>
                <w:color w:val="000000"/>
              </w:rPr>
            </w:pPr>
            <w:r>
              <w:rPr>
                <w:rFonts w:cs="Arial"/>
                <w:b w:val="0"/>
                <w:color w:val="000000"/>
              </w:rPr>
              <w:t>Zolpidem</w:t>
            </w:r>
          </w:p>
        </w:tc>
        <w:tc>
          <w:tcPr>
            <w:tcW w:w="5405" w:type="dxa"/>
            <w:vAlign w:val="bottom"/>
          </w:tcPr>
          <w:p w14:paraId="5F1D7393" w14:textId="7D886494" w:rsidR="009417D4" w:rsidRPr="002116F6" w:rsidRDefault="009417D4" w:rsidP="001E4557">
            <w:pPr>
              <w:pStyle w:val="Title"/>
              <w:spacing w:before="0" w:after="0" w:line="240" w:lineRule="auto"/>
              <w:ind w:left="0" w:firstLine="0"/>
              <w:jc w:val="left"/>
              <w:rPr>
                <w:rFonts w:cs="Arial"/>
                <w:b w:val="0"/>
                <w:color w:val="000000"/>
              </w:rPr>
            </w:pPr>
            <w:r>
              <w:rPr>
                <w:rFonts w:cs="Arial"/>
                <w:b w:val="0"/>
                <w:color w:val="000000"/>
              </w:rPr>
              <w:t>Insomnia</w:t>
            </w:r>
          </w:p>
        </w:tc>
      </w:tr>
    </w:tbl>
    <w:p w14:paraId="1F229449" w14:textId="6D85A05C" w:rsidR="008C40DE" w:rsidRPr="00015753" w:rsidRDefault="001E4557" w:rsidP="001E4557">
      <w:pPr>
        <w:spacing w:after="0" w:line="240" w:lineRule="auto"/>
        <w:jc w:val="both"/>
        <w:rPr>
          <w:sz w:val="18"/>
          <w:szCs w:val="18"/>
        </w:rPr>
      </w:pPr>
      <w:bookmarkStart w:id="51" w:name="_Toc506036785"/>
      <w:r>
        <w:tab/>
      </w:r>
      <w:r w:rsidR="00015753" w:rsidRPr="00015753">
        <w:rPr>
          <w:sz w:val="18"/>
          <w:szCs w:val="18"/>
          <w:vertAlign w:val="superscript"/>
        </w:rPr>
        <w:t>a</w:t>
      </w:r>
      <w:r w:rsidR="00015753" w:rsidRPr="00015753">
        <w:rPr>
          <w:sz w:val="18"/>
          <w:szCs w:val="18"/>
        </w:rPr>
        <w:t>Adapted from Lima 2012</w:t>
      </w:r>
      <w:r w:rsidR="00015753" w:rsidRPr="00015753">
        <w:rPr>
          <w:sz w:val="18"/>
          <w:szCs w:val="18"/>
        </w:rPr>
        <w:fldChar w:fldCharType="begin"/>
      </w:r>
      <w:r w:rsidR="008A1035">
        <w:rPr>
          <w:sz w:val="18"/>
          <w:szCs w:val="18"/>
        </w:rPr>
        <w:instrText xml:space="preserve"> ADDIN ZOTERO_ITEM CSL_CITATION {"citationID":"a13k2teencs","properties":{"formattedCitation":"\\super 20\\nosupersub{}","plainCitation":"20","noteIndex":0},"citationItems":[{"id":4189,"uris":["http://zotero.org/users/2597747/items/HB5PPRYB"],"uri":["http://zotero.org/users/2597747/items/HB5PPRYB"],"itemData":{"id":4189,"type":"article-journal","title":"Key concepts in palliative care: the IAHPC list of essential medicines in palliative care","container-title":"European Journal of Hospital Pharmacy: Science and Practice","page":"34-37","volume":"19","issue":"1","source":"ejhp.bmj.com","abstract":"Background This paper describes the process of developing a list of essential medicines in palliative care based on a consensus of experts.\nMethod Phase I: guiding principles and identifying the most prevalent symptoms in palliative care. Phase II: identifying the medications used to treat the symptoms, developing an initial list of medicines with a survey of 40 physicians, and implementing a Delphi survey. 112 physicians and pharmacologists were invited to rate the safety and efficacy of each medication. Phase III: representatives of 28 pain and palliative care organisations were invited to a meeting. 26 accepted (93% RR). Participants were split into groups and received the results of the Delphi survey. Groups were instructed to base the discussions on medications for which at least 50% of the respondents rated both safe and effective (score of 7 or above).\nResults 21 symptoms were identified as the most common in palliative care. 120 medications were recommended to treat these symptoms. 71 participants (63% RR) responded to the Delphi survey. A final list with 33 medications was approved as the International Association for Hospice and Palliative Care (IAHPC) essential medicines list for palliative care. There was no consensus among respondents in recommending medications as safe and effective for bone pain, dry mouth, sweating, fatigue or hiccups.\nConclusion Additional research is needed to identify safe and effective medications to treat these symptoms. The IAHPC will soon be implementing a project to update the list of essential medicines in palliative care to reflect these new findings.","DOI":"10.1136/ejhpharm-2011-000044","ISSN":"2047-9956, 2047-9964","shortTitle":"Key concepts in palliative care","language":"en","author":[{"family":"Lima","given":"Liliana De"}],"issued":{"date-parts":[["2012",2,1]]}}}],"schema":"https://github.com/citation-style-language/schema/raw/master/csl-citation.json"} </w:instrText>
      </w:r>
      <w:r w:rsidR="00015753" w:rsidRPr="00015753">
        <w:rPr>
          <w:sz w:val="18"/>
          <w:szCs w:val="18"/>
        </w:rPr>
        <w:fldChar w:fldCharType="separate"/>
      </w:r>
      <w:r w:rsidR="00B55AC2" w:rsidRPr="00B55AC2">
        <w:rPr>
          <w:rFonts w:cs="Arial"/>
          <w:sz w:val="18"/>
          <w:szCs w:val="24"/>
          <w:vertAlign w:val="superscript"/>
        </w:rPr>
        <w:t>20</w:t>
      </w:r>
      <w:r w:rsidR="00015753" w:rsidRPr="00015753">
        <w:rPr>
          <w:sz w:val="18"/>
          <w:szCs w:val="18"/>
        </w:rPr>
        <w:fldChar w:fldCharType="end"/>
      </w:r>
    </w:p>
    <w:p w14:paraId="66F139E3" w14:textId="3F1E967E" w:rsidR="00015753" w:rsidRPr="00015753" w:rsidRDefault="001E4557" w:rsidP="001E4557">
      <w:pPr>
        <w:spacing w:after="0" w:line="240" w:lineRule="auto"/>
        <w:jc w:val="both"/>
        <w:rPr>
          <w:sz w:val="18"/>
          <w:szCs w:val="18"/>
        </w:rPr>
      </w:pPr>
      <w:r>
        <w:rPr>
          <w:sz w:val="18"/>
          <w:szCs w:val="18"/>
        </w:rPr>
        <w:tab/>
      </w:r>
      <w:r w:rsidR="00015753" w:rsidRPr="00015753">
        <w:rPr>
          <w:sz w:val="18"/>
          <w:szCs w:val="18"/>
          <w:vertAlign w:val="superscript"/>
        </w:rPr>
        <w:t>b</w:t>
      </w:r>
      <w:r w:rsidR="00015753" w:rsidRPr="00015753">
        <w:rPr>
          <w:sz w:val="18"/>
          <w:szCs w:val="18"/>
        </w:rPr>
        <w:t>Or other selective serotonin reuptake inhibitor, except paroxetine and fluvoxamine</w:t>
      </w:r>
    </w:p>
    <w:p w14:paraId="57512944" w14:textId="77777777" w:rsidR="00015753" w:rsidRDefault="00015753" w:rsidP="00441F74"/>
    <w:p w14:paraId="4E8B7696" w14:textId="77777777" w:rsidR="00015753" w:rsidRPr="00015753" w:rsidRDefault="00015753" w:rsidP="00441F74"/>
    <w:p w14:paraId="01D6BFAE" w14:textId="77777777" w:rsidR="00441F74" w:rsidRPr="00441F74" w:rsidRDefault="00441F74" w:rsidP="00441F74"/>
    <w:p w14:paraId="6597378E" w14:textId="77777777" w:rsidR="00441F74" w:rsidRPr="00441F74" w:rsidRDefault="00441F74" w:rsidP="00441F74"/>
    <w:p w14:paraId="528918F4" w14:textId="77777777" w:rsidR="0034626A" w:rsidRDefault="0034626A" w:rsidP="00DF3833">
      <w:pPr>
        <w:pStyle w:val="Style2"/>
        <w:spacing w:before="0" w:line="480" w:lineRule="auto"/>
      </w:pPr>
      <w:bookmarkStart w:id="52" w:name="_Toc507326038"/>
      <w:r w:rsidRPr="00DF3833">
        <w:lastRenderedPageBreak/>
        <w:t xml:space="preserve">1.4 Polypharmacy in the Elderly and </w:t>
      </w:r>
      <w:r w:rsidR="00FE79DF" w:rsidRPr="00DF3833">
        <w:t>Those</w:t>
      </w:r>
      <w:r w:rsidRPr="00DF3833">
        <w:t xml:space="preserve"> with Limited Life Expectancy</w:t>
      </w:r>
      <w:bookmarkEnd w:id="51"/>
      <w:bookmarkEnd w:id="52"/>
    </w:p>
    <w:p w14:paraId="708F2C98" w14:textId="7F4F9218" w:rsidR="001444C9" w:rsidRPr="00725D15" w:rsidRDefault="001444C9" w:rsidP="001444C9">
      <w:pPr>
        <w:ind w:firstLine="720"/>
        <w:rPr>
          <w:rFonts w:cs="Arial"/>
          <w:szCs w:val="22"/>
        </w:rPr>
      </w:pPr>
      <w:r w:rsidRPr="00725D15">
        <w:rPr>
          <w:rFonts w:cs="Arial"/>
          <w:szCs w:val="22"/>
        </w:rPr>
        <w:t>Adults aged 65 years or older are the fastest growing segment of the US population, and nearly 50% have two or more chronic conditions.</w:t>
      </w:r>
      <w:r w:rsidRPr="00725D15">
        <w:rPr>
          <w:rFonts w:cs="Arial"/>
          <w:szCs w:val="22"/>
        </w:rPr>
        <w:fldChar w:fldCharType="begin"/>
      </w:r>
      <w:r w:rsidR="00434675">
        <w:rPr>
          <w:rFonts w:cs="Arial"/>
          <w:szCs w:val="22"/>
        </w:rPr>
        <w:instrText xml:space="preserve"> ADDIN ZOTERO_ITEM CSL_CITATION {"citationID":"12iqblkfn5","properties":{"formattedCitation":"\\super 24\\nosupersub{}","plainCitation":"24","noteIndex":0},"citationItems":[{"id":3260,"uris":["http://zotero.org/users/2597747/items/75RDU8KG"],"uri":["http://zotero.org/users/2597747/items/75RDU8KG"],"itemData":{"id":3260,"type":"article-journal","title":"Polypharmacy, adverse drug reactions, and geriatric syndromes","container-title":"Clinics in Geriatric Medicine","page":"173-186","volume":"28","issue":"2","source":"PubMed","abstract":"The elderly are at risk for polypharmacy, which is associated with significant consequences such as adverse effects, medication nonadherence, drug-drug and drug-disease interactions, and increased risk of geriatric syndromes. Providers should evaluate all existing medications at each patient visit for appropriateness and weigh the risks and benefits of starting new medications to minimize polypharmacy.","DOI":"10.1016/j.cger.2012.01.002","ISSN":"1879-8853","note":"PMID: 22500537","journalAbbreviation":"Clin. Geriatr. Med.","language":"eng","author":[{"family":"Shah","given":"Bhavik M."},{"family":"Hajjar","given":"Emily R."}],"issued":{"date-parts":[["2012",5]]}}}],"schema":"https://github.com/citation-style-language/schema/raw/master/csl-citation.json"}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24</w:t>
      </w:r>
      <w:r w:rsidRPr="00725D15">
        <w:rPr>
          <w:rFonts w:cs="Arial"/>
          <w:szCs w:val="22"/>
        </w:rPr>
        <w:fldChar w:fldCharType="end"/>
      </w:r>
      <w:r w:rsidRPr="00725D15">
        <w:rPr>
          <w:rFonts w:cs="Arial"/>
          <w:szCs w:val="22"/>
        </w:rPr>
        <w:t xml:space="preserve"> Given that multiple medications are often prescribed to optimally manage common chronic conditions of older adults such as hypertension, diabetes, and heart disease, it is unsurprising that the elderly are at an increased risk of polypharmacy. </w:t>
      </w:r>
      <w:r w:rsidRPr="00725D15">
        <w:rPr>
          <w:rFonts w:cs="Arial"/>
          <w:szCs w:val="22"/>
        </w:rPr>
        <w:fldChar w:fldCharType="begin"/>
      </w:r>
      <w:r w:rsidR="00434675">
        <w:rPr>
          <w:rFonts w:cs="Arial"/>
          <w:szCs w:val="22"/>
        </w:rPr>
        <w:instrText xml:space="preserve"> ADDIN ZOTERO_ITEM CSL_CITATION {"citationID":"12lb31psj","properties":{"formattedCitation":"\\super 25\\nosupersub{}","plainCitation":"25","noteIndex":0},"citationItems":[{"id":3283,"uris":["http://zotero.org/users/2597747/items/W9SZHAWE"],"uri":["http://zotero.org/users/2597747/items/W9SZHAWE"],"itemData":{"id":3283,"type":"report","title":"Report to the Congress: Medicare and the Health Care Delivery System","publisher":"Medicare Payment Advisory Commission.","publisher-place":"Washington, D.C.","event-place":"Washington, D.C.","URL":"http://www.medpac.gov/documents/reports/chapter-5-polypharmacy-and-opioid-use-among-medicare-part-d-enrollees-(june-2015-report).pdf?sfvrsn=0","issued":{"date-parts":[["2015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25</w:t>
      </w:r>
      <w:r w:rsidRPr="00725D15">
        <w:rPr>
          <w:rFonts w:cs="Arial"/>
          <w:szCs w:val="22"/>
        </w:rPr>
        <w:fldChar w:fldCharType="end"/>
      </w:r>
      <w:r w:rsidRPr="00725D15">
        <w:rPr>
          <w:rFonts w:cs="Arial"/>
          <w:szCs w:val="22"/>
        </w:rPr>
        <w:t xml:space="preserve"> While there is no formal definition of polypharmacy, it is most often described as the concurrent use of a certain number of medications over a particular threshold, commonly five or more.</w:t>
      </w:r>
      <w:r w:rsidRPr="00725D15">
        <w:rPr>
          <w:rFonts w:cs="Arial"/>
          <w:szCs w:val="22"/>
        </w:rPr>
        <w:fldChar w:fldCharType="begin"/>
      </w:r>
      <w:r w:rsidR="00434675">
        <w:rPr>
          <w:rFonts w:cs="Arial"/>
          <w:szCs w:val="22"/>
        </w:rPr>
        <w:instrText xml:space="preserve"> ADDIN ZOTERO_ITEM CSL_CITATION {"citationID":"210g3m5jf2","properties":{"formattedCitation":"\\super 26,27\\nosupersub{}","plainCitation":"26,27","noteIndex":0},"citationItems":[{"id":1130,"uris":["http://zotero.org/users/2597747/items/ZPNPQE7B"],"uri":["http://zotero.org/users/2597747/items/ZPNPQE7B"],"itemData":{"id":1130,"type":"article-journal","title":"Polypharmacy in patients with advanced cancer and the role of medication discontinuation","container-title":"The Lancet Oncology","page":"e333-e341","volume":"16","issue":"7","source":"ScienceDirect","abstract":"Summary\nPolypharmacy is a well known problem in elderly patients in general, but its prevalence and effects in patients with cancer are less clear, particularly in end-of-life settings. This Review examines the existing literature on polypharmacy in advanced cancer and end-of-life settings by reviewing evidence-based approaches to reduce polypharmacy, and outlining the potential benefits of decreasing the number of drugs that patients with cancer can take, with emphasis on the need for thoughtful discontinuation initiatives in the context of life-limiting malignant disease. In view of the apparent burden of polypharmacy in patients with advanced cancer, we expect that greater attention to polypharmacy could lead to improvements in adverse drug events, cost, and possibly quality of life. However, few data for specific interventions in the advanced cancer population are available, and thus more research is warranted.","DOI":"10.1016/S1470-2045(15)00080-7","ISSN":"1470-2045","journalAbbreviation":"The Lancet Oncology","author":[{"family":"LeBlanc","given":"Thomas W"},{"family":"McNeil","given":"Michael J"},{"family":"Kamal","given":"Arif H"},{"family":"Currow","given":"David C"},{"family":"Abernethy","given":"Amy P"}],"issued":{"date-parts":[["2015",7]]}}},{"id":2256,"uris":["http://zotero.org/users/2597747/items/WXQSIIH2"],"uri":["http://zotero.org/users/2597747/items/WXQSIIH2"],"itemData":{"id":2256,"type":"article-journal","title":"Polypharmacy in elderly patients","container-title":"The American Journal of Geriatric Pharmacotherapy","page":"345-351","volume":"5","issue":"4","source":"ScienceDirect","abstract":"Background: Polypharmacy (ie, the use of multiple medications and/or the administration of more medications than are clinically indicated, representing unnecessary drug use) is common among the elderly. Objective: The goal of this research was to provide a description of observational studies examining the epidemiology of polypharmacy and to review randomized controlled studies that have been published in the past 2 decades designed to reduce polypharmacy in older adults. Methods: Materials for this review were gathered from a search of the MEDLINE database (1986-June 2007) and International Pharmaceutical Abstracts (1986-June 2007) to identify articles in people aged &gt;65 years. We used a combination of the following search terms: polypharmacy, multiple medications, polymedicine, elderly, geriatric, and aged. A manual search of the reference lists from identified articles and the authors' article files, book chapters, and recent reviews was conducted to identify additional articles. From these, the authors identified those studies that measured polypharmacy. Results: The literature review found that polypharmacy continues to increase and is a known risk factor for important morbidity and mortality. There are few rigorously designed intervention studies that have been shown to reduce unnecessary polypharmacy in older adults. The literature review identified 5 articles, which are included here. All studies showed an improvement in polypharmacy. Conclusions: Many studies have found that various numbers of medications are associated with negative health outcomes, but more research is needed to further delineate the consequences associated with unnecessary drug use in elderly patients. Health care professionals should be aware of the risks and fully evaluate all medications at each patient visit to prevent polypharmacy from occurring.","DOI":"10.1016/j.amjopharm.2007.12.002","ISSN":"1543-5946","journalAbbreviation":"The American Journal of Geriatric Pharmacotherapy","author":[{"family":"Hajjar","given":"Emily R."},{"family":"Cafiero","given":"Angela C."},{"family":"Hanlon","given":"Joseph T."}],"issued":{"date-parts":[["2007",12,1]]}}}],"schema":"https://github.com/citation-style-language/schema/raw/master/csl-citation.json"}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26,27</w:t>
      </w:r>
      <w:r w:rsidRPr="00725D15">
        <w:rPr>
          <w:rFonts w:cs="Arial"/>
          <w:szCs w:val="22"/>
        </w:rPr>
        <w:fldChar w:fldCharType="end"/>
      </w:r>
      <w:r w:rsidRPr="00725D15">
        <w:rPr>
          <w:rFonts w:cs="Arial"/>
          <w:szCs w:val="22"/>
        </w:rPr>
        <w:t xml:space="preserve">  Less frequently, it is described as the use of any medically unnecessary or inappropriate medications.</w:t>
      </w:r>
      <w:r w:rsidRPr="00725D15">
        <w:rPr>
          <w:rFonts w:cs="Arial"/>
          <w:szCs w:val="22"/>
        </w:rPr>
        <w:fldChar w:fldCharType="begin"/>
      </w:r>
      <w:r w:rsidR="00434675">
        <w:rPr>
          <w:rFonts w:cs="Arial"/>
          <w:szCs w:val="22"/>
        </w:rPr>
        <w:instrText xml:space="preserve"> ADDIN ZOTERO_ITEM CSL_CITATION {"citationID":"13lvn9jgtn","properties":{"formattedCitation":"\\super 26,28,29\\nosupersub{}","plainCitation":"26,28,29","noteIndex":0},"citationItems":[{"id":1130,"uris":["http://zotero.org/users/2597747/items/ZPNPQE7B"],"uri":["http://zotero.org/users/2597747/items/ZPNPQE7B"],"itemData":{"id":1130,"type":"article-journal","title":"Polypharmacy in patients with advanced cancer and the role of medication discontinuation","container-title":"The Lancet Oncology","page":"e333-e341","volume":"16","issue":"7","source":"ScienceDirect","abstract":"Summary\nPolypharmacy is a well known problem in elderly patients in general, but its prevalence and effects in patients with cancer are less clear, particularly in end-of-life settings. This Review examines the existing literature on polypharmacy in advanced cancer and end-of-life settings by reviewing evidence-based approaches to reduce polypharmacy, and outlining the potential benefits of decreasing the number of drugs that patients with cancer can take, with emphasis on the need for thoughtful discontinuation initiatives in the context of life-limiting malignant disease. In view of the apparent burden of polypharmacy in patients with advanced cancer, we expect that greater attention to polypharmacy could lead to improvements in adverse drug events, cost, and possibly quality of life. However, few data for specific interventions in the advanced cancer population are available, and thus more research is warranted.","DOI":"10.1016/S1470-2045(15)00080-7","ISSN":"1470-2045","journalAbbreviation":"The Lancet Oncology","author":[{"family":"LeBlanc","given":"Thomas W"},{"family":"McNeil","given":"Michael J"},{"family":"Kamal","given":"Arif H"},{"family":"Currow","given":"David C"},{"family":"Abernethy","given":"Amy P"}],"issued":{"date-parts":[["2015",7]]}}},{"id":2255,"uris":["http://zotero.org/users/2597747/items/X9XI68ET"],"uri":["http://zotero.org/users/2597747/items/X9XI68ET"],"itemData":{"id":2255,"type":"article-journal","title":"ARMOR: a tool to evaluate polypharmacy in elderly persons","container-title":"Annals of Long-Term Care","page":"26–30","volume":"17","issue":"6","source":"Google Scholar","shortTitle":"ARMOR","author":[{"family":"Haque","given":"Raza"}],"issued":{"date-parts":[["2009"]]}}},{"id":1099,"uris":["http://zotero.org/users/2597747/items/U54C5TEI"],"uri":["http://zotero.org/users/2597747/items/U54C5TEI"],"itemData":{"id":1099,"type":"article-journal","title":"Studies to Reduce Unnecessary Medication Use in Frail Older Adults: A Systematic Review","container-title":"Drugs &amp; Aging","page":"285-307 23p","volume":"30","issue":"5","source":"EBSCOhost","abstract":"Background: Overuse of unnecessary medications in frail older adults with limited life expectancy remains an understudied challenge. Objective: To identify intervention studies that reduced use of unnecessary medications in frail older adults. A secondary goal was to identify and review studies focusing on patients approaching end of life. We examined criteria for identifying unnecessary medications, intervention processes for medication reduction, and intervention effectiveness. Methods: A systematic review of English articles using MEDLINE, EMBASE, and International Pharmaceutical Abstracts from January 1966 to September 2012. Additional studies were identified by searching bibliographies. Search terms included prescription drugs, drug utilization, hospice or palliative care, and appropriate or inappropriate. A manual review of 971 identified abstracts for the inclusion criteria (study included an intervention to reduce chronic medication use; at least 5 participants; population included patients aged at least 65 years, hospice enrollment, or indication of frailty or risk of functional decline-including assisted living or nursing home residence, inpatient hospitalization) yielded 60 articles for full review by 3 investigators. After exclusion of review articles, interventions targeting acute medications, or studies exclusively in the intensive care unit, 36 articles were retained (including 13 identified by bibliography review). Articles were extracted for study design, study setting, intervention description, criteria for identifying unnecessary medication use, and intervention outcomes. Results: The studies included 15 randomized controlled trials, 4 non-randomized trials, 6 pre-post studies, and 11 case series. Control groups were used in over half of the studies ( n = 20). Study populations varied and included residents of nursing homes and assisted living facilities ( n = 16), hospitalized patients ( n = 14), hospice/palliative care patients ( n = 3), home care patients ( n = 2), and frail or disabled community-dwelling patients ( n = 1). The majority of studies ( n = 21) used implicit criteria to identify unnecessary medications (including drugs without indication, unnecessary duplication, and lack of effectiveness); only one study incorporated patient preference into prescribing criteria. Most (25) interventions were led by or involved pharmacists, 4 used academic detailing, 2 used audit and feedback reports targeting prescribers, and 5 involved physician-led medication reviews. Overall intervention effect sizes could not be determined due to heterogeneity of study designs, samples, and measures. Conclusions: Very little rigorous research has been conducted on reducing unnecessary medications in frail older adults or patients approaching end of life.","DOI":"10.1007/s40266-013-0064-1","ISSN":"1170-229X","shortTitle":"Studies to Reduce Unnecessary Medication Use in Frail Older Adults","journalAbbreviation":"Drugs &amp; Aging","author":[{"family":"Tjia","given":"Jennifer"},{"family":"Velten","given":"Sarah"},{"family":"Parsons","given":"Carole"},{"family":"Valluri","given":"Sruthi"},{"family":"Briesacher","given":"Becky"}],"issued":{"date-parts":[["2013",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26,28,29</w:t>
      </w:r>
      <w:r w:rsidRPr="00725D15">
        <w:rPr>
          <w:rFonts w:cs="Arial"/>
          <w:szCs w:val="22"/>
        </w:rPr>
        <w:fldChar w:fldCharType="end"/>
      </w:r>
      <w:r w:rsidRPr="00725D15">
        <w:rPr>
          <w:rFonts w:cs="Arial"/>
          <w:szCs w:val="22"/>
        </w:rPr>
        <w:t xml:space="preserve"> </w:t>
      </w:r>
    </w:p>
    <w:p w14:paraId="3FAEA8E6" w14:textId="2749AA0A" w:rsidR="001444C9" w:rsidRPr="00725D15" w:rsidRDefault="001444C9" w:rsidP="001444C9">
      <w:pPr>
        <w:ind w:firstLine="720"/>
        <w:rPr>
          <w:rFonts w:cs="Arial"/>
          <w:szCs w:val="22"/>
        </w:rPr>
      </w:pPr>
      <w:r w:rsidRPr="00725D15">
        <w:rPr>
          <w:rFonts w:cs="Arial"/>
          <w:szCs w:val="22"/>
        </w:rPr>
        <w:t>Several studies have been conducted which assess the prevalence of polypharmacy in the elderly population across a variety of settings. Using data from the 2014 Commonwealth Fund International Health Policy Survey of Older Adults, Osborn et al. reported that 53% of US adults aged 65 years and older took 4 or more medications, more than in Canada, Australia, and 7 countries in Western Europe.</w:t>
      </w:r>
      <w:r w:rsidRPr="00725D15">
        <w:rPr>
          <w:rFonts w:cs="Arial"/>
          <w:szCs w:val="22"/>
        </w:rPr>
        <w:fldChar w:fldCharType="begin"/>
      </w:r>
      <w:r w:rsidR="00434675">
        <w:rPr>
          <w:rFonts w:cs="Arial"/>
          <w:szCs w:val="22"/>
        </w:rPr>
        <w:instrText xml:space="preserve"> ADDIN ZOTERO_ITEM CSL_CITATION {"citationID":"2h2s405c8n","properties":{"formattedCitation":"\\super 30\\nosupersub{}","plainCitation":"30","noteIndex":0},"citationItems":[{"id":2297,"uris":["http://zotero.org/users/2597747/items/THF9DFPC"],"uri":["http://zotero.org/users/2597747/items/THF9DFPC"],"itemData":{"id":2297,"type":"article-journal","title":"International Survey Of Older Adults Finds Shortcomings In Access, Coordination, And Patient-Centered Care","container-title":"Health Affairs","page":"2247-2255","volume":"33","issue":"12","source":"content.healthaffairs.org","abstract":"Industrialized nations face the common challenge of caring for aging populations, with rising rates of chronic disease and disability. Our 2014 computer-assisted telephone survey of the health and care experiences among 15,617 adults age sixty-five or older in Australia, Canada, France, Germany, the Netherlands, New Zealand, Norway, Sweden, Switzerland, the United Kingdom, and the United States has found that US older adults were sicker than their counterparts abroad. Out-of-pocket expenses posed greater problems in the United States than elsewhere. Accessing primary care and avoiding the emergency department tended to be more difficult in the United States, Canada, and Sweden than in other surveyed countries. One-fifth or more of older adults reported receiving uncoordinated care in all countries except France. US respondents were among the most likely to have discussed health-promoting behaviors with a clinician, to have a chronic care plan tailored to their daily life, and to have engaged in end-of-life care planning. Finally, in half of the countries, one-fifth or more of chronically ill adults were caregivers themselves.","DOI":"10.1377/hlthaff.2014.0947","ISSN":"0278-2715, 1544-5208","note":"PMID: 25410260","journalAbbreviation":"Health Aff","language":"en","author":[{"family":"Osborn","given":"Robin"},{"family":"Moulds","given":"Donald"},{"family":"Squires","given":"David"},{"family":"Doty","given":"Michelle M."},{"family":"Anderson","given":"Chloe"}],"issued":{"date-parts":[["2014",12,1]]}}}],"schema":"https://github.com/citation-style-language/schema/raw/master/csl-citation.json"}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30</w:t>
      </w:r>
      <w:r w:rsidRPr="00725D15">
        <w:rPr>
          <w:rFonts w:cs="Arial"/>
          <w:szCs w:val="22"/>
        </w:rPr>
        <w:fldChar w:fldCharType="end"/>
      </w:r>
      <w:r w:rsidRPr="00725D15">
        <w:rPr>
          <w:rFonts w:cs="Arial"/>
          <w:szCs w:val="22"/>
        </w:rPr>
        <w:t xml:space="preserve">  A recent community-based study of ambulatory US adults 62 to 85 years old conducted from 2010-2011 reported the prevalence of any prescription medication use to be 87.7%, with 35.8% reporting the concurrent use of 5 or more medications.</w:t>
      </w:r>
      <w:r w:rsidRPr="00725D15">
        <w:rPr>
          <w:rFonts w:cs="Arial"/>
          <w:szCs w:val="22"/>
        </w:rPr>
        <w:fldChar w:fldCharType="begin"/>
      </w:r>
      <w:r w:rsidR="00434675">
        <w:rPr>
          <w:rFonts w:cs="Arial"/>
          <w:szCs w:val="22"/>
        </w:rPr>
        <w:instrText xml:space="preserve"> ADDIN ZOTERO_ITEM CSL_CITATION {"citationID":"8gbb5c3o","properties":{"formattedCitation":"\\super 31\\nosupersub{}","plainCitation":"31","noteIndex":0},"citationItems":[{"id":2273,"uris":["http://zotero.org/users/2597747/items/I77FVA82"],"uri":["http://zotero.org/users/2597747/items/I77FVA82"],"itemData":{"id":2273,"type":"article-journal","title":"Changes in prescription and over-the-counter medication and dietary supplement use among older adults in the united states, 2005 vs 2011","container-title":"JAMA Internal Medicine","page":"473-482","volume":"176","issue":"4","source":"Silverchair","abstract":"Importance \nPrescription and over-the-counter medicines and dietary supplements are commonly used, alone and together, among older adults. However, the effect of recent regulatory and market forces on these patterns is not known.Objectives\nTo characterize changes in the prevalence of medication use, including concurrent use of prescription and over-the-counter medications and dietary supplements, and to quantify the frequency and types of potential major drug-drug interactions.Design, Setting, and Participants\nDescriptive analyses of a longitudinal, nationally representative sample of community-dwelling older adults 62 to 85 years old. In-home interviews with direct medication inspection were conducted in 2005-2006 and again in 2010-2011. The dates of the analysis were March to November 2015. We defined medication use as the use of at least 1 prescription or over-the-counter medication or dietary supplement at least daily or weekly and defined concurrent use as the regular use of at least 2 medications. We used Micromedex to identify potential major drug-drug interactions.Main Outcomes and Measures\nPopulation estimates of the prevalence of medication use (in aggregate and by therapeutic class), concurrent use, and major drug-drug interactions.Results\nThe study cohort comprised 2351 participants in 2005-2006 and 2206 in 2010-2011. Their mean age was 70.9 years in 2005-2006 and 71.4 years in 2010-2011. Fifty-three percent of participants were female in 2005-2006, and 51.6% were female in 2010-2011. The use of at least 1 prescription medication slightly increased from 84.1% in 2005-2006 to 87.7% in 2010-2011 (P = .003). Concurrent use of at least 5 prescription medications increased from 30.6% to 35.8% (P = .02). While the use of over-the-counter medications declined from 44.4% to 37.9%, the use of dietary supplements increased from 51.8% to 63.7% (P &lt; .001 for both). There were clinically significant increases in the use of statins (33.8% to 46.2%), antiplatelets (32.8% to 43.0%), and omega-3 fish oils (4.7% to 18.6%) (P &lt; .05 for all). In 2010-2011, approximately 15.1% of older adults were at risk for a potential major drug-drug interaction compared with an estimated 8.4% in 2005-2006 (P &lt; .001). Most of these interacting regimens involved medications and dietary supplements increasingly used in 2010-2011.Conclusions and Relevance\nIn this study, the use of prescription medications and dietary supplements, and concurrent use of interacting medications, has increased since 2005, with 15% of older adults potentially at risk for a major drug-drug interaction. Improving safety with the use of multiple medications has the potential to reduce preventable adverse drug events associated with medications commonly used among older adults.","DOI":"10.1001/jamainternmed.2015.8581","ISSN":"2168-6106","journalAbbreviation":"JAMA Intern Med","author":[{"literal":"Qato DM"},{"literal":"Wilder J"},{"literal":"Schumm L"},{"literal":"Gillet V"},{"literal":"Alexander G"}],"issued":{"date-parts":[["2016",4,1]]}}}],"schema":"https://github.com/citation-style-language/schema/raw/master/csl-citation.json"}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31</w:t>
      </w:r>
      <w:r w:rsidRPr="00725D15">
        <w:rPr>
          <w:rFonts w:cs="Arial"/>
          <w:szCs w:val="22"/>
        </w:rPr>
        <w:fldChar w:fldCharType="end"/>
      </w:r>
      <w:r w:rsidRPr="00725D15">
        <w:rPr>
          <w:rFonts w:cs="Arial"/>
          <w:szCs w:val="22"/>
        </w:rPr>
        <w:t xml:space="preserve"> When including over-the-counter medications and dietary supplements, the proportion reporting concurrent use of 5 or more medications increased to 67.1%.</w:t>
      </w:r>
      <w:r w:rsidRPr="00725D15">
        <w:rPr>
          <w:rFonts w:cs="Arial"/>
          <w:szCs w:val="22"/>
        </w:rPr>
        <w:fldChar w:fldCharType="begin"/>
      </w:r>
      <w:r w:rsidR="00434675">
        <w:rPr>
          <w:rFonts w:cs="Arial"/>
          <w:szCs w:val="22"/>
        </w:rPr>
        <w:instrText xml:space="preserve"> ADDIN ZOTERO_ITEM CSL_CITATION {"citationID":"248tbq8kh4","properties":{"formattedCitation":"\\super 31\\nosupersub{}","plainCitation":"31","noteIndex":0},"citationItems":[{"id":2273,"uris":["http://zotero.org/users/2597747/items/I77FVA82"],"uri":["http://zotero.org/users/2597747/items/I77FVA82"],"itemData":{"id":2273,"type":"article-journal","title":"Changes in prescription and over-the-counter medication and dietary supplement use among older adults in the united states, 2005 vs 2011","container-title":"JAMA Internal Medicine","page":"473-482","volume":"176","issue":"4","source":"Silverchair","abstract":"Importance \nPrescription and over-the-counter medicines and dietary supplements are commonly used, alone and together, among older adults. However, the effect of recent regulatory and market forces on these patterns is not known.Objectives\nTo characterize changes in the prevalence of medication use, including concurrent use of prescription and over-the-counter medications and dietary supplements, and to quantify the frequency and types of potential major drug-drug interactions.Design, Setting, and Participants\nDescriptive analyses of a longitudinal, nationally representative sample of community-dwelling older adults 62 to 85 years old. In-home interviews with direct medication inspection were conducted in 2005-2006 and again in 2010-2011. The dates of the analysis were March to November 2015. We defined medication use as the use of at least 1 prescription or over-the-counter medication or dietary supplement at least daily or weekly and defined concurrent use as the regular use of at least 2 medications. We used Micromedex to identify potential major drug-drug interactions.Main Outcomes and Measures\nPopulation estimates of the prevalence of medication use (in aggregate and by therapeutic class), concurrent use, and major drug-drug interactions.Results\nThe study cohort comprised 2351 participants in 2005-2006 and 2206 in 2010-2011. Their mean age was 70.9 years in 2005-2006 and 71.4 years in 2010-2011. Fifty-three percent of participants were female in 2005-2006, and 51.6% were female in 2010-2011. The use of at least 1 prescription medication slightly increased from 84.1% in 2005-2006 to 87.7% in 2010-2011 (P = .003). Concurrent use of at least 5 prescription medications increased from 30.6% to 35.8% (P = .02). While the use of over-the-counter medications declined from 44.4% to 37.9%, the use of dietary supplements increased from 51.8% to 63.7% (P &lt; .001 for both). There were clinically significant increases in the use of statins (33.8% to 46.2%), antiplatelets (32.8% to 43.0%), and omega-3 fish oils (4.7% to 18.6%) (P &lt; .05 for all). In 2010-2011, approximately 15.1% of older adults were at risk for a potential major drug-drug interaction compared with an estimated 8.4% in 2005-2006 (P &lt; .001). Most of these interacting regimens involved medications and dietary supplements increasingly used in 2010-2011.Conclusions and Relevance\nIn this study, the use of prescription medications and dietary supplements, and concurrent use of interacting medications, has increased since 2005, with 15% of older adults potentially at risk for a major drug-drug interaction. Improving safety with the use of multiple medications has the potential to reduce preventable adverse drug events associated with medications commonly used among older adults.","DOI":"10.1001/jamainternmed.2015.8581","ISSN":"2168-6106","journalAbbreviation":"JAMA Intern Med","author":[{"literal":"Qato DM"},{"literal":"Wilder J"},{"literal":"Schumm L"},{"literal":"Gillet V"},{"literal":"Alexander G"}],"issued":{"date-parts":[["2016",4,1]]}}}],"schema":"https://github.com/citation-style-language/schema/raw/master/csl-citation.json"}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31</w:t>
      </w:r>
      <w:r w:rsidRPr="00725D15">
        <w:rPr>
          <w:rFonts w:cs="Arial"/>
          <w:szCs w:val="22"/>
        </w:rPr>
        <w:fldChar w:fldCharType="end"/>
      </w:r>
      <w:r w:rsidRPr="00725D15">
        <w:rPr>
          <w:rFonts w:cs="Arial"/>
          <w:szCs w:val="22"/>
        </w:rPr>
        <w:t xml:space="preserve"> The most prevalent therapeutic classes were antihypertensives (65.1%), analgesics (54.3%), antihyperlipidemics (50.1%), and anticoagulants (47.6%). In 2012, Medicare Part D enrollees were found to fill an average of 4 prescriptions per month, with 29% filling 4-7 prescriptions and 19% filling 8 or more prescriptions monthly.</w:t>
      </w:r>
      <w:r w:rsidRPr="00725D15">
        <w:rPr>
          <w:rFonts w:cs="Arial"/>
          <w:szCs w:val="22"/>
        </w:rPr>
        <w:fldChar w:fldCharType="begin"/>
      </w:r>
      <w:r w:rsidR="00434675">
        <w:rPr>
          <w:rFonts w:cs="Arial"/>
          <w:szCs w:val="22"/>
        </w:rPr>
        <w:instrText xml:space="preserve"> ADDIN ZOTERO_ITEM CSL_CITATION {"citationID":"17r1ht96jk","properties":{"formattedCitation":"\\super 25\\nosupersub{}","plainCitation":"25","noteIndex":0},"citationItems":[{"id":3283,"uris":["http://zotero.org/users/2597747/items/W9SZHAWE"],"uri":["http://zotero.org/users/2597747/items/W9SZHAWE"],"itemData":{"id":3283,"type":"report","title":"Report to the Congress: Medicare and the Health Care Delivery System","publisher":"Medicare Payment Advisory Commission.","publisher-place":"Washington, D.C.","event-place":"Washington, D.C.","URL":"http://www.medpac.gov/documents/reports/chapter-5-polypharmacy-and-opioid-use-among-medicare-part-d-enrollees-(june-2015-report).pdf?sfvrsn=0","issued":{"date-parts":[["2015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25</w:t>
      </w:r>
      <w:r w:rsidRPr="00725D15">
        <w:rPr>
          <w:rFonts w:cs="Arial"/>
          <w:szCs w:val="22"/>
        </w:rPr>
        <w:fldChar w:fldCharType="end"/>
      </w:r>
      <w:r w:rsidRPr="00725D15">
        <w:rPr>
          <w:rFonts w:cs="Arial"/>
          <w:szCs w:val="22"/>
        </w:rPr>
        <w:t xml:space="preserve"> High rates of polypharmacy have also been found in other care settings. Among US nursing home residents, approximately 40% concurrently use 9 or more medications.</w:t>
      </w:r>
      <w:r w:rsidRPr="00725D15">
        <w:rPr>
          <w:rFonts w:cs="Arial"/>
          <w:szCs w:val="22"/>
        </w:rPr>
        <w:fldChar w:fldCharType="begin"/>
      </w:r>
      <w:r w:rsidR="00434675">
        <w:rPr>
          <w:rFonts w:cs="Arial"/>
          <w:szCs w:val="22"/>
        </w:rPr>
        <w:instrText xml:space="preserve"> ADDIN ZOTERO_ITEM CSL_CITATION {"citationID":"1i48u792m6","properties":{"formattedCitation":"\\super 32\\nosupersub{}","plainCitation":"32","noteIndex":0},"citationItems":[{"id":2262,"uris":["http://zotero.org/users/2597747/items/8JS4H2U6"],"uri":["http://zotero.org/users/2597747/items/8JS4H2U6"],"itemData":{"id":2262,"type":"article-journal","title":"Polypharmacy in nursing home residents in the United States: results of the 2004 National Nursing Home Survey","container-title":"The American Journal of Geriatric Pharmacotherapy","page":"63-72","volume":"8","issue":"1","source":"PubMed","abstract":"BACKGROUND: Despite the need for and benefits of medications, polypharmacy (defined here as concurrent use of &gt; or =9 medications) in nursing home residents is a concern. As the number of medications taken increases, so does the risk for adverse events. Monitoring polypharmacy in this population is important and can improve the quality of nursing home care.\nOBJECTIVES: The aims of this article were to estimate the use of polypharmacy in residents of nursing homes in the United States, to examine the associations between select resident and facility characteristics and polypharmacy, and to determine the leading therapeutic subclasses included in the polypharmacy received by these nursing home residents.\nMETHODS: This was a retrospective, cross-sectional study of a nationally representative sample of US nursing home residents in 2004; the outcome was use of polypharmacy. The 2004 National Nursing Home Survey was used to collect medication data and other resident and facility information. Resident characteristics included age, sex, race, primary payment source, number of comorbidities, number of activities of daily living (ADLs) for which the resident required assistance, and length of stay (LOS) since admission. Facility characteristics included ownership and size (number of beds).\nRESULTS: Of 13,507 nursing home residents who received care, 13,403 had valid responses for all 9 independent variables in the analyses. The prevalence of polypharmacy among nursing home residents in 2004 was approximately 40%. A multiple regression model controlling for resident and facility factors revealed that the odds of receiving polypharmacy were higher for residents who were female (odds ratio [OR] = 1.10; 95% CI, 1.00-1.20), were white, had Medicaid as a primary payer, had &gt;3 comorbidities (OR = 1.57-5.18; 95% CI, 1.36-6.15), needed assistance with &lt; or =4 ADLs, had an LOS since admission of 3 to &lt;6 months (OR = 1.25; 95% CI, 1.04-1.50), and received care in a small, not- for-profit facility (data not shown for reference levels [OR = 1.00]). The most frequently reported medications for residents who received polypharmacy included gastrointestinal agents (laxatives, 47.5%; agents for acid/peptic disorders, 43.3%), drugs that affect the central nervous system (antidepressants, 46.3%; antipsychotics or antimanics, 25.9%), and pain relievers (nonnarcotic analgesics, 43.6%; antipyretics, 41.2%; antiarthritics, 31.2%).\nCONCLUSIONS: Despite awareness of polypharmacy and its potential consequences in older patients, results of our analysis suggest that polypharmacy remains widespread in US nursing homes. Although complex medication regimens are often necessary for nursing home residents, monitoring polypharmacy and its consequences may improve the quality of nursing home care and reduce unnecessary health care spending related to adverse events.","DOI":"10.1016/j.amjopharm.2010.01.001","ISSN":"1876-7761","note":"PMID: 20226393","shortTitle":"Polypharmacy in nursing home residents in the United States","journalAbbreviation":"Am J Geriatr Pharmacother","language":"eng","author":[{"family":"Dwyer","given":"Lisa L."},{"family":"Han","given":"Beth"},{"family":"Woodwell","given":"David A."},{"family":"Rechtsteiner","given":"Elizabeth A."}],"issued":{"date-parts":[["2010",2]]}}}],"schema":"https://github.com/citation-style-language/schema/raw/master/csl-citation.json"}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32</w:t>
      </w:r>
      <w:r w:rsidRPr="00725D15">
        <w:rPr>
          <w:rFonts w:cs="Arial"/>
          <w:szCs w:val="22"/>
        </w:rPr>
        <w:fldChar w:fldCharType="end"/>
      </w:r>
      <w:r w:rsidRPr="00725D15">
        <w:rPr>
          <w:rFonts w:cs="Arial"/>
          <w:szCs w:val="22"/>
        </w:rPr>
        <w:t xml:space="preserve"> The proportion of elderly adults taking 5-8 medications and 9+ medications at hospital discharge has been estimated at 41% and 37%, respectively.</w:t>
      </w:r>
      <w:r w:rsidRPr="00725D15">
        <w:rPr>
          <w:rFonts w:cs="Arial"/>
          <w:szCs w:val="22"/>
        </w:rPr>
        <w:fldChar w:fldCharType="begin"/>
      </w:r>
      <w:r w:rsidR="00434675">
        <w:rPr>
          <w:rFonts w:cs="Arial"/>
          <w:szCs w:val="22"/>
        </w:rPr>
        <w:instrText xml:space="preserve"> ADDIN ZOTERO_ITEM CSL_CITATION {"citationID":"16drkerinm","properties":{"formattedCitation":"\\super 33\\nosupersub{}","plainCitation":"33","noteIndex":0},"citationItems":[{"id":2270,"uris":["http://zotero.org/users/2597747/items/3UGG8Z4H"],"uri":["http://zotero.org/users/2597747/items/3UGG8Z4H"],"itemData":{"id":2270,"type":"article-journal","title":"Unnecessary drug use in frail older people at hospital discharge","container-title":"Journal of the American Geriatrics Society","page":"1518-1523","volume":"53","issue":"9","source":"PubMed","abstract":"OBJECTIVES: To determine the prevalence and predictors of unnecessary drug use at hospital discharge in frail elderly patients.\nDESIGN: Cross-sectional.\nSETTING: Eleven Veterans Affairs Medical Centers.\nPARTICIPANTS: Three hundred eighty-four frail older patients from the Geriatric Evaluation and Management Drug Study.\nMEASUREMENTS: Assessment of unnecessary drug use was determined by the consensus of a clinical pharmacist and physician pair applying the Medication Appropriateness Index to each regularly scheduled medication at hospital discharge. Those drugs that received an inappropriate rating for indication, efficacy, or therapeutic duplication were defined as unnecessary.\nRESULTS: Forty-four percent of patients had at least one unnecessary drug, with the most common reason being lack of indication. The most commonly prescribed unnecessary drug classes were gastrointestinal, central nervous system, and therapeutic nutrients/minerals. Factors associated (P&lt;.05) with unnecessary drug use included hypertension (adjusted odds ratio (AOR)=0.61, 95% confidence interval (CI)=0.38-0.96), multiple prescribers (AOR=3.35, 95% CI=1.16-9.68), and nine or more medications (AOR=2.24, 95% CI=1.25-3.99).\nCONCLUSION: A high prevalence of unnecessary drug use at discharge was found in frail hospitalized elderly patients. Additional studies are needed to identify predictors and prevalence of unnecessary drug use in nonveteran populations so that interventions can be designed to reduce the problem.","DOI":"10.1111/j.1532-5415.2005.53523.x","ISSN":"0002-8614","note":"PMID: 16137281","journalAbbreviation":"J Am Geriatr Soc","language":"eng","author":[{"family":"Hajjar","given":"Emily R."},{"family":"Hanlon","given":"Joseph T."},{"family":"Sloane","given":"Richard J."},{"family":"Lindblad","given":"Catherine I."},{"family":"Pieper","given":"Carl F."},{"family":"Ruby","given":"Christine M."},{"family":"Branch","given":"Laurence C."},{"family":"Schmader","given":"Kenneth E."}],"issued":{"date-parts":[["2005",9]]}}}],"schema":"https://github.com/citation-style-language/schema/raw/master/csl-citation.json"}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33</w:t>
      </w:r>
      <w:r w:rsidRPr="00725D15">
        <w:rPr>
          <w:rFonts w:cs="Arial"/>
          <w:szCs w:val="22"/>
        </w:rPr>
        <w:fldChar w:fldCharType="end"/>
      </w:r>
    </w:p>
    <w:p w14:paraId="2A9245C4" w14:textId="7C4A0309" w:rsidR="001444C9" w:rsidRPr="00725D15" w:rsidRDefault="001444C9" w:rsidP="001444C9">
      <w:pPr>
        <w:ind w:firstLine="720"/>
        <w:rPr>
          <w:rFonts w:cs="Arial"/>
          <w:szCs w:val="22"/>
        </w:rPr>
      </w:pPr>
      <w:r w:rsidRPr="00725D15">
        <w:rPr>
          <w:rFonts w:cs="Arial"/>
          <w:szCs w:val="22"/>
        </w:rPr>
        <w:lastRenderedPageBreak/>
        <w:t xml:space="preserve">A growing body of evidence has linked the concurrent use of multiple medications with negative health outcomes in the elderly population. Patients taking multiple medications are at an increased risk of adverse drug events (ADEs) and nonadherence, both of which can lead to increased </w:t>
      </w:r>
      <w:r w:rsidR="00116443">
        <w:rPr>
          <w:rFonts w:cs="Arial"/>
          <w:szCs w:val="22"/>
        </w:rPr>
        <w:t>ED</w:t>
      </w:r>
      <w:r w:rsidRPr="00725D15">
        <w:rPr>
          <w:rFonts w:cs="Arial"/>
          <w:szCs w:val="22"/>
        </w:rPr>
        <w:t xml:space="preserve"> visits and hospitalizations.</w:t>
      </w:r>
      <w:r w:rsidRPr="00725D15">
        <w:rPr>
          <w:rFonts w:cs="Arial"/>
          <w:szCs w:val="22"/>
        </w:rPr>
        <w:fldChar w:fldCharType="begin"/>
      </w:r>
      <w:r w:rsidR="00434675">
        <w:rPr>
          <w:rFonts w:cs="Arial"/>
          <w:szCs w:val="22"/>
        </w:rPr>
        <w:instrText xml:space="preserve"> ADDIN ZOTERO_ITEM CSL_CITATION {"citationID":"1i69s2mp2h","properties":{"formattedCitation":"\\super 34\\nosupersub{}","plainCitation":"34","noteIndex":0},"citationItems":[{"id":2140,"uris":["http://zotero.org/users/2597747/items/7CC52KIT"],"uri":["http://zotero.org/users/2597747/items/7CC52KIT"],"itemData":{"id":2140,"type":"article-journal","title":"A Patient's Last Wish at the End-of-Life","page":"375-380","volume":"31","issue":"7","source":"PubMed","abstract":"INTRODUCTION: Patients who have transitioned to end-of-life (EOL) care are at an increased risk for polypharmacy as they face new symptoms requiring palliative-care medications.\nCASE: The patient was a 96-year-old, 6' 2\", 125-pound male patient who was brought into the outpatient geriatric practice by his daughter, with whom he had been living all his life. The patient had no pain, but severe dysphagia. Both daughter and patient were fully aware that death was imminent, as the patient had lost 60 pounds in the past three to four months because of gastrointestinal cancer. The daughter asked if she could stop any of his medications, which she had been struggling to provide because of his dysphagia; Her bed-bound father was anorectic; at that point the geriatrician called for a pharmacy consult, specifically to address the issue of unnecessary medications.\nDISCUSSION: There is little evidence or guidance in reducing or discontinuing medications for chronic illnesses during EOL care. While it is understandable that the number of symptom-relief medications will increase, patient comfort can be helped by reducing maintenance medications that have little to no short-term benefit.\nCONCLUSION: As EOL approaches, a patient's last wishes must be respected, including timely changes to his or her medication regimen. Pharmacists are an essential asset to the geriatric interdisciplinary team, as they can provide extensive medication counseling.","DOI":"10.4140/TCP.n.2016.375","ISSN":"0888-5109","note":"PMID: 27412313","journalAbbreviation":"Consult Pharm","language":"eng","author":[{"family":"Cimmino","given":"Katharine"},{"family":"Pisano","given":"Michele"}],"issued":{"date-parts":[["2016",7]]}}}],"schema":"https://github.com/citation-style-language/schema/raw/master/csl-citation.json"}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34</w:t>
      </w:r>
      <w:r w:rsidRPr="00725D15">
        <w:rPr>
          <w:rFonts w:cs="Arial"/>
          <w:szCs w:val="22"/>
        </w:rPr>
        <w:fldChar w:fldCharType="end"/>
      </w:r>
      <w:r w:rsidRPr="00725D15">
        <w:rPr>
          <w:rFonts w:cs="Arial"/>
          <w:szCs w:val="22"/>
        </w:rPr>
        <w:t xml:space="preserve"> For patients prescribed more than seven medications, the risk of developing an ADE has been reported to be greater than 80%.</w:t>
      </w:r>
      <w:r w:rsidRPr="00725D15">
        <w:rPr>
          <w:rFonts w:cs="Arial"/>
          <w:szCs w:val="22"/>
        </w:rPr>
        <w:fldChar w:fldCharType="begin"/>
      </w:r>
      <w:r w:rsidR="00434675">
        <w:rPr>
          <w:rFonts w:cs="Arial"/>
          <w:szCs w:val="22"/>
        </w:rPr>
        <w:instrText xml:space="preserve"> ADDIN ZOTERO_ITEM CSL_CITATION {"citationID":"i177r60jf","properties":{"formattedCitation":"\\super 24,34\\nosupersub{}","plainCitation":"24,34","noteIndex":0},"citationItems":[{"id":2140,"uris":["http://zotero.org/users/2597747/items/7CC52KIT"],"uri":["http://zotero.org/users/2597747/items/7CC52KIT"],"itemData":{"id":2140,"type":"article-journal","title":"A Patient's Last Wish at the End-of-Life","page":"375-380","volume":"31","issue":"7","source":"PubMed","abstract":"INTRODUCTION: Patients who have transitioned to end-of-life (EOL) care are at an increased risk for polypharmacy as they face new symptoms requiring palliative-care medications.\nCASE: The patient was a 96-year-old, 6' 2\", 125-pound male patient who was brought into the outpatient geriatric practice by his daughter, with whom he had been living all his life. The patient had no pain, but severe dysphagia. Both daughter and patient were fully aware that death was imminent, as the patient had lost 60 pounds in the past three to four months because of gastrointestinal cancer. The daughter asked if she could stop any of his medications, which she had been struggling to provide because of his dysphagia; Her bed-bound father was anorectic; at that point the geriatrician called for a pharmacy consult, specifically to address the issue of unnecessary medications.\nDISCUSSION: There is little evidence or guidance in reducing or discontinuing medications for chronic illnesses during EOL care. While it is understandable that the number of symptom-relief medications will increase, patient comfort can be helped by reducing maintenance medications that have little to no short-term benefit.\nCONCLUSION: As EOL approaches, a patient's last wishes must be respected, including timely changes to his or her medication regimen. Pharmacists are an essential asset to the geriatric interdisciplinary team, as they can provide extensive medication counseling.","DOI":"10.4140/TCP.n.2016.375","ISSN":"0888-5109","note":"PMID: 27412313","journalAbbreviation":"Consult Pharm","language":"eng","author":[{"family":"Cimmino","given":"Katharine"},{"family":"Pisano","given":"Michele"}],"issued":{"date-parts":[["2016",7]]}}},{"id":3260,"uris":["http://zotero.org/users/2597747/items/75RDU8KG"],"uri":["http://zotero.org/users/2597747/items/75RDU8KG"],"itemData":{"id":3260,"type":"article-journal","title":"Polypharmacy, adverse drug reactions, and geriatric syndromes","container-title":"Clinics in Geriatric Medicine","page":"173-186","volume":"28","issue":"2","source":"PubMed","abstract":"The elderly are at risk for polypharmacy, which is associated with significant consequences such as adverse effects, medication nonadherence, drug-drug and drug-disease interactions, and increased risk of geriatric syndromes. Providers should evaluate all existing medications at each patient visit for appropriateness and weigh the risks and benefits of starting new medications to minimize polypharmacy.","DOI":"10.1016/j.cger.2012.01.002","ISSN":"1879-8853","note":"PMID: 22500537","journalAbbreviation":"Clin. Geriatr. Med.","language":"eng","author":[{"family":"Shah","given":"Bhavik M."},{"family":"Hajjar","given":"Emily R."}],"issued":{"date-parts":[["2012",5]]}}}],"schema":"https://github.com/citation-style-language/schema/raw/master/csl-citation.json"}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24,34</w:t>
      </w:r>
      <w:r w:rsidRPr="00725D15">
        <w:rPr>
          <w:rFonts w:cs="Arial"/>
          <w:szCs w:val="22"/>
        </w:rPr>
        <w:fldChar w:fldCharType="end"/>
      </w:r>
      <w:r w:rsidRPr="00725D15">
        <w:rPr>
          <w:rFonts w:cs="Arial"/>
          <w:szCs w:val="22"/>
        </w:rPr>
        <w:t xml:space="preserve"> One study of ambulatory care visits reported each additional medication to increase the number of ADEs per patient by 10%.</w:t>
      </w:r>
      <w:r w:rsidRPr="00725D15">
        <w:rPr>
          <w:rFonts w:cs="Arial"/>
          <w:szCs w:val="22"/>
        </w:rPr>
        <w:fldChar w:fldCharType="begin"/>
      </w:r>
      <w:r w:rsidR="00434675">
        <w:rPr>
          <w:rFonts w:cs="Arial"/>
          <w:szCs w:val="22"/>
        </w:rPr>
        <w:instrText xml:space="preserve"> ADDIN ZOTERO_ITEM CSL_CITATION {"citationID":"2o4nvdf3ia","properties":{"formattedCitation":"\\super 35\\nosupersub{}","plainCitation":"35","noteIndex":0},"citationItems":[{"id":2271,"uris":["http://zotero.org/users/2597747/items/BF3HXP8G"],"uri":["http://zotero.org/users/2597747/items/BF3HXP8G"],"itemData":{"id":2271,"type":"article-journal","title":"Adverse Drug Events in Ambulatory Care","container-title":"New England Journal of Medicine","page":"1556-1564","volume":"348","issue":"16","source":"Taylor and Francis+NEJM","abstract":"Adverse drug-related events, defined as injuries due to drugs, occur frequently among inpatients.1–4 In one study, 6.5 percent of hospitalized patients had an adverse drug event, and 28 percent of the events were preventable.5 Adverse drug events often lead to hospital admission. A meta-analysis6 estimated that in 1994 more than 1 million Americans were hospitalized because of adverse drug events, accounting for 4.7 percent of all admissions. Even though most prescribing occurs in outpatient settings, much less is known about outpatient adverse drug events than about inpatient events. Annual estimates of the proportion of outpatients with an adverse drug . . .","DOI":"10.1056/NEJMsa020703","ISSN":"0028-4793","note":"PMID: 12700376","author":[{"family":"Gandhi","given":"Tejal K."},{"family":"Weingart","given":"Saul N."},{"family":"Borus","given":"Joshua"},{"family":"Seger","given":"Andrew C."},{"family":"Peterson","given":"Josh"},{"family":"Burdick","given":"Elisabeth"},{"family":"Seger","given":"Diane L."},{"family":"Shu","given":"Kirstin"},{"family":"Federico","given":"Frank"},{"family":"Leape","given":"Lucian L."},{"family":"Bates","given":"David W."}],"issued":{"date-parts":[["2003",4,17]]}}}],"schema":"https://github.com/citation-style-language/schema/raw/master/csl-citation.json"}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35</w:t>
      </w:r>
      <w:r w:rsidRPr="00725D15">
        <w:rPr>
          <w:rFonts w:cs="Arial"/>
          <w:szCs w:val="22"/>
        </w:rPr>
        <w:fldChar w:fldCharType="end"/>
      </w:r>
      <w:r w:rsidRPr="00725D15">
        <w:rPr>
          <w:rFonts w:cs="Arial"/>
          <w:szCs w:val="22"/>
        </w:rPr>
        <w:t xml:space="preserve"> The probability of drug-drug interactions (DDIs), a common cause of drug toxicity-related hospitalizations in the elderly, also increases with use of an increasing number of medications. A recent study reported that approximately 15% of elderly adults are using medication combinations that put them at risk for serious DDIs.</w:t>
      </w:r>
      <w:r w:rsidRPr="00725D15">
        <w:rPr>
          <w:rFonts w:cs="Arial"/>
          <w:szCs w:val="22"/>
        </w:rPr>
        <w:fldChar w:fldCharType="begin"/>
      </w:r>
      <w:r w:rsidR="00434675">
        <w:rPr>
          <w:rFonts w:cs="Arial"/>
          <w:szCs w:val="22"/>
        </w:rPr>
        <w:instrText xml:space="preserve"> ADDIN ZOTERO_ITEM CSL_CITATION {"citationID":"2bhsnbc1g1","properties":{"formattedCitation":"\\super 31\\nosupersub{}","plainCitation":"31","noteIndex":0},"citationItems":[{"id":2273,"uris":["http://zotero.org/users/2597747/items/I77FVA82"],"uri":["http://zotero.org/users/2597747/items/I77FVA82"],"itemData":{"id":2273,"type":"article-journal","title":"Changes in prescription and over-the-counter medication and dietary supplement use among older adults in the united states, 2005 vs 2011","container-title":"JAMA Internal Medicine","page":"473-482","volume":"176","issue":"4","source":"Silverchair","abstract":"Importance \nPrescription and over-the-counter medicines and dietary supplements are commonly used, alone and together, among older adults. However, the effect of recent regulatory and market forces on these patterns is not known.Objectives\nTo characterize changes in the prevalence of medication use, including concurrent use of prescription and over-the-counter medications and dietary supplements, and to quantify the frequency and types of potential major drug-drug interactions.Design, Setting, and Participants\nDescriptive analyses of a longitudinal, nationally representative sample of community-dwelling older adults 62 to 85 years old. In-home interviews with direct medication inspection were conducted in 2005-2006 and again in 2010-2011. The dates of the analysis were March to November 2015. We defined medication use as the use of at least 1 prescription or over-the-counter medication or dietary supplement at least daily or weekly and defined concurrent use as the regular use of at least 2 medications. We used Micromedex to identify potential major drug-drug interactions.Main Outcomes and Measures\nPopulation estimates of the prevalence of medication use (in aggregate and by therapeutic class), concurrent use, and major drug-drug interactions.Results\nThe study cohort comprised 2351 participants in 2005-2006 and 2206 in 2010-2011. Their mean age was 70.9 years in 2005-2006 and 71.4 years in 2010-2011. Fifty-three percent of participants were female in 2005-2006, and 51.6% were female in 2010-2011. The use of at least 1 prescription medication slightly increased from 84.1% in 2005-2006 to 87.7% in 2010-2011 (P = .003). Concurrent use of at least 5 prescription medications increased from 30.6% to 35.8% (P = .02). While the use of over-the-counter medications declined from 44.4% to 37.9%, the use of dietary supplements increased from 51.8% to 63.7% (P &lt; .001 for both). There were clinically significant increases in the use of statins (33.8% to 46.2%), antiplatelets (32.8% to 43.0%), and omega-3 fish oils (4.7% to 18.6%) (P &lt; .05 for all). In 2010-2011, approximately 15.1% of older adults were at risk for a potential major drug-drug interaction compared with an estimated 8.4% in 2005-2006 (P &lt; .001). Most of these interacting regimens involved medications and dietary supplements increasingly used in 2010-2011.Conclusions and Relevance\nIn this study, the use of prescription medications and dietary supplements, and concurrent use of interacting medications, has increased since 2005, with 15% of older adults potentially at risk for a major drug-drug interaction. Improving safety with the use of multiple medications has the potential to reduce preventable adverse drug events associated with medications commonly used among older adults.","DOI":"10.1001/jamainternmed.2015.8581","ISSN":"2168-6106","journalAbbreviation":"JAMA Intern Med","author":[{"literal":"Qato DM"},{"literal":"Wilder J"},{"literal":"Schumm L"},{"literal":"Gillet V"},{"literal":"Alexander G"}],"issued":{"date-parts":[["2016",4,1]]}}}],"schema":"https://github.com/citation-style-language/schema/raw/master/csl-citation.json"}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31</w:t>
      </w:r>
      <w:r w:rsidRPr="00725D15">
        <w:rPr>
          <w:rFonts w:cs="Arial"/>
          <w:szCs w:val="22"/>
        </w:rPr>
        <w:fldChar w:fldCharType="end"/>
      </w:r>
      <w:r w:rsidRPr="00725D15">
        <w:rPr>
          <w:rFonts w:cs="Arial"/>
          <w:szCs w:val="22"/>
        </w:rPr>
        <w:t xml:space="preserve"> In patients taking 8 or more medications, the presence of at least one medication combination posing a potential DDI risk has been reported to approach 100%.</w:t>
      </w:r>
      <w:r w:rsidRPr="00725D15">
        <w:rPr>
          <w:rFonts w:cs="Arial"/>
          <w:szCs w:val="22"/>
        </w:rPr>
        <w:fldChar w:fldCharType="begin"/>
      </w:r>
      <w:r w:rsidR="00434675">
        <w:rPr>
          <w:rFonts w:cs="Arial"/>
          <w:szCs w:val="22"/>
        </w:rPr>
        <w:instrText xml:space="preserve"> ADDIN ZOTERO_ITEM CSL_CITATION {"citationID":"ietf5f37u","properties":{"formattedCitation":"\\super 24,36\\nosupersub{}","plainCitation":"24,36","noteIndex":0},"citationItems":[{"id":3260,"uris":["http://zotero.org/users/2597747/items/75RDU8KG"],"uri":["http://zotero.org/users/2597747/items/75RDU8KG"],"itemData":{"id":3260,"type":"article-journal","title":"Polypharmacy, adverse drug reactions, and geriatric syndromes","container-title":"Clinics in Geriatric Medicine","page":"173-186","volume":"28","issue":"2","source":"PubMed","abstract":"The elderly are at risk for polypharmacy, which is associated with significant consequences such as adverse effects, medication nonadherence, drug-drug and drug-disease interactions, and increased risk of geriatric syndromes. Providers should evaluate all existing medications at each patient visit for appropriateness and weigh the risks and benefits of starting new medications to minimize polypharmacy.","DOI":"10.1016/j.cger.2012.01.002","ISSN":"1879-8853","note":"PMID: 22500537","journalAbbreviation":"Clin. Geriatr. Med.","language":"eng","author":[{"family":"Shah","given":"Bhavik M."},{"family":"Hajjar","given":"Emily R."}],"issued":{"date-parts":[["2012",5]]}}},{"id":2264,"uris":["http://zotero.org/users/2597747/items/MXQKW63U"],"uri":["http://zotero.org/users/2597747/items/MXQKW63U"],"itemData":{"id":2264,"type":"article-journal","title":"Drug-drug interactions among elderly patients hospitalized for drug toxicity","container-title":"JAMA","page":"1652-1658","volume":"289","issue":"13","source":"PubMed","abstract":"CONTEXT: Drug-drug interactions are a preventable cause of morbidity and mortality, yet their consequences in the community are not well characterized.\nOBJECTIVE: To determine whether elderly patients admitted to hospital with specific drug toxicities were likely to have been prescribed an interacting drug in the week prior to admission.\nDESIGN: Three population-based, nested case-control studies.\nSETTING: Ontario, Canada, from January 1, 1994, to December 31, 2000.\nPATIENTS: All Ontario residents aged 66 years or older treated with glyburide, digoxin, or an angiotensin-converting enzyme (ACE) inhibitor. Case patients were those admitted to hospital for drug-related toxicity. Prescription records of cases were compared with those of controls (matched on age, sex, use of the same medication, and presence or absence of renal disease) for receipt of interacting medications (co-trimoxazole with glyburide, clarithromycin with digoxin, and potassium-sparing diuretics with ACE inhibitors).\nMAIN OUTCOME MEASURE: Odds ratio for association between hospital admission for drug toxicity (hypoglycemia, digoxin toxicity, or hyperkalemia, respectively) and use of an interacting medication in the preceding week, adjusted for diagnoses, receipt of other medications, the number of prescription drugs, and the number of hospital admissions in the year preceding the index date.\nRESULTS: During the 7-year study period, 909 elderly patients receiving glyburide were admitted with a diagnosis of hypoglycemia. In the primary analysis, those patients admitted for hypoglycemia were more than 6 times as likely to have been treated with co-trimoxazole in the previous week (adjusted odds ratio, 6.6; 95% confidence interval, 4.5-9.7). Patients admitted with digoxin toxicity (n = 1051) were about 12 times more likely to have been treated with clarithromycin (adjusted odds ratio, 11.7; 95% confidence interval, 7.5-18.2) in the previous week, and patients treated with ACE inhibitors admitted with a diagnosis of hyperkalemia (n = 523) were about 20 times more likely to have been treated with a potassium-sparing diuretic (adjusted odds ratio, 20.3; 95% confidence interval, 13.4-30.7) in the previous week. No increased risk of drug toxicity was found for drugs with similar indications but no known interactions (amoxicillin, cefuroxime, and indapamide, respectively).\nCONCLUSIONS: Many hospital admissions of elderly patients for drug toxicity occur after administration of a drug known to cause drug-drug interactions. Many of these interactions could have been avoided.","DOI":"10.1001/jama.289.13.1652","ISSN":"0098-7484","note":"PMID: 12672733","journalAbbreviation":"JAMA","language":"eng","author":[{"family":"Juurlink","given":"David N."},{"family":"Mamdani","given":"Muhammad"},{"family":"Kopp","given":"Alexander"},{"family":"Laupacis","given":"Andreas"},{"family":"Redelmeier","given":"Donald A."}],"issued":{"date-parts":[["2003",4,2]]}}}],"schema":"https://github.com/citation-style-language/schema/raw/master/csl-citation.json"}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24,36</w:t>
      </w:r>
      <w:r w:rsidRPr="00725D15">
        <w:rPr>
          <w:rFonts w:cs="Arial"/>
          <w:szCs w:val="22"/>
        </w:rPr>
        <w:fldChar w:fldCharType="end"/>
      </w:r>
      <w:r w:rsidRPr="00725D15">
        <w:rPr>
          <w:rFonts w:cs="Arial"/>
          <w:szCs w:val="22"/>
        </w:rPr>
        <w:t xml:space="preserve"> Polypharmacy has been associated with decreased cognitive and functional ability, decreased ability to perform activities of daily living, and increased urinary incontinence in elderly patients.</w:t>
      </w:r>
      <w:r w:rsidRPr="00725D15">
        <w:rPr>
          <w:rFonts w:cs="Arial"/>
          <w:szCs w:val="22"/>
        </w:rPr>
        <w:fldChar w:fldCharType="begin"/>
      </w:r>
      <w:r w:rsidR="00434675">
        <w:rPr>
          <w:rFonts w:cs="Arial"/>
          <w:szCs w:val="22"/>
        </w:rPr>
        <w:instrText xml:space="preserve"> ADDIN ZOTERO_ITEM CSL_CITATION {"citationID":"1ikji2k7fl","properties":{"formattedCitation":"\\super 37\\uc0\\u8211{}39\\nosupersub{}","plainCitation":"37–39","noteIndex":0},"citationItems":[{"id":2266,"uris":["http://zotero.org/users/2597747/items/BGGWCZJM"],"uri":["http://zotero.org/users/2597747/items/BGGWCZJM"],"itemData":{"id":2266,"type":"article-journal","title":"A pharmacoepidemiologic study of community-dwelling, disabled older women: Factors associated with medication use","container-title":"The American Journal of Geriatric Pharmacotherapy","page":"215-224","volume":"8","issue":"3","source":"PubMed","abstract":"BACKGROUND: Although disabled older adults may be among the subpopulation of adults with the highest risk for adverse drug events (ADEs), reliable data on their use of medications are limited.\nOBJECTIVES: The aims of this study were to describe the extent and patterns of medication use in community-dwelling, disabled older women, and to identify factors associated with medication use in this population.\nMETHODS: Cross-sectional analyses of baseline data on medication use from the Women's Health and Aging Study I (WHAS I) were performed. WHAS I was an observational study of 1002 community-dwelling women aged &gt;or=65 years who self-reported difficulty in at least 2 of 4 domains of physical functioning (ie, upper-extremity functions, mobility, self-care, and higher functioning tasks needed for independent living in the community). After descriptive analyses of their prescription and over-the-counter (OTC) drugs, associations between participants' characteristics and medication utilization were determined, using generalized linear models.\nRESULTS: Of the 975 participants, 580 (59.5%) used &gt;or=5 medications and 115 (11.8%) used &gt;or=10 medications (prescriptions and OTCs). The mean number of medications used was 3.9 for prescription drugs and 1.9 for OTC drugs. Cardiovascular drugs and analgesics were the most frequently used prescription and OTC drugs, respectively. Participants with complete outcome and covariate data (n = 803) were included in the multivariate analyses. Cancer was associated with a 13% increase in total medication use (95% CI, 1.00-1.27). Multimorbidity (1.08; 95% CI, 1.02-1.15), frailty (1.13; 95% CI, 1.02-1.26), high Mini-Mental State Examination score (1.03; 95% CI, 1.01-1.05), congestive heart failure (CHF) (1.39; 95% CI, 1.23-1.58), angina (1.27; 95% CI, 1.12-1.44), chronic obstructive pulmonary disease (COPD) (1.20; 95% CI, 1.05-1.37), diabetes mellitus (DM) (1.24; 95% CI, 1.07-1.43), difficulty with shopping for personal items such as medicines and toiletries (1.20; 95% CI, 1.06-1.35), and possession of health insurance (1.21; 95% CI, 1.04-1.40) or a prescription plan (1.16; 95% CI, 1.05-1.29) were independently associated with increased use of prescription drugs. A diagnosis of osteoarthritis of the hands (1.29; 95% CI, 1.121.49) and having a spouse (1.19; 95% CI, 1.01-1.40) were associated with increased use of OTC drugs. Participants with DM (0.78; 95% CI, 0.65-0.94), African Americans (0.70; 95% CI, 0.60-0.82), and those who had difficulty shopping (0.85; 95% CI, 0.72-0.99) used fewer OTCs than did participants without these characteristics.\nCONCLUSIONS: Most of the disabled older women in this study took &gt;=5 medications at baseline, potentially putting them at high risk for ADEs. Those with multimorbidity, frailty, CHF, angina, DM, COPD, cancer, and difficulty with instrumental activities of daily living are target subpopulations for polypharmacy intervention.","DOI":"10.1016/j.amjopharm.2010.06.003","ISSN":"1876-7761","note":"PMID: 20624611","shortTitle":"A pharmacoepidemiologic study of community-dwelling, disabled older women","journalAbbreviation":"Am J Geriatr Pharmacother","language":"eng","author":[{"family":"Crentsil","given":"Victor"},{"family":"Ricks","given":"Michelle O."},{"family":"Xue","given":"Qian-Li"},{"family":"Fried","given":"Linda P."}],"issued":{"date-parts":[["2010",6]]}}},{"id":2268,"uris":["http://zotero.org/users/2597747/items/2QZENRC5"],"uri":["http://zotero.org/users/2597747/items/2QZENRC5"],"itemData":{"id":2268,"type":"article-journal","title":"Association of polypharmacy with nutritional status, functional ability and cognitive capacity over a three-year period in an elderly population","container-title":"Pharmacoepidemiology and Drug Safety","page":"514-522","volume":"20","issue":"5","source":"PubMed","abstract":"PURPOSE: To determine the association of polypharmacy with nutritional status, functional ability and cognitive capacity among elderly persons.\nMETHODS: This was a prospective cohort study of 294 survivors from the population-based Geriatric Multidisciplinary Strategy for the Good Care of the Elderly (GeMS) Study, with yearly follow-ups during 2004 to 2007. Participants were the citizens of Kuopio, Finland, aged 75 years and older at baseline. Polypharmacy status was categorized as non-polypharmacy (0-5 drugs), polypharmacy (6-9 drugs) and excessive polypharmacy (10+ drugs). A linear mixed model approach was used for analysis the impact of polypharmacy on short form of mini nutritional assessment (MNA-SF), instrumental activities of daily living (IADL) and mini-mental status examination (MMSE) scores.\nRESULTS: Excessive polypharmacy was associated with declined nutritional status (p = 0.001), functional ability (p &lt; 0.001) and cognitive capacity (p &lt; 0.001) when compared to non-polypharmacy group. Age, institutional living, poor self-reported health and time of measuring were also associated with the three outcome measures. In the excessive polypharmacy group, the proportion of malnourished or at risk of it increased from 31% to 50%, having difficulties in daily tasks from 48% to 74% and impaired cognition from 36% to 54% during the follow-up. The mixed model analysis revealed that polypharmacy status was not able to predict the progress of MNA-SF, IADL and MMSE scores over a three-year time.\nCONCLUSIONS: Excessive polypharmacy is associated with decline in nutritional status, functional ability and cognitive capacity in elderly persons. However, the changes in nutrition, physical functionality and cognition over a three-year period cannot be predicted by polypharmacy status.","DOI":"10.1002/pds.2116","ISSN":"1099-1557","note":"PMID: 21308855","journalAbbreviation":"Pharmacoepidemiol Drug Saf","language":"eng","author":[{"family":"Jyrkkä","given":"Johanna"},{"family":"Enlund","given":"Hannes"},{"family":"Lavikainen","given":"Piia"},{"family":"Sulkava","given":"Raimo"},{"family":"Hartikainen","given":"Sirpa"}],"issued":{"date-parts":[["2011",5]]}}},{"id":2272,"uris":["http://zotero.org/users/2597747/items/EAPKJDGP"],"uri":["http://zotero.org/users/2597747/items/EAPKJDGP"],"itemData":{"id":2272,"type":"article-journal","title":"Clinical Consequences of Polypharmacy in Elderly","container-title":"Expert opinion on drug safety","page":"57-65","volume":"13","issue":"1","source":"PubMed Central","abstract":"Introduction\nPolypharmacy, defined as the use of multiple drugs or more than are medically necessary, is a growing concern for older adults.\n\nAreas Covered\nWe present information about; 1.) Prevalence of polypharmacy and unnecessary medication use. ; 2.) Negative Consequences of Polypharmacy; 3.) Interventions to improve polypharmacy.\n\nExpert Opinion\nInternational research shows that polypharmacy is common in older adults with the highest number of drugs taken by those residing in nursing homes. Nearly 50% of older adults take one or more medications that are not medically necessary. Research has clearly established a strong relationship between polypharmacy and negative clinical consequences. Moreover, well designed inter-professional (often incuding clinical pharmacist) intervention studies that focus on enrolling high risk older patients with polypharmacy have shown that they can be effective in improving the overall quality of prescribing with mixed results on distal health outcomes.","DOI":"10.1517/14740338.2013.827660","ISSN":"1474-0338","note":"PMID: 24073682\nPMCID: PMC3864987","journalAbbreviation":"Expert Opin Drug Saf","author":[{"family":"Maher","given":"Robert L."},{"family":"Hanlon","given":"Joseph T."},{"family":"Hajjar","given":"Emily R."}],"issued":{"date-parts":[["2014",1]]}}}],"schema":"https://github.com/citation-style-language/schema/raw/master/csl-citation.json"}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37–39</w:t>
      </w:r>
      <w:r w:rsidRPr="00725D15">
        <w:rPr>
          <w:rFonts w:cs="Arial"/>
          <w:szCs w:val="22"/>
        </w:rPr>
        <w:fldChar w:fldCharType="end"/>
      </w:r>
      <w:r w:rsidRPr="00725D15">
        <w:rPr>
          <w:rFonts w:cs="Arial"/>
          <w:szCs w:val="22"/>
        </w:rPr>
        <w:t xml:space="preserve"> In a 2005 review of 16 studies, polypharmacy was also found to be a significant predictor of nursing home placement, hypoglycemia, fractures, pneumonia and mortality.</w:t>
      </w:r>
      <w:r w:rsidRPr="00725D15">
        <w:rPr>
          <w:rFonts w:cs="Arial"/>
          <w:szCs w:val="22"/>
        </w:rPr>
        <w:fldChar w:fldCharType="begin"/>
      </w:r>
      <w:r w:rsidR="00434675">
        <w:rPr>
          <w:rFonts w:cs="Arial"/>
          <w:szCs w:val="22"/>
        </w:rPr>
        <w:instrText xml:space="preserve"> ADDIN ZOTERO_ITEM CSL_CITATION {"citationID":"27occvu6f8","properties":{"formattedCitation":"\\super 40\\nosupersub{}","plainCitation":"40","noteIndex":0},"citationItems":[{"id":2275,"uris":["http://zotero.org/users/2597747/items/VKJ9DFIB"],"uri":["http://zotero.org/users/2597747/items/VKJ9DFIB"],"itemData":{"id":2275,"type":"article-journal","title":"Geropharmacology. Health outcomes and polypharmacy in elderly individuals: an integrated literature review","container-title":"Journal of Gerontological Nursing","page":"4-11","volume":"31","issue":"9","source":"EBSCOhost","abstract":"The purpose of this integrated literature review was to determine the extent of research available related to polypharmacy and its effect on the health out-comes of the elderly population. A search of the Cumulative Index of Nursing and Allied Health Literature and Medline was conducted for studies published between 1995 and 2003 that linked polypharmacy and outcomes in the elderly population. The 16 studies in this integrative literature review were conducted in the United States, Canada, Australia, and Europe. Polypharmacy was shown to be a statistically significant predictor of hospitalization, nursing home placement, death, hypoglycemia, fractures, impaired mobility, pneumonia, and malnutrition. The effect of polypharmacy on elderly individuals is significant as demonstrated by this literature review. Nurses are in a unique position to monitor and potentially eliminate adverse effects of a complex medication regimen. Nursing research on polypharmacy and its effects on nursing-sensitive outcomes will help define guidelines for prevention and intervention.","ISSN":"0098-9134","shortTitle":"Geropharmacology. Health outcomes and polypharmacy in elderly individuals","journalAbbreviation":"Journal of Gerontological Nursing","author":[{"literal":"Frazier SC"}],"issued":{"date-parts":[["2005",9]]}}}],"schema":"https://github.com/citation-style-language/schema/raw/master/csl-citation.json"}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40</w:t>
      </w:r>
      <w:r w:rsidRPr="00725D15">
        <w:rPr>
          <w:rFonts w:cs="Arial"/>
          <w:szCs w:val="22"/>
        </w:rPr>
        <w:fldChar w:fldCharType="end"/>
      </w:r>
      <w:r w:rsidRPr="00725D15">
        <w:rPr>
          <w:rFonts w:cs="Arial"/>
          <w:szCs w:val="22"/>
        </w:rPr>
        <w:t xml:space="preserve"> </w:t>
      </w:r>
    </w:p>
    <w:p w14:paraId="488B2B3F" w14:textId="04D039AA" w:rsidR="001444C9" w:rsidRPr="00725D15" w:rsidRDefault="001444C9" w:rsidP="001444C9">
      <w:pPr>
        <w:ind w:firstLine="720"/>
        <w:rPr>
          <w:rFonts w:cs="Arial"/>
          <w:szCs w:val="22"/>
        </w:rPr>
      </w:pPr>
      <w:r w:rsidRPr="00725D15">
        <w:rPr>
          <w:rFonts w:cs="Arial"/>
          <w:szCs w:val="22"/>
        </w:rPr>
        <w:t>Elderly patients near the EOL may be at an even greater risk of polypharmacy and subsequent ADEs due to the addition of medications used to treat EOL symptoms coupled with the onset of declining organ function, malnutrition, and changes in body composition.</w:t>
      </w:r>
      <w:r w:rsidRPr="00725D15">
        <w:rPr>
          <w:rFonts w:cs="Arial"/>
          <w:szCs w:val="22"/>
        </w:rPr>
        <w:fldChar w:fldCharType="begin"/>
      </w:r>
      <w:r w:rsidR="00434675">
        <w:rPr>
          <w:rFonts w:cs="Arial"/>
          <w:szCs w:val="22"/>
        </w:rPr>
        <w:instrText xml:space="preserve"> ADDIN ZOTERO_ITEM CSL_CITATION {"citationID":"1joe98c9s0","properties":{"formattedCitation":"\\super 34,41,42\\nosupersub{}","plainCitation":"34,41,42","noteIndex":0},"citationItems":[{"id":1097,"uris":["http://zotero.org/users/2597747/items/JQJ8E6C6"],"uri":["http://zotero.org/users/2597747/items/JQJ8E6C6"],"itemData":{"id":1097,"type":"article-journal","title":"Drug Therapy Optimization at the End of Life","container-title":"Drugs &amp; Aging","page":"511-521","volume":"29","issue":"6","source":"EBSCOhost","abstract":"Older people reaching end-of-life status are particularly at risk of adverse effects of drug therapy. Polypharmacy, declining organ function, comorbidity, malnutrition, cachexia and changes in body composition all sum up to increase the risk of many drug-related problems in individuals who receive end-of-life care. End of life is defined by a limited lifespan or advanced disability. Optimal prescribing for end-of-life patients with multimorbidity, especially in those dying from non-cancer conditions, remains mostly unexplored, despite the increasing recognition that the management goals for patients with chronic diseases should be redefined in the setting of reduced life expectancy. Most drugs used for symptom palliation in end-of-life care of older patients are used without solid evidence of their benefits and risks in this particularly frail population. Appropriate dosing or optimal administration routes are in most cases unknown. Avoiding or discontinuing drugs that aim to prolong life or prevent disability is usually common sense in end-of-life care, particularly when the time needed to obtain the expected benefits from the drug is longer than the life expectancy of a particular individual. However, discontinuation of drugs is not standard practice, and prescriptions are usually not adapted to changes in the course of advanced diseases. Careful consideration of remaining life expectancy, time until benefit, goals of care and treatment targets for each drug seems to be a sensible framework for decision making. In this article, some key issues on drug therapy at the end of life are discussed, including principles of decision making about drug treatments, specific aspects of drug therapy in some common geriatric conditions (heart failure and dementia), treatment of acute concurrent problems such as infections, evidence to guide the choice and use of drugs to treat symptoms in palliative care, and avoidance of some long-term therapies in end-of-life care. Solid evidence is lacking to guide optimal pharmacotherapy in most endof-life settings, especially in non-cancer diseases and very old patients. Some open questions for research are suggested.","DOI":"10.2165/11631740-000000000-00000","ISSN":"1170-229X","journalAbbreviation":"Drugs &amp; Aging","author":[{"family":"Cruz-Jentoft","given":"Alfonso J."},{"family":"Boland","given":"Benoit"},{"family":"Rexach","given":"Lourdes"}],"issued":{"date-parts":[["2012",6]]}}},{"id":2140,"uris":["http://zotero.org/users/2597747/items/7CC52KIT"],"uri":["http://zotero.org/users/2597747/items/7CC52KIT"],"itemData":{"id":2140,"type":"article-journal","title":"A Patient's Last Wish at the End-of-Life","page":"375-380","volume":"31","issue":"7","source":"PubMed","abstract":"INTRODUCTION: Patients who have transitioned to end-of-life (EOL) care are at an increased risk for polypharmacy as they face new symptoms requiring palliative-care medications.\nCASE: The patient was a 96-year-old, 6' 2\", 125-pound male patient who was brought into the outpatient geriatric practice by his daughter, with whom he had been living all his life. The patient had no pain, but severe dysphagia. Both daughter and patient were fully aware that death was imminent, as the patient had lost 60 pounds in the past three to four months because of gastrointestinal cancer. The daughter asked if she could stop any of his medications, which she had been struggling to provide because of his dysphagia; Her bed-bound father was anorectic; at that point the geriatrician called for a pharmacy consult, specifically to address the issue of unnecessary medications.\nDISCUSSION: There is little evidence or guidance in reducing or discontinuing medications for chronic illnesses during EOL care. While it is understandable that the number of symptom-relief medications will increase, patient comfort can be helped by reducing maintenance medications that have little to no short-term benefit.\nCONCLUSION: As EOL approaches, a patient's last wishes must be respected, including timely changes to his or her medication regimen. Pharmacists are an essential asset to the geriatric interdisciplinary team, as they can provide extensive medication counseling.","DOI":"10.4140/TCP.n.2016.375","ISSN":"0888-5109","note":"PMID: 27412313","journalAbbreviation":"Consult Pharm","language":"eng","author":[{"family":"Cimmino","given":"Katharine"},{"family":"Pisano","given":"Michele"}],"issued":{"date-parts":[["2016",7]]}}},{"id":405,"uris":["http://zotero.org/users/2597747/items/5ARXA25P"],"uri":["http://zotero.org/users/2597747/items/5ARXA25P"],"itemData":{"id":405,"type":"article-journal","title":"FRameworks for approaching prescribing at the end of life","container-title":"Archives of Internal Medicine","page":"2404-2404","volume":"166","issue":"21","source":"Silverchair","abstract":"The article by Holmes et al1 builds logically on a framework already proposed by Stevenson et al2 with the following 3 elements common to both: understanding the person's prognosis, the initial intention of a therapy (prevention strategy), and the time until realizing benefits (or burdens). The contribution of a concept of “time until benefit” by Holmes et al1 is crucial if clinicians are to match prognosis with prescribing, while accounting for changes in people's bodies at the end of life.3","DOI":"10.1001/archinte.166.21.2404-a","ISSN":"0003-9926","journalAbbreviation":"Arch Intern Med","author":[{"literal":"Currow DC"},{"literal":"Abernethy AP"}],"issued":{"date-parts":[["2006",11,27]]}}}],"schema":"https://github.com/citation-style-language/schema/raw/master/csl-citation.json"}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34,41,42</w:t>
      </w:r>
      <w:r w:rsidRPr="00725D15">
        <w:rPr>
          <w:rFonts w:cs="Arial"/>
          <w:szCs w:val="22"/>
        </w:rPr>
        <w:fldChar w:fldCharType="end"/>
      </w:r>
      <w:r w:rsidRPr="00725D15">
        <w:rPr>
          <w:rFonts w:cs="Arial"/>
          <w:szCs w:val="22"/>
        </w:rPr>
        <w:t xml:space="preserve"> In a recent analysis of patients in an HMG-CoA reductase inhibitor (i.e., statin) discontinuation trial with an estimated life expectancy of 1-12 months, 68% of patients were found to be prescribed 9 or more medications and a mean of 11.5 non-statin medications at baseline.</w:t>
      </w:r>
      <w:r w:rsidRPr="00725D15">
        <w:rPr>
          <w:rFonts w:cs="Arial"/>
          <w:szCs w:val="22"/>
        </w:rPr>
        <w:fldChar w:fldCharType="begin"/>
      </w:r>
      <w:r w:rsidR="00434675">
        <w:rPr>
          <w:rFonts w:cs="Arial"/>
          <w:szCs w:val="22"/>
        </w:rPr>
        <w:instrText xml:space="preserve"> ADDIN ZOTERO_ITEM CSL_CITATION {"citationID":"102b8ru4mc","properties":{"formattedCitation":"\\super 43\\nosupersub{}","plainCitation":"43","noteIndex":0},"citationItems":[{"id":1124,"uris":["http://zotero.org/users/2597747/items/ABUFSFT3"],"uri":["http://zotero.org/users/2597747/items/ABUFSFT3"],"itemData":{"id":1124,"type":"article-journal","title":"The Burden of Polypharmacy in Patients Near the End of Life","container-title":"Journal of Pain and Symptom Management","page":"178-183.e2","volume":"51","issue":"2","source":"ScienceDirect","abstract":"Context\nPatients with advanced illness are prescribed multiple medications in the last year of life, intensifying the risk of negative consequences related to polypharmacy.\nObjectives\nTo describe the medication burden of patients near the end of life and identify potential areas for improvement in clinician prescribing practices.\nMethods\nThis was a prespecified secondary analysis of data from a prospective trial. Eligible participants were adults with less than 12 months estimated prognosis taking a statin medication for primary prevention of cardiovascular disease. Participants were enrolled from 15 sites, randomized to continue or discontinue statin medications, and followed for up to a year. Concomitant medications were recorded at least monthly from study enrollment through death. Prescribed medications were categorized by class and subclass. Descriptive statistics were calculated.\nResults\nOn average, participants (n = 244) were 74.3 years old (SD 11.5) and lived 264 days (SD 128); 47.5% of the patients had a primary diagnosis of malignant tumor. This population was exposed to medications across 51 classes, 192 subclasses, and 423 individual medications. Patients took an average of 11.5 (SD 5) medications at the time of enrollment and 10.7 (SD 5) medications at death or study termination. The five most common classes of medications prescribed near the end of life were antihypertensives, broncholytics/bronchodilators, laxatives, antidepressants, and gastric protection agents.\nConclusion\nThere is a significant medication burden placed on patients with advanced illness. Although most medications were prescribed for supportive care, we observed a high prevalence of medications for managing non–life-threatening comorbidities.","DOI":"10.1016/j.jpainsymman.2015.09.003","ISSN":"0885-3924","journalAbbreviation":"Journal of Pain and Symptom Management","author":[{"family":"McNeil","given":"Michael J."},{"family":"Kamal","given":"Arif H."},{"family":"Kutner","given":"Jean S."},{"family":"Ritchie","given":"Christine S."},{"family":"Abernethy","given":"Amy P."}],"issued":{"date-parts":[["2016",2]]}}}],"schema":"https://github.com/citation-style-language/schema/raw/master/csl-citation.json"}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43</w:t>
      </w:r>
      <w:r w:rsidRPr="00725D15">
        <w:rPr>
          <w:rFonts w:cs="Arial"/>
          <w:szCs w:val="22"/>
        </w:rPr>
        <w:fldChar w:fldCharType="end"/>
      </w:r>
      <w:r w:rsidRPr="00725D15">
        <w:rPr>
          <w:rFonts w:cs="Arial"/>
          <w:szCs w:val="22"/>
        </w:rPr>
        <w:t xml:space="preserve"> Only 6% of patients were taking fewer than 5 medications and 24% of patients were taking 15 or more medications at baseline.</w:t>
      </w:r>
      <w:r w:rsidRPr="00725D15">
        <w:rPr>
          <w:rFonts w:cs="Arial"/>
          <w:szCs w:val="22"/>
        </w:rPr>
        <w:fldChar w:fldCharType="begin"/>
      </w:r>
      <w:r w:rsidR="00434675">
        <w:rPr>
          <w:rFonts w:cs="Arial"/>
          <w:szCs w:val="22"/>
        </w:rPr>
        <w:instrText xml:space="preserve"> ADDIN ZOTERO_ITEM CSL_CITATION {"citationID":"21odcrvbcv","properties":{"formattedCitation":"\\super 43\\nosupersub{}","plainCitation":"43","noteIndex":0},"citationItems":[{"id":1124,"uris":["http://zotero.org/users/2597747/items/ABUFSFT3"],"uri":["http://zotero.org/users/2597747/items/ABUFSFT3"],"itemData":{"id":1124,"type":"article-journal","title":"The Burden of Polypharmacy in Patients Near the End of Life","container-title":"Journal of Pain and Symptom Management","page":"178-183.e2","volume":"51","issue":"2","source":"ScienceDirect","abstract":"Context\nPatients with advanced illness are prescribed multiple medications in the last year of life, intensifying the risk of negative consequences related to polypharmacy.\nObjectives\nTo describe the medication burden of patients near the end of life and identify potential areas for improvement in clinician prescribing practices.\nMethods\nThis was a prespecified secondary analysis of data from a prospective trial. Eligible participants were adults with less than 12 months estimated prognosis taking a statin medication for primary prevention of cardiovascular disease. Participants were enrolled from 15 sites, randomized to continue or discontinue statin medications, and followed for up to a year. Concomitant medications were recorded at least monthly from study enrollment through death. Prescribed medications were categorized by class and subclass. Descriptive statistics were calculated.\nResults\nOn average, participants (n = 244) were 74.3 years old (SD 11.5) and lived 264 days (SD 128); 47.5% of the patients had a primary diagnosis of malignant tumor. This population was exposed to medications across 51 classes, 192 subclasses, and 423 individual medications. Patients took an average of 11.5 (SD 5) medications at the time of enrollment and 10.7 (SD 5) medications at death or study termination. The five most common classes of medications prescribed near the end of life were antihypertensives, broncholytics/bronchodilators, laxatives, antidepressants, and gastric protection agents.\nConclusion\nThere is a significant medication burden placed on patients with advanced illness. Although most medications were prescribed for supportive care, we observed a high prevalence of medications for managing non–life-threatening comorbidities.","DOI":"10.1016/j.jpainsymman.2015.09.003","ISSN":"0885-3924","journalAbbreviation":"Journal of Pain and Symptom Management","author":[{"family":"McNeil","given":"Michael J."},{"family":"Kamal","given":"Arif H."},{"family":"Kutner","given":"Jean S."},{"family":"Ritchie","given":"Christine S."},{"family":"Abernethy","given":"Amy P."}],"issued":{"date-parts":[["2016",2]]}}}],"schema":"https://github.com/citation-style-language/schema/raw/master/csl-citation.json"}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43</w:t>
      </w:r>
      <w:r w:rsidRPr="00725D15">
        <w:rPr>
          <w:rFonts w:cs="Arial"/>
          <w:szCs w:val="22"/>
        </w:rPr>
        <w:fldChar w:fldCharType="end"/>
      </w:r>
      <w:r w:rsidRPr="00725D15">
        <w:rPr>
          <w:rFonts w:cs="Arial"/>
          <w:szCs w:val="22"/>
        </w:rPr>
        <w:t xml:space="preserve"> Antihypertensives were the most commonly prescribed medication class, prescribed in 70% of patients and representing 9.3% of all medications prescribed in the </w:t>
      </w:r>
      <w:r w:rsidRPr="00725D15">
        <w:rPr>
          <w:rFonts w:cs="Arial"/>
          <w:szCs w:val="22"/>
        </w:rPr>
        <w:lastRenderedPageBreak/>
        <w:t>trial population. Similar levels of polypharmacy have been found in the EOL population utilizing hospice care. Using data from the 2007 National Home and Hospice Care Survey, Dwyer et al. reported that 76.5% of hospice patients in the last week of life take 6 or more medications and 43% take between 11 and 25 medications.</w:t>
      </w:r>
      <w:r w:rsidRPr="00725D15">
        <w:rPr>
          <w:rFonts w:cs="Arial"/>
          <w:szCs w:val="22"/>
        </w:rPr>
        <w:fldChar w:fldCharType="begin"/>
      </w:r>
      <w:r w:rsidR="008A1035">
        <w:rPr>
          <w:rFonts w:cs="Arial"/>
          <w:szCs w:val="22"/>
        </w:rPr>
        <w:instrText xml:space="preserve"> ADDIN ZOTERO_ITEM CSL_CITATION {"citationID":"1vmnatt92n","properties":{"formattedCitation":"\\super 21\\nosupersub{}","plainCitation":"21","noteIndex":0},"citationItems":[{"id":351,"uris":["http://zotero.org/users/2597747/items/8326S43N"],"uri":["http://zotero.org/users/2597747/items/8326S43N"],"itemData":{"id":351,"type":"article-journal","title":"Medications That Older Adults in Hospice Care in the United States Take, 2007","container-title":"Journal of the American Geriatrics Society","page":"2282-2289","volume":"63","issue":"11","source":"Wiley Online Library","abstract":"Objectives\n\nTo describe medications that older adults in hospice with cancer, dementia, debility, heart disease, and lung disease take during the last week of life.\n\n\nDesign\n\nRetrospective cross-sectional study.\n\n\nSetting\n\nNationally representative sample of 695 U.S. hospices in the 2007 National Home and Hospice Care Survey.\n\n\nParticipants\n\nIndividuals aged 65 and older with a primary diagnosis of cancer (49%), dementia (12%), debility (14%), heart disease (16%), or lung disease (10%) who received end-of-life care during their last week of life (N = 2,623).\n\n\nMeasurements\n\nMedication data were obtained from hospice staff, who were asked, “What are the names of all the medications and drugs the patient was taking 7 days prior to and on the day of his or her death while in hospice? Please include any standing, routine, or PRN medications.”\n\n\nResults\n\nThe unweighted survey response rate was 71%. The average number of medications taken was 10.2. The most common therapeutic classes were analgesics (98%); antiemetic and antivertigo medications (78%); anxiolytics, sedatives, and hypnotics (76%); anticonvulsants (71%); and laxatives (53%). Approximately one-quarter of the individuals took proton pump inhibitors, anticoagulants, and antidepressants, and fewer than 20% took antacids and antibiotics. A smaller percentage of individuals with dementia and debility than of those with cancer took opioid analgesics. Individuals with heart disease were more likely than individuals in the other clinical cohorts to take diuretics, and those with lung disease were more likely than those in the other clinical cohorts to take bronchodilators. A higher percentage of individuals with dementia and with debility than with cancer and lung disease took antidepressants.\n\n\nConclusion\n\nPeople continue to receive disease-focused therapies at the end of life rather than therapies exclusively for palliation of symptoms, suggesting that treatments may vary according to the person's primary diagnosis.","DOI":"10.1111/jgs.13795","ISSN":"1532-5415","journalAbbreviation":"J Am Geriatr Soc","language":"en","author":[{"family":"Dwyer","given":"Lisa L."},{"family":"Lau","given":"Denys T."},{"family":"Shega","given":"Joseph W."}],"issued":{"date-parts":[["2015",11,1]]}}}],"schema":"https://github.com/citation-style-language/schema/raw/master/csl-citation.json"}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21</w:t>
      </w:r>
      <w:r w:rsidRPr="00725D15">
        <w:rPr>
          <w:rFonts w:cs="Arial"/>
          <w:szCs w:val="22"/>
        </w:rPr>
        <w:fldChar w:fldCharType="end"/>
      </w:r>
      <w:r w:rsidRPr="00725D15">
        <w:rPr>
          <w:rFonts w:cs="Arial"/>
          <w:szCs w:val="22"/>
        </w:rPr>
        <w:t xml:space="preserve"> A study of 4,252 hospice patients enrolled in Seasons Hospice and Palliative Care in 2010 revealed an average number of medications during admission of 15.7, with 8.5% of patients prescribed 30 or more medications.</w:t>
      </w:r>
      <w:r w:rsidRPr="00725D15">
        <w:rPr>
          <w:rFonts w:cs="Arial"/>
          <w:szCs w:val="22"/>
        </w:rPr>
        <w:fldChar w:fldCharType="begin"/>
      </w:r>
      <w:r w:rsidR="008A1035">
        <w:rPr>
          <w:rFonts w:cs="Arial"/>
          <w:szCs w:val="22"/>
        </w:rPr>
        <w:instrText xml:space="preserve"> ADDIN ZOTERO_ITEM CSL_CITATION {"citationID":"b722k39mc","properties":{"formattedCitation":"\\super 23\\nosupersub{}","plainCitation":"23","noteIndex":0},"citationItems":[{"id":241,"uris":["http://zotero.org/users/2597747/items/J8JVATI3"],"uri":["http://zotero.org/users/2597747/items/J8JVATI3"],"itemData":{"id":241,"type":"article-journal","title":"Commonly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23</w:t>
      </w:r>
      <w:r w:rsidRPr="00725D15">
        <w:rPr>
          <w:rFonts w:cs="Arial"/>
          <w:szCs w:val="22"/>
        </w:rPr>
        <w:fldChar w:fldCharType="end"/>
      </w:r>
      <w:r w:rsidRPr="00725D15">
        <w:rPr>
          <w:rFonts w:cs="Arial"/>
          <w:szCs w:val="22"/>
        </w:rPr>
        <w:t xml:space="preserve"> The average number of medications prescribed on a “as needed” and regularly scheduled basis was 7.9 and 8.3, respectively.</w:t>
      </w:r>
      <w:r w:rsidRPr="00725D15">
        <w:rPr>
          <w:rFonts w:cs="Arial"/>
          <w:szCs w:val="22"/>
        </w:rPr>
        <w:fldChar w:fldCharType="begin"/>
      </w:r>
      <w:r w:rsidR="008A1035">
        <w:rPr>
          <w:rFonts w:cs="Arial"/>
          <w:szCs w:val="22"/>
        </w:rPr>
        <w:instrText xml:space="preserve"> ADDIN ZOTERO_ITEM CSL_CITATION {"citationID":"2njdt8affo","properties":{"formattedCitation":"\\super 23\\nosupersub{}","plainCitation":"23","noteIndex":0},"citationItems":[{"id":241,"uris":["http://zotero.org/users/2597747/items/J8JVATI3"],"uri":["http://zotero.org/users/2597747/items/J8JVATI3"],"itemData":{"id":241,"type":"article-journal","title":"Commonly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23</w:t>
      </w:r>
      <w:r w:rsidRPr="00725D15">
        <w:rPr>
          <w:rFonts w:cs="Arial"/>
          <w:szCs w:val="22"/>
        </w:rPr>
        <w:fldChar w:fldCharType="end"/>
      </w:r>
      <w:r w:rsidRPr="00725D15">
        <w:rPr>
          <w:rFonts w:cs="Arial"/>
          <w:szCs w:val="22"/>
        </w:rPr>
        <w:t xml:space="preserve"> </w:t>
      </w:r>
    </w:p>
    <w:p w14:paraId="1E06EED3" w14:textId="77777777" w:rsidR="0034626A" w:rsidRPr="00725D15" w:rsidRDefault="0034626A" w:rsidP="00DF3833">
      <w:pPr>
        <w:pStyle w:val="Style2"/>
        <w:spacing w:before="0" w:line="480" w:lineRule="auto"/>
      </w:pPr>
      <w:bookmarkStart w:id="53" w:name="_Toc506036786"/>
      <w:bookmarkStart w:id="54" w:name="_Toc507326039"/>
      <w:r w:rsidRPr="00725D15">
        <w:t>1.5 Appropriate Prescribing in End of Life and Hospice Patients</w:t>
      </w:r>
      <w:bookmarkEnd w:id="53"/>
      <w:bookmarkEnd w:id="54"/>
    </w:p>
    <w:p w14:paraId="0B04CD74" w14:textId="278EE525" w:rsidR="001444C9" w:rsidRPr="00725D15" w:rsidRDefault="001444C9" w:rsidP="001444C9">
      <w:pPr>
        <w:ind w:firstLine="720"/>
        <w:rPr>
          <w:rFonts w:cs="Arial"/>
          <w:szCs w:val="22"/>
        </w:rPr>
      </w:pPr>
      <w:r w:rsidRPr="00725D15">
        <w:rPr>
          <w:rFonts w:cs="Arial"/>
          <w:szCs w:val="22"/>
        </w:rPr>
        <w:t>Several tools have been developed for the assessment of medication appropriateness in the elderly, such as the Medication Appropriateness Index, the STOPP criteria, and the Beers Criteria.</w:t>
      </w:r>
      <w:r w:rsidRPr="00725D15">
        <w:rPr>
          <w:rFonts w:cs="Arial"/>
          <w:szCs w:val="22"/>
        </w:rPr>
        <w:fldChar w:fldCharType="begin"/>
      </w:r>
      <w:r w:rsidR="00434675">
        <w:rPr>
          <w:rFonts w:cs="Arial"/>
          <w:szCs w:val="22"/>
        </w:rPr>
        <w:instrText xml:space="preserve"> ADDIN ZOTERO_ITEM CSL_CITATION {"citationID":"liqkSPp7","properties":{"formattedCitation":"\\super 44\\uc0\\u8211{}47\\nosupersub{}","plainCitation":"44–47","noteIndex":0},"citationItems":[{"id":2290,"uris":["http://zotero.org/users/2597747/items/8MCKKJBN"],"uri":["http://zotero.org/users/2597747/items/8MCKKJBN"],"itemData":{"id":2290,"type":"article-journal","title":"Reducing potentially inappropriate medications in palliative cancer patients: evidence to support deprescribing approaches","container-title":"Supportive Care in Cancer","page":"1113-1119","volume":"22","issue":"4","source":"link.springer.com","abstract":"ObjectivesCancer patients who have transitioned from curative intent chemotherapy or radiotherapy to palliative therapy have limited life expectancies. Due to this, medications for primary and secondary prevention or those with no short-term benefit are potentially inappropriate medicines in this patient group. These medications often have potentially harmful profiles, increasing the patient’s adverse drug events, pill burden, and medication costs. This review evaluates the most current evidence to assess the outcomes and potential methods used for identifying and ceasing potentially inappropriate medications (PIMs) in palliative cancer patients.MethodsA systematic review of the literature was conducted using the databases Ovid MEDLINE, PubMed, EMBASE, IPA, and CINAHL.ResultsOf the 51 articles examined in detail, three studies relating to cancer have been evaluated. In these retrospective and cross-sectional studies, the incidence of PIMs was shown in approximately 20 % of patients, although the studies were inconsistent. In addition, six studies were identified that demonstrated the evidence in other population groups; these studies have been selected to establish the evidence in large-scale retrospective studies, prospective cross-sectional studies, both demonstrating the prevalence of PIMs, as well as the outcomes of ceasing PIMs.ConclusionThere is evidence that PIMs are commonly prescribed in palliative care patients. There are no studies that have identified the impact of ceasing PIMS in this setting. Published tools and implemented strategies have focused on the elderly populations. Further research is warranted in establishing clear guidelines for the identification of PIMs in palliative cancer patients as well as interventional studies assessing the outcomes of ceasing PIMs in these patients.","DOI":"10.1007/s00520-013-2098-7","ISSN":"0941-4355, 1433-7339","shortTitle":"Reducing potentially inappropriate medications in palliative cancer patients","journalAbbreviation":"Support Care Cancer","language":"en","author":[{"family":"Lindsay","given":"Julian"},{"family":"Dooley","given":"Michael"},{"family":"Martin","given":"Jennifer"},{"family":"Fay","given":"Michael"},{"family":"Kearney","given":"Alison"},{"family":"Barras","given":"Michael"}],"issued":{"date-parts":[["2013",12,21]]}}},{"id":958,"uris":["http://zotero.org/users/2597747/items/I7MH25J4"],"uri":["http://zotero.org/users/2597747/items/I7MH25J4"],"itemData":{"id":958,"type":"article-journal","title":"Preventive medication use among persons with limited life expectancy","container-title":"Progress in Palliative Care","page":"15-21","volume":"19","issue":"1","source":"PubMed Central","abstract":"Persons with limited life expectancy (LLE) – less than 1 year – are significant consumers of health care, are at increased risk of polypharmacy and adverse drug events, and have dynamic health statuses. Therefore, medication use among this population must be appropriate and regularly evaluated. The objective of this review is to assess the current state of knowledge and clinical practice presented in the literature regarding preventive medication use among persons with LLE. We searched Medline, Embase, and CINAHL using Medical Subject Headings. Broad searches were first conducted using the terms ‘terminal care or therapy’ or ‘advanced disease’ and ‘polypharmacy’ or ‘inappropriate medication’ or ‘preventive medicine’, followed by more specific searches using the terms ‘statins’ or ‘anti-hypertensives’ or ‘bisphosphonates’ or ‘laxatives’ and ‘terminal care’. Frameworks to assess appropriate versus inappropriate medications for persons with LLE, and the prevalence of potentially inappropriate medication use among this population, are presented. A considerable proportion of individuals with a known terminal condition continue to take chronic disease preventive medications until death despite questionable benefit. The addition of palliative preventive medications is advised. There is an indication that as death approaches the shift from a curative to palliative goal of care translates into a shift in medication use. This literature review is a first step towards improving medication use and decreasing polypharmacy in persons at the end of life. There is a need to develop consensus criteria to assess appropriate versus inappropriate medication use, specifically for individuals at the end of life.","DOI":"10.1179/174329111X576698","ISSN":"0969-9260","note":"PMID: 21731193\nPMCID: PMC3118532","journalAbbreviation":"Prog Palliat Care","author":[{"family":"Maddison","given":"André R"},{"family":"Fisher","given":"Judith"},{"family":"Johnston","given":"Grace"}],"issued":{"date-parts":[["2011",1]]}}},{"id":3261,"uris":["http://zotero.org/users/2597747/items/BAFKJF5E"],"uri":["http://zotero.org/users/2597747/items/BAFKJF5E"],"itemData":{"id":3261,"type":"article-journal","title":"Explicit criteria for determining inappropriate medication use in nursing home residents. UCLA Division of Geriatric Medicine","container-title":"Archives of Internal Medicine","page":"1825-1832","volume":"151","issue":"9","source":"PubMed","abstract":"Increasing attention is being paid to inappropriate medication use in nursing homes. However, criteria defining the appropriate or inappropriate use of medication in this setting are not readily available and are not uniform. We used a two-round survey, based on Delphi methods, with 13 nationally recognized experts to reach consensus on explicit criteria defining the inappropriate use of medications in a nursing home population. The criteria were designed to use pharmacy data with minimal additional clinical data so that they could be applied to chart review or computerized data sets. The 30 factors agreed on by this method identify inappropriate use of such commonly used categories of medications as sedative-hypnotics, antidepressants, antipsychotics, antihypertensives, nonsteroidal anti-inflammatory agents, oral hypoglycemics, analgesics, dementia treatments, platelet inhibitors, histamine2 blockers, antibiotics, decongestants, iron supplements, muscle relaxants, gastrointestinal antispasmodics, and antiemetics. These criteria may be useful for quality assurance review, health services research, and clinical practice guidelines. The method used to establish these criteria can be used to update and expand the guidelines in the future.","ISSN":"0003-9926","note":"PMID: 1888249","journalAbbreviation":"Arch. Intern. Med.","language":"eng","author":[{"family":"Beers","given":"M. H."},{"family":"Ouslander","given":"J. G."},{"family":"Rollingher","given":"I."},{"family":"Reuben","given":"D. B."},{"family":"Brooks","given":"J."},{"family":"Beck","given":"J. C."}],"issued":{"date-parts":[["1991",9]]}}},{"id":3258,"uris":["http://zotero.org/users/2597747/items/4AZCF7I8"],"uri":["http://zotero.org/users/2597747/items/4AZCF7I8"],"itemData":{"id":3258,"type":"article-journal","title":"STOPP (Screening Tool of Older Person's Prescriptions) and START (Screening Tool to Alert doctors to Right Treatment). Consensus validation","container-title":"International Journal of Clinical Pharmacology and Therapeutics","page":"72-83","volume":"46","issue":"2","source":"PubMed","abstract":"OBJECTIVE: Older people experience more concurrent illnesses, are prescribed more medications and suffer more adverse drug events than younger people. Many drugs predispose older people to adverse events such as falls and cognitive impairment, thus increasing morbidity and health resource utilization. At the same time, older people are often denied potentially beneficial, clinically indicated medications without a valid reason. We aimed to validate a new screening tool of older persons' prescriptions incorporating criteria for potentially inappropriate drugs called STOPP (Screening Tool of Older Persons' Prescriptions) and criteria for potentially appropriate, indicated drugs called START (Screening Tool to Alert doctors to Right, i.e. appropriate, indicated Treatment).\nMETHODS: A Delphi consensus technique was used to establish the content validity of STOPP/START. An 18-member expert panel from academic centers in Ireland and the United Kingdom completed two rounds of the Delphi process by mail survey. Inter-rater reliability was assessed by determining the kappa-statistic for measure of agreement on 100 data-sets.\nRESULTS: STOPP is comprised of 65 clinically significant criteria for potentially inappropriate prescribing in older people. Each criterion is accompanied by a concise explanation as to why the prescribing practice is potentially inappropriate. START consists of 22 evidence-based prescribing indicators for commonly encountered diseases in older people. Inter-rater reliability is favorable with a kappa-coefficient of 0.75 for STOPP and 0.68 for START.\nCONCLUSION: STOPP/START is a valid, reliable and comprehensive screening tool that enables the prescribing physician to appraise an older patient's prescription drugs in the context of his/her concurrent diagnoses.","ISSN":"0946-1965","note":"PMID: 18218287","journalAbbreviation":"Int J Clin Pharmacol Ther","language":"eng","author":[{"family":"Gallagher","given":"P."},{"family":"Ryan","given":"C."},{"family":"Byrne","given":"S."},{"family":"Kennedy","given":"J."},{"family":"O'Mahony","given":"D."}],"issued":{"date-parts":[["2008",2]]}}}],"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44–47</w:t>
      </w:r>
      <w:r w:rsidRPr="00725D15">
        <w:rPr>
          <w:rFonts w:cs="Arial"/>
          <w:szCs w:val="22"/>
        </w:rPr>
        <w:fldChar w:fldCharType="end"/>
      </w:r>
      <w:r w:rsidRPr="00725D15">
        <w:rPr>
          <w:rFonts w:cs="Arial"/>
          <w:szCs w:val="22"/>
        </w:rPr>
        <w:t xml:space="preserve"> However, to date there have been few tools developed specifically for desprescribing in the elderly EOL and hospice patient populations, where considerations for medication therapy may differ from that of the general elderly population.</w:t>
      </w:r>
      <w:r w:rsidRPr="00725D15">
        <w:rPr>
          <w:rFonts w:cs="Arial"/>
          <w:szCs w:val="22"/>
        </w:rPr>
        <w:fldChar w:fldCharType="begin"/>
      </w:r>
      <w:r w:rsidR="00434675">
        <w:rPr>
          <w:rFonts w:cs="Arial"/>
          <w:szCs w:val="22"/>
        </w:rPr>
        <w:instrText xml:space="preserve"> ADDIN ZOTERO_ITEM CSL_CITATION {"citationID":"1hrjmme90b","properties":{"formattedCitation":"\\super 44,45,48,49\\nosupersub{}","plainCitation":"44,45,48,49","noteIndex":0},"citationItems":[{"id":636,"uris":["http://zotero.org/users/2597747/items/VJ9837CS"],"uri":["http://zotero.org/users/2597747/items/VJ9837CS"],"itemData":{"id":636,"type":"article-journal","title":"Medication inappropriateness for older adults receiving hospice care: a pilot survey","container-title":"The Consultant Pharmacist: The Journal of the American Society of Consultant Pharmacists","page":"926-934","volume":"22","issue":"11","source":"PubMed","abstract":"OBJECTIVE: To test the feasibility and reliability of a tool and methodology for evaluating expert clinicians' perceptions about the application of the Beers criteria in hospice.\nDESIGN: A pilot survey.\nSETTING: A national medication therapy management provider specializing in hospice care.\nPARTICIPANTS: Thirty-five participants from a multidisciplinary panel were invited to complete the survey. They were selected to represent acute, long-term care, and community practice settings with various levels of experience and judgment.\nINTERVENTION: Respondents were asked to complete the survey by rating their agreement or disagreement with the inappropriateness of the medications or medication classes for hospice patients, using a five-point Likert scale from strongly agree (1) to strongly disagree (5), with the midpoint (3) expressing equivocation.\nMAIN OUTCOME MEASURES: Feasibility as measured by the percentage of returned and completed surveys. A secondary aim was to measure inter-rater reliability and response.\nRESULTS: Twenty-four clinicians (69%) completed the survey, including 13 clinical pharmacists, 6 nurses, and 5 physicians. Twenty-nine responses (2%) were furnished by imputation methods. The intraclass correlation for medication inappropriateness for hospice patients was 0.89 (0.81-0.95), indicating \"good\" inter-rater reliability. Short-acting benzodiazepines, gastrointestinal antispasmodics, anticholinergics, and antihistamines were considered appropriate for use in older hospice patients, but they are considered inappropriate according to the Beers criteria.\nCONCLUSION: We established a viable methodology for evaluating clinician judgment about medication inappropriateness in older hospice patients. Some medications routinely considered to be inappropriate may be appropriate at end of life; different criteria may be needed to determine medication inappropriateness in hospice care.","ISSN":"0888-5109","note":"PMID: 18198979","shortTitle":"Medication inappropriateness for older adults receiving hospice care","journalAbbreviation":"Consult Pharm","language":"eng","author":[{"family":"Bain","given":"Kevin T."},{"family":"Weschules","given":"Douglas J."}],"issued":{"date-parts":[["2007",11]]}}},{"id":958,"uris":["http://zotero.org/users/2597747/items/I7MH25J4"],"uri":["http://zotero.org/users/2597747/items/I7MH25J4"],"itemData":{"id":958,"type":"article-journal","title":"Preventive medication use among persons with limited life expectancy","container-title":"Progress in Palliative Care","page":"15-21","volume":"19","issue":"1","source":"PubMed Central","abstract":"Persons with limited life expectancy (LLE) – less than 1 year – are significant consumers of health care, are at increased risk of polypharmacy and adverse drug events, and have dynamic health statuses. Therefore, medication use among this population must be appropriate and regularly evaluated. The objective of this review is to assess the current state of knowledge and clinical practice presented in the literature regarding preventive medication use among persons with LLE. We searched Medline, Embase, and CINAHL using Medical Subject Headings. Broad searches were first conducted using the terms ‘terminal care or therapy’ or ‘advanced disease’ and ‘polypharmacy’ or ‘inappropriate medication’ or ‘preventive medicine’, followed by more specific searches using the terms ‘statins’ or ‘anti-hypertensives’ or ‘bisphosphonates’ or ‘laxatives’ and ‘terminal care’. Frameworks to assess appropriate versus inappropriate medications for persons with LLE, and the prevalence of potentially inappropriate medication use among this population, are presented. A considerable proportion of individuals with a known terminal condition continue to take chronic disease preventive medications until death despite questionable benefit. The addition of palliative preventive medications is advised. There is an indication that as death approaches the shift from a curative to palliative goal of care translates into a shift in medication use. This literature review is a first step towards improving medication use and decreasing polypharmacy in persons at the end of life. There is a need to develop consensus criteria to assess appropriate versus inappropriate medication use, specifically for individuals at the end of life.","DOI":"10.1179/174329111X576698","ISSN":"0969-9260","note":"PMID: 21731193\nPMCID: PMC3118532","journalAbbreviation":"Prog Palliat Care","author":[{"family":"Maddison","given":"André R"},{"family":"Fisher","given":"Judith"},{"family":"Johnston","given":"Grace"}],"issued":{"date-parts":[["2011",1]]}}},{"id":2290,"uris":["http://zotero.org/users/2597747/items/8MCKKJBN"],"uri":["http://zotero.org/users/2597747/items/8MCKKJBN"],"itemData":{"id":2290,"type":"article-journal","title":"Reducing potentially inappropriate medications in palliative cancer patients: evidence to support deprescribing approaches","container-title":"Supportive Care in Cancer","page":"1113-1119","volume":"22","issue":"4","source":"link.springer.com","abstract":"ObjectivesCancer patients who have transitioned from curative intent chemotherapy or radiotherapy to palliative therapy have limited life expectancies. Due to this, medications for primary and secondary prevention or those with no short-term benefit are potentially inappropriate medicines in this patient group. These medications often have potentially harmful profiles, increasing the patient’s adverse drug events, pill burden, and medication costs. This review evaluates the most current evidence to assess the outcomes and potential methods used for identifying and ceasing potentially inappropriate medications (PIMs) in palliative cancer patients.MethodsA systematic review of the literature was conducted using the databases Ovid MEDLINE, PubMed, EMBASE, IPA, and CINAHL.ResultsOf the 51 articles examined in detail, three studies relating to cancer have been evaluated. In these retrospective and cross-sectional studies, the incidence of PIMs was shown in approximately 20 % of patients, although the studies were inconsistent. In addition, six studies were identified that demonstrated the evidence in other population groups; these studies have been selected to establish the evidence in large-scale retrospective studies, prospective cross-sectional studies, both demonstrating the prevalence of PIMs, as well as the outcomes of ceasing PIMs.ConclusionThere is evidence that PIMs are commonly prescribed in palliative care patients. There are no studies that have identified the impact of ceasing PIMS in this setting. Published tools and implemented strategies have focused on the elderly populations. Further research is warranted in establishing clear guidelines for the identification of PIMs in palliative cancer patients as well as interventional studies assessing the outcomes of ceasing PIMs in these patients.","DOI":"10.1007/s00520-013-2098-7","ISSN":"0941-4355, 1433-7339","shortTitle":"Reducing potentially inappropriate medications in palliative cancer patients","journalAbbreviation":"Support Care Cancer","language":"en","author":[{"family":"Lindsay","given":"Julian"},{"family":"Dooley","given":"Michael"},{"family":"Martin","given":"Jennifer"},{"family":"Fay","given":"Michael"},{"family":"Kearney","given":"Alison"},{"family":"Barras","given":"Michael"}],"issued":{"date-parts":[["2013",12,21]]}}},{"id":212,"uris":["http://zotero.org/users/2597747/items/HGWGX7CP"],"uri":["http://zotero.org/users/2597747/items/HGWGX7CP"],"itemData":{"id":212,"type":"article-journal","title":"Reconsidering medication appropriateness for patients late in life","container-title":"Archives of Internal Medicine","page":"605-609","volume":"166","issue":"6","source":"Silverchair","abstract":"Providing guideline-adherent care for many medical conditions increasingly means the addition of more medications to reach disease-specific targets.1 When might it be best to withhold or discontinue medications that are otherwise appropriate on the basis of guidelines? Receiving facsimiles from the pharmacy serving a local nursing home encouraging us to prescribe statins for residents there symbolizes the issues. Most of these patients had a limited life expectancy, were older than 90 years, or had advanced dementia. Similar situations occur in patients with functional impairments, frailty, or diseases like emphysema, congestive heart failure, or coronary artery disease in their advanced stages, for whom starting or continuing many recommended drugs does not seem the best way to optimize care.","DOI":"10.1001/archinte.166.6.605","ISSN":"0003-9926","journalAbbreviation":"Arch Intern Med","author":[{"literal":"Holmes HM"},{"literal":"Hayley D"},{"literal":"Alexander G"},{"literal":"Sachs GA"}],"issued":{"date-parts":[["2006",3,27]]}}}],"schema":"https://github.com/citation-style-language/schema/raw/master/csl-citation.json"}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44,45,48,49</w:t>
      </w:r>
      <w:r w:rsidRPr="00725D15">
        <w:rPr>
          <w:rFonts w:cs="Arial"/>
          <w:szCs w:val="22"/>
        </w:rPr>
        <w:fldChar w:fldCharType="end"/>
      </w:r>
      <w:r w:rsidRPr="00725D15">
        <w:rPr>
          <w:rFonts w:cs="Arial"/>
          <w:szCs w:val="22"/>
        </w:rPr>
        <w:t xml:space="preserve"> In a st</w:t>
      </w:r>
      <w:r w:rsidR="00D44C3D">
        <w:rPr>
          <w:rFonts w:cs="Arial"/>
          <w:szCs w:val="22"/>
        </w:rPr>
        <w:t>udy by Bain and Weschules</w:t>
      </w:r>
      <w:r w:rsidRPr="00725D15">
        <w:rPr>
          <w:rFonts w:cs="Arial"/>
          <w:szCs w:val="22"/>
        </w:rPr>
        <w:t>, the Beers criteria were applied to a hospice population and an expert panel concluded that several medications considered inappropriate according to the criteria were actually appropriate in older hospice patients and vice versa.</w:t>
      </w:r>
      <w:r w:rsidRPr="00725D15">
        <w:rPr>
          <w:rFonts w:cs="Arial"/>
          <w:szCs w:val="22"/>
        </w:rPr>
        <w:fldChar w:fldCharType="begin"/>
      </w:r>
      <w:r w:rsidR="00434675">
        <w:rPr>
          <w:rFonts w:cs="Arial"/>
          <w:szCs w:val="22"/>
        </w:rPr>
        <w:instrText xml:space="preserve"> ADDIN ZOTERO_ITEM CSL_CITATION {"citationID":"8fjs6l6e6","properties":{"formattedCitation":"\\super 48\\nosupersub{}","plainCitation":"48","noteIndex":0},"citationItems":[{"id":636,"uris":["http://zotero.org/users/2597747/items/VJ9837CS"],"uri":["http://zotero.org/users/2597747/items/VJ9837CS"],"itemData":{"id":636,"type":"article-journal","title":"Medication inappropriateness for older adults receiving hospice care: a pilot survey","container-title":"The Consultant Pharmacist: The Journal of the American Society of Consultant Pharmacists","page":"926-934","volume":"22","issue":"11","source":"PubMed","abstract":"OBJECTIVE: To test the feasibility and reliability of a tool and methodology for evaluating expert clinicians' perceptions about the application of the Beers criteria in hospice.\nDESIGN: A pilot survey.\nSETTING: A national medication therapy management provider specializing in hospice care.\nPARTICIPANTS: Thirty-five participants from a multidisciplinary panel were invited to complete the survey. They were selected to represent acute, long-term care, and community practice settings with various levels of experience and judgment.\nINTERVENTION: Respondents were asked to complete the survey by rating their agreement or disagreement with the inappropriateness of the medications or medication classes for hospice patients, using a five-point Likert scale from strongly agree (1) to strongly disagree (5), with the midpoint (3) expressing equivocation.\nMAIN OUTCOME MEASURES: Feasibility as measured by the percentage of returned and completed surveys. A secondary aim was to measure inter-rater reliability and response.\nRESULTS: Twenty-four clinicians (69%) completed the survey, including 13 clinical pharmacists, 6 nurses, and 5 physicians. Twenty-nine responses (2%) were furnished by imputation methods. The intraclass correlation for medication inappropriateness for hospice patients was 0.89 (0.81-0.95), indicating \"good\" inter-rater reliability. Short-acting benzodiazepines, gastrointestinal antispasmodics, anticholinergics, and antihistamines were considered appropriate for use in older hospice patients, but they are considered inappropriate according to the Beers criteria.\nCONCLUSION: We established a viable methodology for evaluating clinician judgment about medication inappropriateness in older hospice patients. Some medications routinely considered to be inappropriate may be appropriate at end of life; different criteria may be needed to determine medication inappropriateness in hospice care.","ISSN":"0888-5109","note":"PMID: 18198979","shortTitle":"Medication inappropriateness for older adults receiving hospice care","journalAbbreviation":"Consult Pharm","language":"eng","author":[{"family":"Bain","given":"Kevin T."},{"family":"Weschules","given":"Douglas J."}],"issued":{"date-parts":[["2007",11]]}}}],"schema":"https://github.com/citation-style-language/schema/raw/master/csl-citation.json"}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48</w:t>
      </w:r>
      <w:r w:rsidRPr="00725D15">
        <w:rPr>
          <w:rFonts w:cs="Arial"/>
          <w:szCs w:val="22"/>
        </w:rPr>
        <w:fldChar w:fldCharType="end"/>
      </w:r>
      <w:r w:rsidRPr="00725D15">
        <w:rPr>
          <w:rFonts w:cs="Arial"/>
          <w:szCs w:val="22"/>
        </w:rPr>
        <w:t xml:space="preserve"> Other studies have applied modified versions of the Medication Appropriateness Index to quantify reductions in potentially inappropriate medications (PIMs) following palliative care team intervention.</w:t>
      </w:r>
      <w:r w:rsidRPr="00725D15">
        <w:rPr>
          <w:rFonts w:cs="Arial"/>
          <w:szCs w:val="22"/>
        </w:rPr>
        <w:fldChar w:fldCharType="begin"/>
      </w:r>
      <w:r w:rsidR="00434675">
        <w:rPr>
          <w:rFonts w:cs="Arial"/>
          <w:szCs w:val="22"/>
        </w:rPr>
        <w:instrText xml:space="preserve"> ADDIN ZOTERO_ITEM CSL_CITATION {"citationID":"1mj386tavi","properties":{"formattedCitation":"\\super 50,51\\nosupersub{}","plainCitation":"50,51","noteIndex":0},"citationItems":[{"id":239,"uris":["http://zotero.org/users/2597747/items/V2SE7H7W"],"uri":["http://zotero.org/users/2597747/items/V2SE7H7W"],"itemData":{"id":239,"type":"article-journal","title":"Impact of a geriatric nursing home palliative care service on unnecessary medication prescribing","container-title":"The American Journal of Geriatric Pharmacotherapy","page":"20-25","volume":"7","issue":"1","source":"PubMed","abstract":"BACKGROUND: There is a lack of studies concerning improvement of medication use in palliative care patients in nursing homes.\nOBJECTIVE: This study was conducted to evaluate whether a geriatric palliative care team reduced unnecessary medication prescribing for elderly veterans residing in a nursing home.\nMETHODS: This was a retrospective, descriptive study of patients who died while residing in a geriatric palliative care unit between August 1, 2005, and July 31, 2007. Prescribed medications were evaluated using the Unnecessary Drug Use Measure, which contains 3 items from the Medication Appropriateness Index concerning lack of indication, lack of effectiveness, and therapeutic duplication. This measure was applied at 2 time points: on transfer/admission to the palliative care unit and at the last 30-day pharmacist medication review before death. Paired t tests and McNemar tests were used to compare medication use at these 2 points.\nRESULTS: Eighty-nine patients were included in the study. The majority were male (97.8%) and white (78.7%), with a mean (SD) age of 79.7 (7.8) years. The median length of stay on the unit was 39.0 days, and the mean number of chronic medical conditions was 8.4 (4.3). At baseline, the mean number of scheduled medications was 9.7 (4.3). The number of unnecessary medications per patient decreased from a mean of 1.7 (1.5) at admission to 0.6 (0.8) at closeout (P = 0.003). The decrease was seen in all 3 categories of the Unnecessary Drug Use Measure.\nCONCLUSIONS: The geriatric palliative care team was associated with a reduction in the number of unnecessary medications prescribed for older veterans in this nursing home. Future studies should evaluate the impact of decreasing unnecessary prescribing on clinical outcomes such as adverse drug reactions.","DOI":"10.1016/j.amjopharm.2009.02.001","ISSN":"1543-5946","note":"PMID: 19281937","journalAbbreviation":"Am J Geriatr Pharmacother","language":"eng","author":[{"family":"Suhrie","given":"Erin M."},{"family":"Hanlon","given":"Joseph T."},{"family":"Jaffe","given":"Emily J."},{"family":"Sevick","given":"Mary Ann"},{"family":"Ruby","given":"Christine M."},{"family":"Aspinall","given":"Sherrie L."}],"issued":{"date-parts":[["2009",2]]}}},{"id":1464,"uris":["http://zotero.org/users/2597747/items/5S3ADZTR"],"uri":["http://zotero.org/users/2597747/items/5S3ADZTR"],"itemData":{"id":1464,"type":"article-journal","title":"Therapeutic futility in cancer patients at the time of palliative care transition: An analysis with a modified version of the Medication Appropriateness Index","container-title":"Palliative Medicine","page":"643-651","volume":"29","issue":"7","source":"PubMed","abstract":"BACKGROUND: Palliative Care professionals are often confronted with therapeutic futility, consisting in inappropriate strategies that do not add any advantage to the patient and may actually increase adverse events. Scientific literature concerning this issue is lacking. This article is one of the first to study therapeutic futility specifically at the time of transition to the palliative care setting.\nAIM: To study the phenomenon of pharmacologic therapeutic futility at the time of transition of a cancer patient to palliative care.\nDESIGN: The pharmacological prescriptions at the time of the first appointment at an oncological palliative care unit during a time period of 2 months were prospectively collected and characterized using the Medication Appropriateness Index.\nPARTICIPANTS: The sample comprised 71 patients with a mean age of 68.2 years.\nRESULTS: The most common pharmacological groups were analgesics (n = 121; 19.2%), psychoactive drugs (n = 89; 14.1%), and antihypertensives (n = 51; 8.1%). A total of 61 patients (85.9%) consumed 5 drugs or more at the time of the first appointment. The mean number of daily medications decreased significantly after the palliative care team intervention, from 7.15 to 5.73 (p &lt; 0.05). The principal causes of inappropriateness were absence of indication for the drug (23.0% \"inappropriate\"), the drugs' adverse interactions (11.1%), and inadequate dosage (9.9%). After the first consultation in the palliative care setting, 28.2% of the drugs were suspended.\nCONCLUSION: This article tried to evaluate the main causes of therapeutic futility at the palliative care transition. The principal causes of inappropriateness were absence of clinical indication, clinically significant drug-disease/comorbidity interactions, and incorrect dosage/posology.","DOI":"10.1177/0269216315573687","ISSN":"1477-030X","note":"PMID: 25701662","shortTitle":"Therapeutic futility in cancer patients at the time of palliative care transition","journalAbbreviation":"Palliat Med","language":"eng","author":[{"family":"Domingues","given":"Duarte"},{"family":"Carneiro","given":"Rui"},{"family":"Costa","given":"Isabel"},{"family":"Monteiro","given":"Carolina"},{"family":"Shvetz","given":"Yulyia"},{"family":"Barbosa","given":"Ana C."},{"family":"Azevedo","given":"Pedro"}],"issued":{"date-parts":[["2015",7]]}}}],"schema":"https://github.com/citation-style-language/schema/raw/master/csl-citation.json"}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50,51</w:t>
      </w:r>
      <w:r w:rsidRPr="00725D15">
        <w:rPr>
          <w:rFonts w:cs="Arial"/>
          <w:szCs w:val="22"/>
        </w:rPr>
        <w:fldChar w:fldCharType="end"/>
      </w:r>
      <w:r w:rsidRPr="00725D15">
        <w:rPr>
          <w:rFonts w:cs="Arial"/>
          <w:szCs w:val="22"/>
        </w:rPr>
        <w:t xml:space="preserve"> In one of the few examples of a tool for use specifically in the palliative care setting, Lindsay </w:t>
      </w:r>
      <w:r w:rsidR="00D44C3D">
        <w:rPr>
          <w:rFonts w:cs="Arial"/>
          <w:szCs w:val="22"/>
        </w:rPr>
        <w:t xml:space="preserve">and colleagues </w:t>
      </w:r>
      <w:r w:rsidRPr="00725D15">
        <w:rPr>
          <w:rFonts w:cs="Arial"/>
          <w:szCs w:val="22"/>
        </w:rPr>
        <w:t>developed an “OncPal deprescribing guideline” to assist clinicians in identifying unnecessary medications in palliative care patients with cancer.</w:t>
      </w:r>
      <w:r w:rsidRPr="00725D15">
        <w:rPr>
          <w:rFonts w:cs="Arial"/>
          <w:szCs w:val="22"/>
        </w:rPr>
        <w:fldChar w:fldCharType="begin"/>
      </w:r>
      <w:r w:rsidR="00434675">
        <w:rPr>
          <w:rFonts w:cs="Arial"/>
          <w:szCs w:val="22"/>
        </w:rPr>
        <w:instrText xml:space="preserve"> ADDIN ZOTERO_ITEM CSL_CITATION {"citationID":"2adg91mot7","properties":{"formattedCitation":"\\super 52\\nosupersub{}","plainCitation":"52","noteIndex":0},"citationItems":[{"id":1080,"uris":["http://zotero.org/users/2597747/items/GEQ6SQPH"],"uri":["http://zotero.org/users/2597747/items/GEQ6SQPH"],"itemData":{"id":1080,"type":"article-journal","title":"The development and evaluation of an oncological palliative care deprescribing guideline: the ‘OncPal deprescribing guideline’","container-title":"Supportive Care in Cancer","page":"71-78","volume":"23","issue":"1","source":"link.springer.com.proxy.cc.uic.edu","abstract":"Purpose Current data suggests that potentially inappropriate medicines (PIMs) are common in palliative cancer patients; however, there is a lack of criteria to assist clinicians in identifying PIMs in these patients. The aims of this study were to design and validate a deprescribing guideline for palliative cancer patients and to undertake a descriptive analysis of the identified PIMs. Methods This prospective, non-interventional cohort study consisted of four major stages: developing an ‘OncPal Deprescribing Guideline’ from current evidence, the prospective recruitment of consecutive palliative cancer inpatients with an estimated &lt;6-month prognosis, the assessment of all medications to identify PIMs using both a panel of medical experts without access to the guideline as well as a Clinical Pharmacist independently using the OncPal Deprescribing Guideline and the evaluation of the guideline by testing concordance. Descriptive data on the incidence of PIMs identified were also assessed. Results A total of 61 patients were recruited. The OncPal Deprescribing Guideline matched 94 % of 617 medicines to the expert panel with a Kappa value of 0.83 [95 % CI (0.76, 0.89)] demonstrating an ‘outstanding’ concordance. Forty-three (70 %) patients were taking at least one PIM, with 21.4 % of the total medicines assessed identified as PIMs. The medication-associated cost per patient/month was AUD$26.71. Conclusion A guideline to assist in the de-escalation of inappropriate medications in palliative cancer patients was developed from current literature. The OncPal Deprescribing Guideline was successfully validated, demonstrating statistically significant concordance with an expert panel. We found that the incidence of PIMs was high in our patient group, demonstrating the potential benefits for the OncPal Deprescribing Guideline in clinical practice.","DOI":"10.1007/s00520-014-2322-0","ISSN":"0941-4355, 1433-7339","shortTitle":"The development and evaluation of an oncological palliative care deprescribing guideline","journalAbbreviation":"Support Care Cancer","language":"en","author":[{"family":"Lindsay","given":"Julian"},{"family":"Dooley","given":"Michael"},{"family":"Martin","given":"Jennifer"},{"family":"Fay","given":"Michael"},{"family":"Kearney","given":"Alison"},{"family":"Khatun","given":"Mohsina"},{"family":"Barras","given":"Michael"}],"issued":{"date-parts":[["2014",7,1]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52</w:t>
      </w:r>
      <w:r w:rsidRPr="00725D15">
        <w:rPr>
          <w:rFonts w:cs="Arial"/>
          <w:szCs w:val="22"/>
        </w:rPr>
        <w:fldChar w:fldCharType="end"/>
      </w:r>
      <w:r w:rsidRPr="00725D15">
        <w:rPr>
          <w:rFonts w:cs="Arial"/>
          <w:szCs w:val="22"/>
        </w:rPr>
        <w:t xml:space="preserve"> The authors identified a high incidence of unnecessary medication use when applying the guideline and a very high level of concordance between the deprescribing guideline and an expert panel, thus demonstrating the potential usefulness of the tool in cancer patients transitioning to palliative care. </w:t>
      </w:r>
    </w:p>
    <w:p w14:paraId="524A827A" w14:textId="78E030A4" w:rsidR="001444C9" w:rsidRPr="00725D15" w:rsidRDefault="001444C9" w:rsidP="00AA01B1">
      <w:pPr>
        <w:ind w:firstLine="720"/>
        <w:rPr>
          <w:rFonts w:cs="Arial"/>
          <w:szCs w:val="22"/>
        </w:rPr>
      </w:pPr>
      <w:r w:rsidRPr="00725D15">
        <w:rPr>
          <w:rFonts w:cs="Arial"/>
          <w:szCs w:val="22"/>
        </w:rPr>
        <w:lastRenderedPageBreak/>
        <w:t>Though no clear consensus criteria is currently available regarding appropriate deprescribing practices in the EOL population, the area has received substantial research interest in recent years and several approaches have been suggested.</w:t>
      </w:r>
      <w:r w:rsidRPr="00725D15">
        <w:rPr>
          <w:rFonts w:cs="Arial"/>
          <w:szCs w:val="22"/>
        </w:rPr>
        <w:fldChar w:fldCharType="begin"/>
      </w:r>
      <w:r w:rsidR="00434675">
        <w:rPr>
          <w:rFonts w:cs="Arial"/>
          <w:szCs w:val="22"/>
        </w:rPr>
        <w:instrText xml:space="preserve"> ADDIN ZOTERO_ITEM CSL_CITATION {"citationID":"dpsb976go","properties":{"formattedCitation":"\\super 41,45,49,53,54\\nosupersub{}","plainCitation":"41,45,49,53,54","noteIndex":0},"citationItems":[{"id":958,"uris":["http://zotero.org/users/2597747/items/I7MH25J4"],"uri":["http://zotero.org/users/2597747/items/I7MH25J4"],"itemData":{"id":958,"type":"article-journal","title":"Preventive medication use among persons with limited life expectancy","container-title":"Progress in Palliative Care","page":"15-21","volume":"19","issue":"1","source":"PubMed Central","abstract":"Persons with limited life expectancy (LLE) – less than 1 year – are significant consumers of health care, are at increased risk of polypharmacy and adverse drug events, and have dynamic health statuses. Therefore, medication use among this population must be appropriate and regularly evaluated. The objective of this review is to assess the current state of knowledge and clinical practice presented in the literature regarding preventive medication use among persons with LLE. We searched Medline, Embase, and CINAHL using Medical Subject Headings. Broad searches were first conducted using the terms ‘terminal care or therapy’ or ‘advanced disease’ and ‘polypharmacy’ or ‘inappropriate medication’ or ‘preventive medicine’, followed by more specific searches using the terms ‘statins’ or ‘anti-hypertensives’ or ‘bisphosphonates’ or ‘laxatives’ and ‘terminal care’. Frameworks to assess appropriate versus inappropriate medications for persons with LLE, and the prevalence of potentially inappropriate medication use among this population, are presented. A considerable proportion of individuals with a known terminal condition continue to take chronic disease preventive medications until death despite questionable benefit. The addition of palliative preventive medications is advised. There is an indication that as death approaches the shift from a curative to palliative goal of care translates into a shift in medication use. This literature review is a first step towards improving medication use and decreasing polypharmacy in persons at the end of life. There is a need to develop consensus criteria to assess appropriate versus inappropriate medication use, specifically for individuals at the end of life.","DOI":"10.1179/174329111X576698","ISSN":"0969-9260","note":"PMID: 21731193\nPMCID: PMC3118532","journalAbbreviation":"Prog Palliat Care","author":[{"family":"Maddison","given":"André R"},{"family":"Fisher","given":"Judith"},{"family":"Johnston","given":"Grace"}],"issued":{"date-parts":[["2011",1]]}}},{"id":1097,"uris":["http://zotero.org/users/2597747/items/JQJ8E6C6"],"uri":["http://zotero.org/users/2597747/items/JQJ8E6C6"],"itemData":{"id":1097,"type":"article-journal","title":"Drug Therapy Optimization at the End of Life","container-title":"Drugs &amp; Aging","page":"511-521","volume":"29","issue":"6","source":"EBSCOhost","abstract":"Older people reaching end-of-life status are particularly at risk of adverse effects of drug therapy. Polypharmacy, declining organ function, comorbidity, malnutrition, cachexia and changes in body composition all sum up to increase the risk of many drug-related problems in individuals who receive end-of-life care. End of life is defined by a limited lifespan or advanced disability. Optimal prescribing for end-of-life patients with multimorbidity, especially in those dying from non-cancer conditions, remains mostly unexplored, despite the increasing recognition that the management goals for patients with chronic diseases should be redefined in the setting of reduced life expectancy. Most drugs used for symptom palliation in end-of-life care of older patients are used without solid evidence of their benefits and risks in this particularly frail population. Appropriate dosing or optimal administration routes are in most cases unknown. Avoiding or discontinuing drugs that aim to prolong life or prevent disability is usually common sense in end-of-life care, particularly when the time needed to obtain the expected benefits from the drug is longer than the life expectancy of a particular individual. However, discontinuation of drugs is not standard practice, and prescriptions are usually not adapted to changes in the course of advanced diseases. Careful consideration of remaining life expectancy, time until benefit, goals of care and treatment targets for each drug seems to be a sensible framework for decision making. In this article, some key issues on drug therapy at the end of life are discussed, including principles of decision making about drug treatments, specific aspects of drug therapy in some common geriatric conditions (heart failure and dementia), treatment of acute concurrent problems such as infections, evidence to guide the choice and use of drugs to treat symptoms in palliative care, and avoidance of some long-term therapies in end-of-life care. Solid evidence is lacking to guide optimal pharmacotherapy in most endof-life settings, especially in non-cancer diseases and very old patients. Some open questions for research are suggested.","DOI":"10.2165/11631740-000000000-00000","ISSN":"1170-229X","journalAbbreviation":"Drugs &amp; Aging","author":[{"family":"Cruz-Jentoft","given":"Alfonso J."},{"family":"Boland","given":"Benoit"},{"family":"Rexach","given":"Lourdes"}],"issued":{"date-parts":[["2012",6]]}}},{"id":2288,"uris":["http://zotero.org/users/2597747/items/237SQ4Z7"],"uri":["http://zotero.org/users/2597747/items/237SQ4Z7"],"itemData":{"id":2288,"type":"article-journal","title":"End-of-life medications draw more attention, greater scrutiny","container-title":"JAMA","page":"231-233","volume":"313","issue":"3","source":"Silverchair","abstract":"It wasn’t a popular idea at the outset. Amy Abernethy, MD, PhD, and her colleagues suggested a decade ago that patients nearing the end of life could stop at least some of their medications. But their attempts to publish material on the subject initially met with resistance. “There was great angst among reviewers about medication discontinuation of any kind,” she said of a commentary they eventually published in BMJ (Stevenson J et al. BMJ. 2004;329[7471]:909-912). “They felt it would be equivalent to saying to a patient, ‘You’re not worthy to be on this medication.’”","DOI":"10.1001/jama.2014.17360","ISSN":"0098-7484","journalAbbreviation":"JAMA","author":[{"literal":"Graham J"}],"issued":{"date-parts":[["2015",1,20]]}}},{"id":361,"uris":["http://zotero.org/users/2597747/items/8R2CFPQV"],"uri":["http://zotero.org/users/2597747/items/8R2CFPQV"],"itemData":{"id":361,"type":"article-journal","title":"Appropriate Discontinuation of Medications at the End of Life: A Need to Establish Consensus Criteria","container-title":"American Journal of Medical Quality","page":"393-394","volume":"22","issue":"6","source":"ajm.sagepub.com.proxy.cc.uic.edu","DOI":"10.1177/1062860607308145","ISSN":"1062-8606, 1555-824X","note":"PMID: 18006418","shortTitle":"Appropriate Discontinuation of Medications at the End of Life","journalAbbreviation":"American Journal of Medical Quality","language":"en","author":[{"family":"Lee","given":"Seina P."},{"family":"Bain","given":"Kevin T."},{"family":"Maio","given":"Vittorio"}],"issued":{"date-parts":[["2007",11,1]]}}},{"id":212,"uris":["http://zotero.org/users/2597747/items/HGWGX7CP"],"uri":["http://zotero.org/users/2597747/items/HGWGX7CP"],"itemData":{"id":212,"type":"article-journal","title":"Reconsidering medication appropriateness for patients late in life","container-title":"Archives of Internal Medicine","page":"605-609","volume":"166","issue":"6","source":"Silverchair","abstract":"Providing guideline-adherent care for many medical conditions increasingly means the addition of more medications to reach disease-specific targets.1 When might it be best to withhold or discontinue medications that are otherwise appropriate on the basis of guidelines? Receiving facsimiles from the pharmacy serving a local nursing home encouraging us to prescribe statins for residents there symbolizes the issues. Most of these patients had a limited life expectancy, were older than 90 years, or had advanced dementia. Similar situations occur in patients with functional impairments, frailty, or diseases like emphysema, congestive heart failure, or coronary artery disease in their advanced stages, for whom starting or continuing many recommended drugs does not seem the best way to optimize care.","DOI":"10.1001/archinte.166.6.605","ISSN":"0003-9926","journalAbbreviation":"Arch Intern Med","author":[{"literal":"Holmes HM"},{"literal":"Hayley D"},{"literal":"Alexander G"},{"literal":"Sachs GA"}],"issued":{"date-parts":[["2006",3,27]]}}}],"schema":"https://github.com/citation-style-language/schema/raw/master/csl-citation.json"}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41,45,49,53,54</w:t>
      </w:r>
      <w:r w:rsidRPr="00725D15">
        <w:rPr>
          <w:rFonts w:cs="Arial"/>
          <w:szCs w:val="22"/>
        </w:rPr>
        <w:fldChar w:fldCharType="end"/>
      </w:r>
      <w:r w:rsidRPr="00725D15">
        <w:rPr>
          <w:rFonts w:cs="Arial"/>
          <w:szCs w:val="22"/>
        </w:rPr>
        <w:t xml:space="preserve"> Holmes et al. proposed a framework for discontinuing medications for patients late in life based on four components: remaining life expectancy of the patient, time until benefit of the medication, goals of care, and desired treatment targets. The authors suggested that as these components change over the course of the</w:t>
      </w:r>
      <w:r w:rsidR="008A1035">
        <w:rPr>
          <w:rFonts w:cs="Arial"/>
          <w:szCs w:val="22"/>
        </w:rPr>
        <w:t xml:space="preserve"> patient’s illness, so </w:t>
      </w:r>
      <w:r w:rsidRPr="00725D15">
        <w:rPr>
          <w:rFonts w:cs="Arial"/>
          <w:szCs w:val="22"/>
        </w:rPr>
        <w:t>does the pool of appropriate medicat</w:t>
      </w:r>
      <w:r w:rsidR="00BE2904">
        <w:rPr>
          <w:rFonts w:cs="Arial"/>
          <w:szCs w:val="22"/>
        </w:rPr>
        <w:t>ions for that patient</w:t>
      </w:r>
      <w:r w:rsidRPr="00725D15">
        <w:rPr>
          <w:rFonts w:cs="Arial"/>
          <w:szCs w:val="22"/>
        </w:rPr>
        <w:t>.</w:t>
      </w:r>
      <w:r w:rsidRPr="00725D15">
        <w:rPr>
          <w:rFonts w:cs="Arial"/>
          <w:szCs w:val="22"/>
        </w:rPr>
        <w:fldChar w:fldCharType="begin"/>
      </w:r>
      <w:r w:rsidR="00434675">
        <w:rPr>
          <w:rFonts w:cs="Arial"/>
          <w:szCs w:val="22"/>
        </w:rPr>
        <w:instrText xml:space="preserve"> ADDIN ZOTERO_ITEM CSL_CITATION {"citationID":"g1kevo3oh","properties":{"formattedCitation":"\\super 49\\nosupersub{}","plainCitation":"49","noteIndex":0},"citationItems":[{"id":212,"uris":["http://zotero.org/users/2597747/items/HGWGX7CP"],"uri":["http://zotero.org/users/2597747/items/HGWGX7CP"],"itemData":{"id":212,"type":"article-journal","title":"Reconsidering medication appropriateness for patients late in life","container-title":"Archives of Internal Medicine","page":"605-609","volume":"166","issue":"6","source":"Silverchair","abstract":"Providing guideline-adherent care for many medical conditions increasingly means the addition of more medications to reach disease-specific targets.1 When might it be best to withhold or discontinue medications that are otherwise appropriate on the basis of guidelines? Receiving facsimiles from the pharmacy serving a local nursing home encouraging us to prescribe statins for residents there symbolizes the issues. Most of these patients had a limited life expectancy, were older than 90 years, or had advanced dementia. Similar situations occur in patients with functional impairments, frailty, or diseases like emphysema, congestive heart failure, or coronary artery disease in their advanced stages, for whom starting or continuing many recommended drugs does not seem the best way to optimize care.","DOI":"10.1001/archinte.166.6.605","ISSN":"0003-9926","journalAbbreviation":"Arch Intern Med","author":[{"literal":"Holmes HM"},{"literal":"Hayley D"},{"literal":"Alexander G"},{"literal":"Sachs GA"}],"issued":{"date-parts":[["2006",3,27]]}}}],"schema":"https://github.com/citation-style-language/schema/raw/master/csl-citation.json"}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49</w:t>
      </w:r>
      <w:r w:rsidRPr="00725D15">
        <w:rPr>
          <w:rFonts w:cs="Arial"/>
          <w:szCs w:val="22"/>
        </w:rPr>
        <w:fldChar w:fldCharType="end"/>
      </w:r>
    </w:p>
    <w:p w14:paraId="0F7C6A06" w14:textId="7C4CEB1D" w:rsidR="001444C9" w:rsidRPr="00725D15" w:rsidRDefault="001444C9" w:rsidP="00AA01B1">
      <w:pPr>
        <w:ind w:firstLine="720"/>
        <w:rPr>
          <w:rFonts w:cs="Arial"/>
          <w:szCs w:val="22"/>
        </w:rPr>
      </w:pPr>
      <w:r w:rsidRPr="00725D15">
        <w:rPr>
          <w:rFonts w:cs="Arial"/>
          <w:szCs w:val="22"/>
        </w:rPr>
        <w:t>In a review of EOL pharmacotherapy, O’Mahoney and O’Connor</w:t>
      </w:r>
      <w:r w:rsidRPr="00725D15">
        <w:rPr>
          <w:rFonts w:cs="Arial"/>
          <w:szCs w:val="22"/>
        </w:rPr>
        <w:fldChar w:fldCharType="begin"/>
      </w:r>
      <w:r w:rsidR="00434675">
        <w:rPr>
          <w:rFonts w:cs="Arial"/>
          <w:szCs w:val="22"/>
        </w:rPr>
        <w:instrText xml:space="preserve"> ADDIN ZOTERO_ITEM CSL_CITATION {"citationID":"16u9pqac5c","properties":{"formattedCitation":"\\super 55\\nosupersub{}","plainCitation":"55","noteIndex":0},"citationItems":[{"id":649,"uris":["http://zotero.org/users/2597747/items/EQQEPEZX"],"uri":["http://zotero.org/users/2597747/items/EQQEPEZX"],"itemData":{"id":649,"type":"article-journal","title":"Pharmacotherapy at the end-of-life","container-title":"Age and Ageing","page":"419-422","volume":"40","issue":"4","source":"ageing.oxfordjournals.org","abstract":"Older people reaching end-of-life status are particularly at risk from inter-related adverse effects of pharmacotherapy, including polypharmacy, inappropriate medications and adverse drug events. These adverse effects of pharmacotherapy may be highly detrimental, as well as highly expensive. End-of-life pharmacotherapy is sometimes perceived to be complex and challenging, probably unnecessarily. This relates in part to the poorly developed evidence base and lack of high-quality research in this area. In this article, we deal with some of the key issues relating to pharmacotherapy in end-of-life patients, namely (i) the guiding principles of drug selection, (ii) the main drugs and drug classes that are best avoided, (iii) the benefits of ‘oligopharmacy’ (i.e. deliberate avoidance of polypharmacy) in end-of-life patients.","DOI":"10.1093/ageing/afr059","ISSN":"0002-0729, 1468-2834","note":"PMID: 21622981","journalAbbreviation":"Age Ageing","language":"en","author":[{"family":"O'Mahony","given":"Denis"},{"family":"O'Connor","given":"Marie N."}],"issued":{"date-parts":[["2011",7,1]]}}}],"schema":"https://github.com/citation-style-language/schema/raw/master/csl-citation.json"}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55</w:t>
      </w:r>
      <w:r w:rsidRPr="00725D15">
        <w:rPr>
          <w:rFonts w:cs="Arial"/>
          <w:szCs w:val="22"/>
        </w:rPr>
        <w:fldChar w:fldCharType="end"/>
      </w:r>
      <w:r w:rsidRPr="00725D15">
        <w:rPr>
          <w:rFonts w:cs="Arial"/>
          <w:szCs w:val="22"/>
        </w:rPr>
        <w:t xml:space="preserve"> provided several guiding principles for prescribing in EOL patients, including </w:t>
      </w:r>
      <w:r w:rsidR="006E0774">
        <w:rPr>
          <w:rFonts w:cs="Arial"/>
          <w:szCs w:val="22"/>
        </w:rPr>
        <w:t>those receiving</w:t>
      </w:r>
      <w:r w:rsidRPr="00725D15">
        <w:rPr>
          <w:rFonts w:cs="Arial"/>
          <w:szCs w:val="22"/>
        </w:rPr>
        <w:t xml:space="preserve"> palliative </w:t>
      </w:r>
      <w:r w:rsidR="006E0774">
        <w:rPr>
          <w:rFonts w:cs="Arial"/>
          <w:szCs w:val="22"/>
        </w:rPr>
        <w:t>or hospice care</w:t>
      </w:r>
      <w:r w:rsidRPr="00725D15">
        <w:rPr>
          <w:rFonts w:cs="Arial"/>
          <w:szCs w:val="22"/>
        </w:rPr>
        <w:t>:</w:t>
      </w:r>
    </w:p>
    <w:p w14:paraId="32FC2AA4" w14:textId="77777777" w:rsidR="001444C9" w:rsidRPr="00725D15" w:rsidRDefault="001444C9" w:rsidP="00AA01B1">
      <w:pPr>
        <w:pStyle w:val="ListParagraph"/>
        <w:numPr>
          <w:ilvl w:val="0"/>
          <w:numId w:val="7"/>
        </w:numPr>
        <w:rPr>
          <w:rFonts w:cs="Arial"/>
          <w:szCs w:val="22"/>
        </w:rPr>
      </w:pPr>
      <w:r w:rsidRPr="00725D15">
        <w:rPr>
          <w:rFonts w:cs="Arial"/>
          <w:szCs w:val="22"/>
        </w:rPr>
        <w:t>Life-extending drugs are usually not appropriate.</w:t>
      </w:r>
    </w:p>
    <w:p w14:paraId="0EFCB3D7" w14:textId="77777777" w:rsidR="001444C9" w:rsidRPr="00725D15" w:rsidRDefault="001444C9" w:rsidP="00AA01B1">
      <w:pPr>
        <w:pStyle w:val="ListParagraph"/>
        <w:numPr>
          <w:ilvl w:val="0"/>
          <w:numId w:val="7"/>
        </w:numPr>
        <w:rPr>
          <w:rFonts w:cs="Arial"/>
          <w:szCs w:val="22"/>
        </w:rPr>
      </w:pPr>
      <w:r w:rsidRPr="00725D15">
        <w:rPr>
          <w:rFonts w:cs="Arial"/>
          <w:szCs w:val="22"/>
        </w:rPr>
        <w:t>Drugs for primary prevention have, in general, no place in the treatment of end-of-life patients, since the time-to-benefit usually exceeds life expectancy.</w:t>
      </w:r>
    </w:p>
    <w:p w14:paraId="0F8C05EA" w14:textId="77777777" w:rsidR="001444C9" w:rsidRPr="00725D15" w:rsidRDefault="001444C9" w:rsidP="00AA01B1">
      <w:pPr>
        <w:pStyle w:val="ListParagraph"/>
        <w:numPr>
          <w:ilvl w:val="0"/>
          <w:numId w:val="7"/>
        </w:numPr>
        <w:rPr>
          <w:rFonts w:cs="Arial"/>
          <w:szCs w:val="22"/>
        </w:rPr>
      </w:pPr>
      <w:r w:rsidRPr="00725D15">
        <w:rPr>
          <w:rFonts w:cs="Arial"/>
          <w:szCs w:val="22"/>
        </w:rPr>
        <w:t>Drugs for secondary prevention require careful scrutiny and should be prescribed only where ongoing benefit is to be expected within a patient’s life expectancy.</w:t>
      </w:r>
    </w:p>
    <w:p w14:paraId="09CBAE70" w14:textId="77777777" w:rsidR="001444C9" w:rsidRPr="00725D15" w:rsidRDefault="001444C9" w:rsidP="00AA01B1">
      <w:pPr>
        <w:pStyle w:val="ListParagraph"/>
        <w:numPr>
          <w:ilvl w:val="0"/>
          <w:numId w:val="7"/>
        </w:numPr>
        <w:rPr>
          <w:rFonts w:cs="Arial"/>
          <w:szCs w:val="22"/>
        </w:rPr>
      </w:pPr>
      <w:r w:rsidRPr="00725D15">
        <w:rPr>
          <w:rFonts w:cs="Arial"/>
          <w:szCs w:val="22"/>
        </w:rPr>
        <w:t>In general, prescribing more than five regular daily drugs to a patient with end-of-life status should be avoided. Six or more daily drugs heighten the risk of ADEs as well as poor medication compliance in older people.</w:t>
      </w:r>
    </w:p>
    <w:p w14:paraId="65EFBCA7" w14:textId="77777777" w:rsidR="001444C9" w:rsidRPr="00725D15" w:rsidRDefault="001444C9" w:rsidP="00AA01B1">
      <w:pPr>
        <w:pStyle w:val="ListParagraph"/>
        <w:numPr>
          <w:ilvl w:val="0"/>
          <w:numId w:val="7"/>
        </w:numPr>
        <w:rPr>
          <w:rFonts w:cs="Arial"/>
          <w:szCs w:val="22"/>
        </w:rPr>
      </w:pPr>
      <w:r w:rsidRPr="00725D15">
        <w:rPr>
          <w:rFonts w:cs="Arial"/>
          <w:szCs w:val="22"/>
        </w:rPr>
        <w:t>Defining treatment goals is of central importance and will usually direct the prescriber to the most appropriate pharmacotherapy. This process should be discussed between the physician and the patient and, where necessary the patients primary caregiver.</w:t>
      </w:r>
    </w:p>
    <w:p w14:paraId="392534D3" w14:textId="36911A67" w:rsidR="001444C9" w:rsidRPr="00725D15" w:rsidRDefault="001444C9" w:rsidP="00391890">
      <w:pPr>
        <w:ind w:firstLine="720"/>
        <w:rPr>
          <w:rFonts w:cs="Arial"/>
          <w:szCs w:val="22"/>
        </w:rPr>
      </w:pPr>
      <w:r w:rsidRPr="00725D15">
        <w:rPr>
          <w:rFonts w:cs="Arial"/>
          <w:szCs w:val="22"/>
        </w:rPr>
        <w:t xml:space="preserve">Three studies of terminally-ill cancer patients took a medication-specific approach, outlining specific criteria to classify individual medications and medications classes as </w:t>
      </w:r>
      <w:r w:rsidRPr="00725D15">
        <w:rPr>
          <w:rFonts w:cs="Arial"/>
          <w:szCs w:val="22"/>
        </w:rPr>
        <w:lastRenderedPageBreak/>
        <w:t>unnecessary based on the patient’s recent medical history, prognosis, and presence of a valid indication for the medication.</w:t>
      </w:r>
      <w:r w:rsidRPr="00725D15">
        <w:rPr>
          <w:rFonts w:cs="Arial"/>
          <w:szCs w:val="22"/>
        </w:rPr>
        <w:fldChar w:fldCharType="begin"/>
      </w:r>
      <w:r w:rsidR="00434675">
        <w:rPr>
          <w:rFonts w:cs="Arial"/>
          <w:szCs w:val="22"/>
        </w:rPr>
        <w:instrText xml:space="preserve"> ADDIN ZOTERO_ITEM CSL_CITATION {"citationID":"5nRn0yBx","properties":{"formattedCitation":"\\super 56\\uc0\\u8211{}58\\nosupersub{}","plainCitation":"56–58","noteIndex":0},"citationItems":[{"id":947,"uris":["http://zotero.org/users/2597747/items/WEERGWMN"],"uri":["http://zotero.org/users/2597747/items/WEERGWMN"],"itemData":{"id":947,"type":"article-journal","title":"Use of unnecessary medications by patients with advanced cancer: cross-sectional survey","container-title":"Supportive Care in Cancer","page":"1313-1318","volume":"19","issue":"9","source":"link.springer.com.proxy.cc.uic.edu","abstract":"Background Cancer patients at the end of life take numerous medications. However, it has not been assessed what proportion of patients take unnecessary medications and which patients are at risk for doing so. Methods Cross-sectional survey of medications utilized by terminally ill ambulatory cancer patients, with the aim of identifying medications considered unnecessary as per explicit criteria. The criteria took into account whether drugs could benefit patients with terminal cancer. Results Among 87 patients, 21 (24%, 95% confidence interval [CI] 15.6–34.5%) were taking at least one unnecessary medication, the most common being gastric protectors. In multivariable analyses, patients with Charlson Comobidity Index ≤ 1 (OR: 4.49, CI95% 1.32–15.26; p = 0.01) or whose medication list had not been reconciled by physicians (OR: 6.38, CI95% 1.21–33.40; p = 0.02) were more likely to use an unnecessary medication. Conclusion Patients with advanced cancer take many medications considered unnecessary. Medication reconciliation should be performed routinely for these patients.","DOI":"10.1007/s00520-010-0947-1","ISSN":"0941-4355, 1433-7339","shortTitle":"Use of unnecessary medications by patients with advanced cancer","journalAbbreviation":"Support Care Cancer","language":"en","author":[{"family":"Fede","given":"Angelo"},{"family":"Miranda","given":"Michele"},{"family":"Antonangelo","given":"Daniella"},{"family":"Trevizan","given":"Ligia"},{"family":"Schaffhausser","given":"Henrique"},{"family":"Hamermesz","given":"Bruno"},{"family":"Zimmermann","given":"Camile"},{"family":"Giglio","given":"Auro Del"},{"family":"Riechelmann","given":"Rachel P."}],"issued":{"date-parts":[["2010",7,21]]}}},{"id":266,"uris":["http://zotero.org/users/2597747/items/E965IK6T"],"uri":["http://zotero.org/users/2597747/items/E965IK6T"],"itemData":{"id":266,"type":"article-journal","title":"Futile medication use in terminally ill cancer patients","container-title":"Supportive Care in Cancer","page":"745-748","volume":"17","issue":"6","source":"link.springer.com.proxy.cc.uic.edu","abstract":"Background Cancer patients usually take many medications. The proportion of patients with advanced cancer who are taking futile drugs is unknown. Materials and methods We retrospectively reviewed the charts of all consecutive ambulatory patients with advanced cancer and who were receiving supportive care exclusively at palliative care clinics, Princess Margaret Hospital, to gather information on futile medications used by them. Futile medications were defined as unnecessary (when no short-term benefit to patients with respect to survival, quality of life, or symptom control was anticipated) or duplicate (two or more drugs from the same pharmacological class). Summary statistics were used to describe the results. Results From November 2005 to July 2006, 82 (22%) of 372 patients were taking at least one futile medication before consultation; after initial consultation, this proportion dropped to 20% (78): 70 patients were taking unnecessary medications, while eight were on duplicate medications. The most frequent unnecessary medications used by patients were statins (56%). The most common duplicate medication involved the use of two different benzodiazepines (seven patients). Conclusion About one fifth of cancer outpatients at the end of life take futile medications, most commonly statins. Prospective and population-based studies are warranted to further evaluate the magnitude and consequences of futile medication use in oncology.","DOI":"10.1007/s00520-008-0541-y","ISSN":"0941-4355, 1433-7339","journalAbbreviation":"Support Care Cancer","language":"en","author":[{"family":"Riechelmann","given":"Rachel P."},{"family":"Krzyzanowska","given":"Monika K."},{"family":"Zimmermann","given":"Camilla"}],"issued":{"date-parts":[["2008",11,22]]}}},{"id":940,"uris":["http://zotero.org/users/2597747/items/767KC4EI"],"uri":["http://zotero.org/users/2597747/items/767KC4EI"],"itemData":{"id":940,"type":"article-journal","title":"Evaluation of Prescribing Medications for Terminal Cancer Patients near Death: Essential or Futile","container-title":"Cancer Research and Treatment","page":"220-225","volume":"45","issue":"3","source":"PubMed Central","abstract":"Purpose\nThe purpose of this study is to evaluate the prescription of essential or futile medications for terminal cancer patients during their final admission.\n\nMaterials and Methods\nWe conducted a retrospective review of the medical charts of terminally ill cancer patients admitted to the Hemato-oncology Department of two teaching hospitals from March 1, 2007 to December 31, 2009. Essential medications were based on the drugs listed by the International Association for Hospice and Palliative Care, while futile medications were defined when short-term benefit to patients with respect to survival, quality of life, or symptom control was not anticipated.\n\nResults\nA total of 196 patients were included. Among essential medications, strong opioids were the most frequently prescribed drugs during the last admission (62.2% fentanyl, 44.3% morphine), followed by megestrol (46.0%), and metoclopramide (37.2%); 51% of gastric protectors were prescribed with potential futility. Anti-hypertensive and antiglycemic agents were administered to those who experienced arterial blood pressure below 90 mm Hg (47.3%) or presented with a single measurement of fasting glucose below 50 mg/dL (10.7%), respectively. Statins were prescribed to 6.1% (12/196) of patients, and 75% of those prescriptions were regarded as futile.\n\nConclusion\nOur data suggest that effective prescription of essential medications and withdrawal from futile medications should be actively reconciled for improvement of a patient's end-of-life care.","DOI":"10.4143/crt.2013.45.3.220","ISSN":"1598-2998","note":"PMID: 24155681\nPMCID: PMC3804734","shortTitle":"Evaluation of Prescribing Medications for Terminal Cancer Patients near Death","journalAbbreviation":"Cancer Res Treat","author":[{"family":"Lee","given":"Hye Ran"},{"family":"Yi","given":"Seong Yoon"},{"family":"Kim","given":"Do Yeun"}],"issued":{"date-parts":[["2013",9]]}}}],"schema":"https://github.com/citation-style-language/schema/raw/master/csl-citation.json"}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56–58</w:t>
      </w:r>
      <w:r w:rsidRPr="00725D15">
        <w:rPr>
          <w:rFonts w:cs="Arial"/>
          <w:szCs w:val="22"/>
        </w:rPr>
        <w:fldChar w:fldCharType="end"/>
      </w:r>
      <w:r w:rsidRPr="00725D15">
        <w:rPr>
          <w:rFonts w:cs="Arial"/>
          <w:szCs w:val="22"/>
        </w:rPr>
        <w:t xml:space="preserve"> Other studies have used expert clinician panels to reach consensus on specific medications and medication classes deemed to be inappropriate in the EOL population.</w:t>
      </w:r>
      <w:r w:rsidRPr="00725D15">
        <w:rPr>
          <w:rFonts w:cs="Arial"/>
          <w:szCs w:val="22"/>
        </w:rPr>
        <w:fldChar w:fldCharType="begin"/>
      </w:r>
      <w:r w:rsidR="00434675">
        <w:rPr>
          <w:rFonts w:cs="Arial"/>
          <w:szCs w:val="22"/>
        </w:rPr>
        <w:instrText xml:space="preserve"> ADDIN ZOTERO_ITEM CSL_CITATION {"citationID":"2okjn1vtlh","properties":{"formattedCitation":"\\super 52,59,60\\nosupersub{}","plainCitation":"52,59,60","noteIndex":0},"citationItems":[{"id":794,"uris":["http://zotero.org/users/2597747/items/5X4MX3IZ"],"uri":["http://zotero.org/users/2597747/items/5X4MX3IZ"],"itemData":{"id":794,"type":"article-journal","title":"Integrating Palliative Medicine into the Care of Persons with Advanced Dementia: Identifying Appropriate Medication Use","container-title":"Journal of the American Geriatrics Society","page":"1306-1311","volume":"56","issue":"7","source":"CrossRef","DOI":"10.1111/j.1532-5415.2008.01741.x","ISSN":"00028614, 15325415","shortTitle":"Integrating Palliative Medicine into the Care of Persons with Advanced Dementia","language":"en","author":[{"family":"Holmes","given":"Holly M."},{"family":"Sachs","given":"Greg A."},{"family":"Shega","given":"Joseph W."},{"family":"Hougham","given":"Gavin W."},{"family":"Cox Hayley","given":"Deon"},{"family":"Dale","given":"William"}],"issued":{"date-parts":[["2008",7]]}}},{"id":1080,"uris":["http://zotero.org/users/2597747/items/GEQ6SQPH"],"uri":["http://zotero.org/users/2597747/items/GEQ6SQPH"],"itemData":{"id":1080,"type":"article-journal","title":"The development and evaluation of an oncological palliative care deprescribing guideline: the ‘OncPal deprescribing guideline’","container-title":"Supportive Care in Cancer","page":"71-78","volume":"23","issue":"1","source":"link.springer.com.proxy.cc.uic.edu","abstract":"Purpose Current data suggests that potentially inappropriate medicines (PIMs) are common in palliative cancer patients; however, there is a lack of criteria to assist clinicians in identifying PIMs in these patients. The aims of this study were to design and validate a deprescribing guideline for palliative cancer patients and to undertake a descriptive analysis of the identified PIMs. Methods This prospective, non-interventional cohort study consisted of four major stages: developing an ‘OncPal Deprescribing Guideline’ from current evidence, the prospective recruitment of consecutive palliative cancer inpatients with an estimated &lt;6-month prognosis, the assessment of all medications to identify PIMs using both a panel of medical experts without access to the guideline as well as a Clinical Pharmacist independently using the OncPal Deprescribing Guideline and the evaluation of the guideline by testing concordance. Descriptive data on the incidence of PIMs identified were also assessed. Results A total of 61 patients were recruited. The OncPal Deprescribing Guideline matched 94 % of 617 medicines to the expert panel with a Kappa value of 0.83 [95 % CI (0.76, 0.89)] demonstrating an ‘outstanding’ concordance. Forty-three (70 %) patients were taking at least one PIM, with 21.4 % of the total medicines assessed identified as PIMs. The medication-associated cost per patient/month was AUD$26.71. Conclusion A guideline to assist in the de-escalation of inappropriate medications in palliative cancer patients was developed from current literature. The OncPal Deprescribing Guideline was successfully validated, demonstrating statistically significant concordance with an expert panel. We found that the incidence of PIMs was high in our patient group, demonstrating the potential benefits for the OncPal Deprescribing Guideline in clinical practice.","DOI":"10.1007/s00520-014-2322-0","ISSN":"0941-4355, 1433-7339","shortTitle":"The development and evaluation of an oncological palliative care deprescribing guideline","journalAbbreviation":"Support Care Cancer","language":"en","author":[{"family":"Lindsay","given":"Julian"},{"family":"Dooley","given":"Michael"},{"family":"Martin","given":"Jennifer"},{"family":"Fay","given":"Michael"},{"family":"Kearney","given":"Alison"},{"family":"Khatun","given":"Mohsina"},{"family":"Barras","given":"Michael"}],"issued":{"date-parts":[["2014",7,1]]}}},{"id":1136,"uris":["http://zotero.org/users/2597747/items/XJSFCK97"],"uri":["http://zotero.org/users/2597747/items/XJSFCK97"],"itemData":{"id":1136,"type":"article-journal","title":"Variation in medication use in cancer patients at the end of life: a cross-sectional analysis","container-title":"Supportive Care in Cancer","page":"1003-1011","volume":"21","issue":"4","source":"PubMed","abstract":"PURPOSE: Despite advances in cancer treatment, patients still die with unnecessary suffering. Therefore, high-quality end-of-life care is needed. Variations in medication use at the end of life may suggest areas for improvement. This study aims to describe the use of medications during the last days of life of cancer patients and to explore the possibility of using it as a quality measure.\nMETHODS: We conducted an international survey on experts' opinions regarding potentially inappropriate medications for dying patients. Subsequently, a chart review of deceased cancer patients was conducted, which assessed the current medication use in different settings.\nRESULTS: The mean number of medications used in the last 3 days of life was 4.8 (SD 2.1). Hospital patients were less likely than hospice patients to receive opioids, midazolam, haloperidol, and drugs for pulmonary secretions or nausea/vomiting. Over 90 % of experts rated 12 medications as unlikely to be appropriate. Hospital patients were more likely than hospice patients to receive these potentially inappropriate medications. Before the implementation of an end-of-life care pathway, hospital patients had a higher probability, than after, to receive potentially inappropriate medication. Moreover, after implementation of such pathway, patients for whom a pathway was not used were more likely to receive potentially inappropriate medications than patients for whom it was used.\nCONCLUSION: Medication use at the end of life varies widely by setting, both for potentially appropriate and inappropriate medications. Combining experts' opinion and current medication use resulted in the identification of 16 medications that might be used to assess the quality of cancer care at the end of life.","DOI":"10.1007/s00520-012-1619-0","ISSN":"1433-7339","note":"PMID: 23064901","shortTitle":"Variation in medication use in cancer patients at the end of life","journalAbbreviation":"Support Care Cancer","language":"eng","author":[{"family":"Raijmakers","given":"N. J. H."},{"family":"Zuylen","given":"L.","non-dropping-particle":"van"},{"family":"Furst","given":"C. J."},{"family":"Beccaro","given":"M."},{"family":"Maiorana","given":"L."},{"family":"Pilastri","given":"P."},{"family":"Rossi","given":"C."},{"family":"Flego","given":"G."},{"family":"Heide","given":"A.","non-dropping-particle":"van der"},{"family":"Costantini","given":"M."}],"issued":{"date-parts":[["2013",4]]}}}],"schema":"https://github.com/citation-style-language/schema/raw/master/csl-citation.json"}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52,59,60</w:t>
      </w:r>
      <w:r w:rsidRPr="00725D15">
        <w:rPr>
          <w:rFonts w:cs="Arial"/>
          <w:szCs w:val="22"/>
        </w:rPr>
        <w:fldChar w:fldCharType="end"/>
      </w:r>
      <w:r w:rsidRPr="00725D15">
        <w:rPr>
          <w:rFonts w:cs="Arial"/>
          <w:szCs w:val="22"/>
        </w:rPr>
        <w:t xml:space="preserve"> Based on the available evidence, prescription medications and medication-classes deemed largely to be </w:t>
      </w:r>
      <w:r w:rsidR="003C667C">
        <w:rPr>
          <w:rFonts w:cs="Arial"/>
          <w:szCs w:val="22"/>
        </w:rPr>
        <w:t>of limited benefit</w:t>
      </w:r>
      <w:r w:rsidRPr="00725D15">
        <w:rPr>
          <w:rFonts w:cs="Arial"/>
          <w:szCs w:val="22"/>
        </w:rPr>
        <w:t xml:space="preserve"> in patients with limited life expectancy include lipid-lowering medications, oral hypoglycemic agents, antihypertensives (with some exceptions), bisphosphonates, antidementia medications, antiplatelet/anticoagulants, </w:t>
      </w:r>
      <w:r w:rsidR="003C667C">
        <w:rPr>
          <w:rFonts w:cs="Arial"/>
          <w:szCs w:val="22"/>
        </w:rPr>
        <w:t xml:space="preserve">proton pump inhibitors </w:t>
      </w:r>
      <w:r w:rsidRPr="00725D15">
        <w:rPr>
          <w:rFonts w:cs="Arial"/>
          <w:szCs w:val="22"/>
        </w:rPr>
        <w:t>and hormonal medications.</w:t>
      </w:r>
      <w:r w:rsidRPr="00725D15">
        <w:rPr>
          <w:rFonts w:cs="Arial"/>
          <w:szCs w:val="22"/>
        </w:rPr>
        <w:fldChar w:fldCharType="begin"/>
      </w:r>
      <w:r w:rsidR="00434675">
        <w:rPr>
          <w:rFonts w:cs="Arial"/>
          <w:szCs w:val="22"/>
        </w:rPr>
        <w:instrText xml:space="preserve"> ADDIN ZOTERO_ITEM CSL_CITATION {"citationID":"2q7benbk3p","properties":{"formattedCitation":"\\super 52,56\\uc0\\u8211{}66\\nosupersub{}","plainCitation":"52,56–66","noteIndex":0},"citationItems":[{"id":947,"uris":["http://zotero.org/users/2597747/items/WEERGWMN"],"uri":["http://zotero.org/users/2597747/items/WEERGWMN"],"itemData":{"id":947,"type":"article-journal","title":"Use of unnecessary medications by patients with advanced cancer: cross-sectional survey","container-title":"Supportive Care in Cancer","page":"1313-1318","volume":"19","issue":"9","source":"link.springer.com.proxy.cc.uic.edu","abstract":"Background Cancer patients at the end of life take numerous medications. However, it has not been assessed what proportion of patients take unnecessary medications and which patients are at risk for doing so. Methods Cross-sectional survey of medications utilized by terminally ill ambulatory cancer patients, with the aim of identifying medications considered unnecessary as per explicit criteria. The criteria took into account whether drugs could benefit patients with terminal cancer. Results Among 87 patients, 21 (24%, 95% confidence interval [CI] 15.6–34.5%) were taking at least one unnecessary medication, the most common being gastric protectors. In multivariable analyses, patients with Charlson Comobidity Index ≤ 1 (OR: 4.49, CI95% 1.32–15.26; p = 0.01) or whose medication list had not been reconciled by physicians (OR: 6.38, CI95% 1.21–33.40; p = 0.02) were more likely to use an unnecessary medication. Conclusion Patients with advanced cancer take many medications considered unnecessary. Medication reconciliation should be performed routinely for these patients.","DOI":"10.1007/s00520-010-0947-1","ISSN":"0941-4355, 1433-7339","shortTitle":"Use of unnecessary medications by patients with advanced cancer","journalAbbreviation":"Support Care Cancer","language":"en","author":[{"family":"Fede","given":"Angelo"},{"family":"Miranda","given":"Michele"},{"family":"Antonangelo","given":"Daniella"},{"family":"Trevizan","given":"Ligia"},{"family":"Schaffhausser","given":"Henrique"},{"family":"Hamermesz","given":"Bruno"},{"family":"Zimmermann","given":"Camile"},{"family":"Giglio","given":"Auro Del"},{"family":"Riechelmann","given":"Rachel P."}],"issued":{"date-parts":[["2010",7,21]]}}},{"id":266,"uris":["http://zotero.org/users/2597747/items/E965IK6T"],"uri":["http://zotero.org/users/2597747/items/E965IK6T"],"itemData":{"id":266,"type":"article-journal","title":"Futile medication use in terminally ill cancer patients","container-title":"Supportive Care in Cancer","page":"745-748","volume":"17","issue":"6","source":"link.springer.com.proxy.cc.uic.edu","abstract":"Background Cancer patients usually take many medications. The proportion of patients with advanced cancer who are taking futile drugs is unknown. Materials and methods We retrospectively reviewed the charts of all consecutive ambulatory patients with advanced cancer and who were receiving supportive care exclusively at palliative care clinics, Princess Margaret Hospital, to gather information on futile medications used by them. Futile medications were defined as unnecessary (when no short-term benefit to patients with respect to survival, quality of life, or symptom control was anticipated) or duplicate (two or more drugs from the same pharmacological class). Summary statistics were used to describe the results. Results From November 2005 to July 2006, 82 (22%) of 372 patients were taking at least one futile medication before consultation; after initial consultation, this proportion dropped to 20% (78): 70 patients were taking unnecessary medications, while eight were on duplicate medications. The most frequent unnecessary medications used by patients were statins (56%). The most common duplicate medication involved the use of two different benzodiazepines (seven patients). Conclusion About one fifth of cancer outpatients at the end of life take futile medications, most commonly statins. Prospective and population-based studies are warranted to further evaluate the magnitude and consequences of futile medication use in oncology.","DOI":"10.1007/s00520-008-0541-y","ISSN":"0941-4355, 1433-7339","journalAbbreviation":"Support Care Cancer","language":"en","author":[{"family":"Riechelmann","given":"Rachel P."},{"family":"Krzyzanowska","given":"Monika K."},{"family":"Zimmermann","given":"Camilla"}],"issued":{"date-parts":[["2008",11,22]]}}},{"id":2121,"uris":["http://zotero.org/users/2597747/items/48QSB3DF"],"uri":["http://zotero.org/users/2597747/items/48QSB3DF"],"itemData":{"id":2121,"type":"article-journal","title":"Blood pressure evaluation and review of antihypertensive medication in patients with life limiting illness","container-title":"International Journal of Clinical Pharmacy","page":"1-4","source":"link.springer.com.proxy.cc.uic.edu","abstract":"Background Patients with life limiting illness commonly have multiple co-morbidities that require the use of complex, costly pharmacotherapy. One such example is using medications to treat hypertension in life limiting illness. Objective To: (1) assess the prevalence of previously documented hypertension and associated blood pressure in a cohort of patients with life limiting illness; and, (2) assess the appropriateness of antihypertensive medication in this patient group. Method This was a single centre study at a tertiary, specialist palliative care centre in Northern England. Electronic medical notes were reviewed and data were extracted. Antihypertensive medication was assessed for appropriateness using a conceptual framework. Results A total number of 54 patients were included in the study. Twenty six (48.1 %) had previously documented hypertension: the mean blood pressure of which was 122/65 mmHg (SD 17.0/10.5), while for the normotensive patients it was 122/73 mmHg (SD 21.0/11.6). Of the 26 patients using antihypertensive medication, 25 were assessed as using the medication inappropriately. Conclusions The blood pressure for patients with previously documented hypertension who access specialist palliative care day services is commonly below the NICE target threshold. The majority of these patients are prescribed antihypertensive medications inappropriately.","DOI":"10.1007/s11096-016-0327-0","ISSN":"2210-7703, 2210-7711","journalAbbreviation":"Int J Clin Pharm","language":"en","author":[{"family":"Dewhurst","given":"Felicity"},{"family":"Baker","given":"Lisa"},{"family":"Andrew","given":"Inga"},{"family":"Todd","given":"Adam"}],"issued":{"date-parts":[["2016",6,24]]}}},{"id":940,"uris":["http://zotero.org/users/2597747/items/767KC4EI"],"uri":["http://zotero.org/users/2597747/items/767KC4EI"],"itemData":{"id":940,"type":"article-journal","title":"Evaluation of Prescribing Medications for Terminal Cancer Patients near Death: Essential or Futile","container-title":"Cancer Research and Treatment","page":"220-225","volume":"45","issue":"3","source":"PubMed Central","abstract":"Purpose\nThe purpose of this study is to evaluate the prescription of essential or futile medications for terminal cancer patients during their final admission.\n\nMaterials and Methods\nWe conducted a retrospective review of the medical charts of terminally ill cancer patients admitted to the Hemato-oncology Department of two teaching hospitals from March 1, 2007 to December 31, 2009. Essential medications were based on the drugs listed by the International Association for Hospice and Palliative Care, while futile medications were defined when short-term benefit to patients with respect to survival, quality of life, or symptom control was not anticipated.\n\nResults\nA total of 196 patients were included. Among essential medications, strong opioids were the most frequently prescribed drugs during the last admission (62.2% fentanyl, 44.3% morphine), followed by megestrol (46.0%), and metoclopramide (37.2%); 51% of gastric protectors were prescribed with potential futility. Anti-hypertensive and antiglycemic agents were administered to those who experienced arterial blood pressure below 90 mm Hg (47.3%) or presented with a single measurement of fasting glucose below 50 mg/dL (10.7%), respectively. Statins were prescribed to 6.1% (12/196) of patients, and 75% of those prescriptions were regarded as futile.\n\nConclusion\nOur data suggest that effective prescription of essential medications and withdrawal from futile medications should be actively reconciled for improvement of a patient's end-of-life care.","DOI":"10.4143/crt.2013.45.3.220","ISSN":"1598-2998","note":"PMID: 24155681\nPMCID: PMC3804734","shortTitle":"Evaluation of Prescribing Medications for Terminal Cancer Patients near Death","journalAbbreviation":"Cancer Res Treat","author":[{"family":"Lee","given":"Hye Ran"},{"family":"Yi","given":"Seong Yoon"},{"family":"Kim","given":"Do Yeun"}],"issued":{"date-parts":[["2013",9]]}}},{"id":794,"uris":["http://zotero.org/users/2597747/items/5X4MX3IZ"],"uri":["http://zotero.org/users/2597747/items/5X4MX3IZ"],"itemData":{"id":794,"type":"article-journal","title":"Integrating Palliative Medicine into the Care of Persons with Advanced Dementia: Identifying Appropriate Medication Use","container-title":"Journal of the American Geriatrics Society","page":"1306-1311","volume":"56","issue":"7","source":"CrossRef","DOI":"10.1111/j.1532-5415.2008.01741.x","ISSN":"00028614, 15325415","shortTitle":"Integrating Palliative Medicine into the Care of Persons with Advanced Dementia","language":"en","author":[{"family":"Holmes","given":"Holly M."},{"family":"Sachs","given":"Greg A."},{"family":"Shega","given":"Joseph W."},{"family":"Hougham","given":"Gavin W."},{"family":"Cox Hayley","given":"Deon"},{"family":"Dale","given":"William"}],"issued":{"date-parts":[["2008",7]]}}},{"id":1080,"uris":["http://zotero.org/users/2597747/items/GEQ6SQPH"],"uri":["http://zotero.org/users/2597747/items/GEQ6SQPH"],"itemData":{"id":1080,"type":"article-journal","title":"The development and evaluation of an oncological palliative care deprescribing guideline: the ‘OncPal deprescribing guideline’","container-title":"Supportive Care in Cancer","page":"71-78","volume":"23","issue":"1","source":"link.springer.com.proxy.cc.uic.edu","abstract":"Purpose Current data suggests that potentially inappropriate medicines (PIMs) are common in palliative cancer patients; however, there is a lack of criteria to assist clinicians in identifying PIMs in these patients. The aims of this study were to design and validate a deprescribing guideline for palliative cancer patients and to undertake a descriptive analysis of the identified PIMs. Methods This prospective, non-interventional cohort study consisted of four major stages: developing an ‘OncPal Deprescribing Guideline’ from current evidence, the prospective recruitment of consecutive palliative cancer inpatients with an estimated &lt;6-month prognosis, the assessment of all medications to identify PIMs using both a panel of medical experts without access to the guideline as well as a Clinical Pharmacist independently using the OncPal Deprescribing Guideline and the evaluation of the guideline by testing concordance. Descriptive data on the incidence of PIMs identified were also assessed. Results A total of 61 patients were recruited. The OncPal Deprescribing Guideline matched 94 % of 617 medicines to the expert panel with a Kappa value of 0.83 [95 % CI (0.76, 0.89)] demonstrating an ‘outstanding’ concordance. Forty-three (70 %) patients were taking at least one PIM, with 21.4 % of the total medicines assessed identified as PIMs. The medication-associated cost per patient/month was AUD$26.71. Conclusion A guideline to assist in the de-escalation of inappropriate medications in palliative cancer patients was developed from current literature. The OncPal Deprescribing Guideline was successfully validated, demonstrating statistically significant concordance with an expert panel. We found that the incidence of PIMs was high in our patient group, demonstrating the potential benefits for the OncPal Deprescribing Guideline in clinical practice.","DOI":"10.1007/s00520-014-2322-0","ISSN":"0941-4355, 1433-7339","shortTitle":"The development and evaluation of an oncological palliative care deprescribing guideline","journalAbbreviation":"Support Care Cancer","language":"en","author":[{"family":"Lindsay","given":"Julian"},{"family":"Dooley","given":"Michael"},{"family":"Martin","given":"Jennifer"},{"family":"Fay","given":"Michael"},{"family":"Kearney","given":"Alison"},{"family":"Khatun","given":"Mohsina"},{"family":"Barras","given":"Michael"}],"issued":{"date-parts":[["2014",7,1]]}}},{"id":202,"uris":["http://zotero.org/users/2597747/items/Q54S7KKA"],"uri":["http://zotero.org/users/2597747/items/Q54S7KKA"],"itemData":{"id":202,"type":"article-journal","title":"Discontinuing Cardiovascular Medications at the End of Life: Lipid-Lowering Agents","container-title":"Journal of Palliative Medicine","page":"876-881","volume":"8","issue":"4","source":"online.liebertpub.com.proxy.cc.uic.edu (Atypon)","DOI":"10.1089/jpm.2005.8.876","ISSN":"1096-6218","shortTitle":"Discontinuing Cardiovascular Medications at the End of Life","journalAbbreviation":"Journal of Palliative Medicine","author":[{"family":"Vollrath","given":"Annette M."},{"family":"Sinclair","given":"Christian"},{"family":"Hallenbeck","given":"James"}],"issued":{"date-parts":[["2005",8,1]]}}},{"id":2291,"uris":["http://zotero.org/users/2597747/items/94XG3AWI"],"uri":["http://zotero.org/users/2597747/items/94XG3AWI"],"itemData":{"id":2291,"type":"article-journal","title":"Decision Making About Change of Medication for Comorbid Disease at the End of Life: An Integrative Review","container-title":"Drugs &amp; Aging","page":"501-512","volume":"31","issue":"7","source":"EBSCOhost","abstract":"The main goal of palliative care is to improve quality of life by treating symptoms in patients with life-threatening illnesses. Most patients suffer from more than five severe comorbidities in the last 6 months of life. However, for patients receiving palliative care, interventions to prevent possible long-term complications of these comorbidities are no longer the primary aim of care. This paper aimed to review the literature regarding decision making about medication for comorbid disease at the end of life, defined as a life expectancy &lt;3 months, and to formulate preliminary recommendations based on the existing literature. An integrative review approach was used. We searched the MEDLINE, EMBASE, and CINAHL databases. Papers were included if they had been published in the English language between 1 January 1995 and 31 December 2013, with an abstract. Additional studies were identified by searching bibliographies. Factors to consider when systematically reviewing medications are the goals of care, remaining life expectancy, treatment targets, time until benefit, number needed to treat, number needed to harm, and adverse drug reactions. Existing research focuses particularly on the use of certain drug classes during end-of-life care, including statins, antihypertensive agents, anticoagulants, antihyperglycaemic agents and antibiotics. Based on the results of this review, we made preliminary recommendations for these medication groups. Medication that does not benefit the patient in any way should be avoided. The aim of medication at the end of life should be symptom control. There is a need for prospective trials to give further insight into the decision-making process of medication management at the end of life.","DOI":"10.1007/s40266-014-0182-4","ISSN":"1170-229X","shortTitle":"Decision Making About Change of Medication for Comorbid Disease at the End of Life","journalAbbreviation":"Drugs &amp; Aging","author":[{"family":"Nordennen","given":"Ronald"},{"family":"Lavrijsen","given":"Jan"},{"family":"Vissers","given":"Kris"},{"family":"Koopmans","given":"Raymond"}],"issued":{"date-parts":[["2014",7]]}}},{"id":1066,"uris":["http://zotero.org/users/2597747/items/DNZXTUUJ"],"uri":["http://zotero.org/users/2597747/items/DNZXTUUJ"],"itemData":{"id":1066,"type":"article-journal","title":"Withholding, Discontinuing and Withdrawing Medications in Dementia Patients at the End of Life: A Neglected Problem in the Disadvantaged Dying?","container-title":"Drugs &amp; Aging","page":"435-449","volume":"27","issue":"6","source":"EBSCOhost","abstract":"Recent years have seen a growing recognition that dementia is a terminal illness and that patients with advanced dementia nearing the end of life do not currently receive adequate palliative care. However, research into palliative care for these patients has thus far been limited. Furthermore, there has been little discussion in the literature regarding medication use in patients with advanced dementia who are nearing the end of life, and discontinuation of medication has not been well studied despite its potential to reduce the burden on the patient and to improve quality of life. There is limited, and sometimes contradictory, evidence available in the literature to guide evidence-based discontinuation of drugs such as acetylcholinesterase inhibitors, antipsychotic agents, HMG-CoA reductase inhibitors (statins), anti-bacterials, antihypertensives, antihyperglycaemic drugs and anticoagulants. Furthermore, end-of-life care of patients with advanced dementia may be complicated by difficulties in accurately estimating life expectancy, ethical considerations regarding withholding or withdrawing treatment, and the wishes of the patient and/or their family. Significant research must be undertaken in the area of medication discontinuation in patients with advanced dementia nearing the end of life to determine how physicians currently decide whether medications should be discontinued, and also to develop the evidence base and provide guidance on systematic medication discontinuation.","ISSN":"1170229X","shortTitle":"Withholding, Discontinuing and Withdrawing Medications in Dementia Patients at the End of Life","journalAbbreviation":"Drugs &amp; Aging","author":[{"family":"Parsons","given":"Carole"},{"family":"Hughes","given":"Carmel M."},{"family":"Passmore","given":"A. Peter"},{"family":"Lapane","given":"Kate L."}],"issued":{"date-parts":[["2010",6]]}}},{"id":841,"uris":["http://zotero.org/users/2597747/items/JQTNZ25D"],"uri":["http://zotero.org/users/2597747/items/JQTNZ25D"],"itemData":{"id":841,"type":"article-journal","title":"Cholinesterase Inhibitor and N-Methyl-D-Aspartic Acid Receptor Antagonist Use in Older Adults with End-Stage Dementia: A Survey of Hospice Medical Directors","container-title":"Journal of Palliative Medicine","page":"779-783","volume":"12","issue":"9","source":"PubMed Central","abstract":"Background\nCholinesterase inhibitors and N-methyl-D-aspartic acid (NMDA) receptor antagonists are Food and Drug Administration (FDA) approved for the treatment of moderate to severe Alzheimer's disease. As dementia progresses to the end stage and patients become hospice-eligible, clinicians consider whether or not to continue these therapies without the benefit of scientific evidence. We sought to describe hospice medical directors practice patterns and experiences in the use and discontinuation of cholinesterase inhibitors and NMDA receptor antagonists in hospice patients that meet the Medicare hospice criteria for dementia.\n\nStudy Design\nMail survey of hospice medical directors from a random sample from the National Hospice and Palliative Care Organization.\n\nResults\nOf the 413 eligible participants, 152 completed surveys were returned, yielding a response rate of 37%. Of the respondents, 75% and 33% reported that at least 20% of their patients were taking a cholinesterase inhibitor or memantine, respectively, at the time of hospice admission. The majority of respondents do not consider these therapies effective in persons with end-stage dementia, however, a subset believe that these medications improved patient outcomes including stabilization of cognition (22%), decrease in challenging behaviors (28%), and maintenance of patient function (22%) as well as caregiver outcomes namely reduced caregiver burden (20%) and improved caregiver quality of life (20%). While 80% of respondents recommended discontinuing these therapies to families at the time of hospice enrollment, 72% of respondents reported that families experienced difficulty stopping these therapies. A subset of respondents observed accelerated cognitive (30%) and functional decline (26%) or emergence of challenging behaviors (32%) with medication discontinuation.\n\nConclusions\nThe findings from this survey indicate that cholinesterase inhibitors and/or NMDA receptor antagonists are prescribed for a subset of patients with advanced dementia and that a proportion of hospice medical directors report clinical benefit from the ongoing use of these agents. In addition, physician preferences for discontinuing these therapies are frequently at odds with the wishes of family members. Prospective studies are needed to evaluate the clinical impact of the discontinuation of these therapies on patient and caregiver outcomes.","DOI":"10.1089/jpm.2009.0059","ISSN":"1096-6218","note":"PMID: 19622011\nPMCID: PMC2988459","shortTitle":"Cholinesterase Inhibitor and N-Methyl-D-Aspartic Acid Receptor Antagonist Use in Older Adults with End-Stage Dementia","journalAbbreviation":"J Palliat Med","author":[{"family":"Shega","given":"Joseph W."},{"family":"Ellner","given":"Lynn"},{"family":"Lau","given":"Denys T."},{"family":"Maxwell","given":"Terri L."}],"issued":{"date-parts":[["2009",9]]}}},{"id":1136,"uris":["http://zotero.org/users/2597747/items/XJSFCK97"],"uri":["http://zotero.org/users/2597747/items/XJSFCK97"],"itemData":{"id":1136,"type":"article-journal","title":"Variation in medication use in cancer patients at the end of life: a cross-sectional analysis","container-title":"Supportive Care in Cancer","page":"1003-1011","volume":"21","issue":"4","source":"PubMed","abstract":"PURPOSE: Despite advances in cancer treatment, patients still die with unnecessary suffering. Therefore, high-quality end-of-life care is needed. Variations in medication use at the end of life may suggest areas for improvement. This study aims to describe the use of medications during the last days of life of cancer patients and to explore the possibility of using it as a quality measure.\nMETHODS: We conducted an international survey on experts' opinions regarding potentially inappropriate medications for dying patients. Subsequently, a chart review of deceased cancer patients was conducted, which assessed the current medication use in different settings.\nRESULTS: The mean number of medications used in the last 3 days of life was 4.8 (SD 2.1). Hospital patients were less likely than hospice patients to receive opioids, midazolam, haloperidol, and drugs for pulmonary secretions or nausea/vomiting. Over 90 % of experts rated 12 medications as unlikely to be appropriate. Hospital patients were more likely than hospice patients to receive these potentially inappropriate medications. Before the implementation of an end-of-life care pathway, hospital patients had a higher probability, than after, to receive potentially inappropriate medication. Moreover, after implementation of such pathway, patients for whom a pathway was not used were more likely to receive potentially inappropriate medications than patients for whom it was used.\nCONCLUSION: Medication use at the end of life varies widely by setting, both for potentially appropriate and inappropriate medications. Combining experts' opinion and current medication use resulted in the identification of 16 medications that might be used to assess the quality of cancer care at the end of life.","DOI":"10.1007/s00520-012-1619-0","ISSN":"1433-7339","note":"PMID: 23064901","shortTitle":"Variation in medication use in cancer patients at the end of life","journalAbbreviation":"Support Care Cancer","language":"eng","author":[{"family":"Raijmakers","given":"N. J. H."},{"family":"Zuylen","given":"L.","non-dropping-particle":"van"},{"family":"Furst","given":"C. J."},{"family":"Beccaro","given":"M."},{"family":"Maiorana","given":"L."},{"family":"Pilastri","given":"P."},{"family":"Rossi","given":"C."},{"family":"Flego","given":"G."},{"family":"Heide","given":"A.","non-dropping-particle":"van der"},{"family":"Costantini","given":"M."}],"issued":{"date-parts":[["2013",4]]}}},{"id":516,"uris":["http://zotero.org/users/2597747/items/BWX6NFA2"],"uri":["http://zotero.org/users/2597747/items/BWX6NFA2"],"itemData":{"id":516,"type":"article-journal","title":"Inappropriate prescribing in patients accessing specialist palliative day care services","container-title":"International Journal of Clinical Pharmacy","page":"535-543","volume":"36","issue":"3","source":"link.springer.com.proxy.cc.uic.edu","abstract":"Background For patients accessing specialist palliative care day services, medication is prescribed routinely to manage acute symptoms, treat long-term conditions or prevent adverse events associated with these conditions. As such, the pharmacotherapeutic burden for these patients is high and polypharmacy is common. Consequently, the risk of these patients developing drug-related toxicities through drug–drug interactions is exacerbated. Medication use in this group should, therefore, be evaluated regularly to align with achievable therapeutic outcomes considering remaining life expectancy. Objective To (1) assess the prevalence of inappropriate medication use; (2) identify potential drug–drug interactions; and, (3) determine how many potential drug–drug interactions could be prevented by discontinuing inappropriate medication. Setting A specialist tertiary care palliative care centre in Northern England serving a population of 330,000. Main outcome measure Prescribing of inappropriate medication. Method Medication histories for patients accessing a specialist palliative day care centre were established and a modified Delphi method was used to reach consensus of medication appropriateness. The Delphi method utilized a framework considering the following factors: remaining life expectancy of the patient, time until benefit of the treatment, goals of care and treatment targets. Potential drug interactions were established using drug interaction recognition software and categorised by their ability to cause harm. Results A total number of 132 patients were assessed during the study period who were prescribed 1,532 (mean = 12/patient) medications; 238 (16 %) were considered inappropriate in the context of limited life expectancy. The most common class of medications considered inappropriate were the statins, observed in 35 (27 %) patients. A total of 267 potential drug–drug interactions were identified; 112 were clinically significant and 155 were not considered clinically significant. Discontinuation of inappropriate medication would reduce the total number of medications taken to 1,294 (mean = 10/patient) and prevent 31 clinically significant potential drug–drug interactions. Conclusion Patients accessing specialist palliative day care services take many inappropriate medications. These medications not only increase the pharmacotherapeutic burden for the patient but they also contribute to potential drug–drug interactions. These patients should have their medication reviewed in the context of life limiting illness aligned with achievable therapeutic outcomes.","DOI":"10.1007/s11096-014-9932-y","ISSN":"2210-7703, 2210-7711","journalAbbreviation":"Int J Clin Pharm","language":"en","author":[{"family":"Todd","given":"A."},{"family":"Nazar","given":"H."},{"family":"Pearson","given":"S."},{"family":"Andrew","given":"I."},{"family":"Baker","given":"L."},{"family":"Husband","given":"A."}],"issued":{"date-parts":[["2014",3,22]]}}}],"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52,56–66</w:t>
      </w:r>
      <w:r w:rsidRPr="00725D15">
        <w:rPr>
          <w:rFonts w:cs="Arial"/>
          <w:szCs w:val="22"/>
        </w:rPr>
        <w:fldChar w:fldCharType="end"/>
      </w:r>
      <w:r w:rsidRPr="00725D15">
        <w:rPr>
          <w:rFonts w:cs="Arial"/>
          <w:szCs w:val="22"/>
        </w:rPr>
        <w:t xml:space="preserve"> Medications from most of these therapeutic classes can be stopped immediately without the concern of inducing adverse events due to drug withdrawal; however, some antihypertensives may need to be reduced gradually to prevent rebound hypertension and tachycardia.</w:t>
      </w:r>
      <w:r w:rsidRPr="00725D15">
        <w:rPr>
          <w:rFonts w:cs="Arial"/>
          <w:szCs w:val="22"/>
        </w:rPr>
        <w:fldChar w:fldCharType="begin"/>
      </w:r>
      <w:r w:rsidR="00434675">
        <w:rPr>
          <w:rFonts w:cs="Arial"/>
          <w:szCs w:val="22"/>
        </w:rPr>
        <w:instrText xml:space="preserve"> ADDIN ZOTERO_ITEM CSL_CITATION {"citationID":"2hq0qlu3vm","properties":{"formattedCitation":"\\super 63\\nosupersub{}","plainCitation":"63","noteIndex":0},"citationItems":[{"id":2291,"uris":["http://zotero.org/users/2597747/items/94XG3AWI"],"uri":["http://zotero.org/users/2597747/items/94XG3AWI"],"itemData":{"id":2291,"type":"article-journal","title":"Decision Making About Change of Medication for Comorbid Disease at the End of Life: An Integrative Review","container-title":"Drugs &amp; Aging","page":"501-512","volume":"31","issue":"7","source":"EBSCOhost","abstract":"The main goal of palliative care is to improve quality of life by treating symptoms in patients with life-threatening illnesses. Most patients suffer from more than five severe comorbidities in the last 6 months of life. However, for patients receiving palliative care, interventions to prevent possible long-term complications of these comorbidities are no longer the primary aim of care. This paper aimed to review the literature regarding decision making about medication for comorbid disease at the end of life, defined as a life expectancy &lt;3 months, and to formulate preliminary recommendations based on the existing literature. An integrative review approach was used. We searched the MEDLINE, EMBASE, and CINAHL databases. Papers were included if they had been published in the English language between 1 January 1995 and 31 December 2013, with an abstract. Additional studies were identified by searching bibliographies. Factors to consider when systematically reviewing medications are the goals of care, remaining life expectancy, treatment targets, time until benefit, number needed to treat, number needed to harm, and adverse drug reactions. Existing research focuses particularly on the use of certain drug classes during end-of-life care, including statins, antihypertensive agents, anticoagulants, antihyperglycaemic agents and antibiotics. Based on the results of this review, we made preliminary recommendations for these medication groups. Medication that does not benefit the patient in any way should be avoided. The aim of medication at the end of life should be symptom control. There is a need for prospective trials to give further insight into the decision-making process of medication management at the end of life.","DOI":"10.1007/s40266-014-0182-4","ISSN":"1170-229X","shortTitle":"Decision Making About Change of Medication for Comorbid Disease at the End of Life","journalAbbreviation":"Drugs &amp; Aging","author":[{"family":"Nordennen","given":"Ronald"},{"family":"Lavrijsen","given":"Jan"},{"family":"Vissers","given":"Kris"},{"family":"Koopmans","given":"Raymond"}],"issued":{"date-parts":[["2014",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63</w:t>
      </w:r>
      <w:r w:rsidRPr="00725D15">
        <w:rPr>
          <w:rFonts w:cs="Arial"/>
          <w:szCs w:val="22"/>
        </w:rPr>
        <w:fldChar w:fldCharType="end"/>
      </w:r>
    </w:p>
    <w:p w14:paraId="0CE22FF0" w14:textId="762E2D44" w:rsidR="002C0F95" w:rsidRDefault="001444C9" w:rsidP="0008691F">
      <w:pPr>
        <w:ind w:firstLine="720"/>
        <w:rPr>
          <w:rFonts w:cs="Arial"/>
          <w:szCs w:val="22"/>
        </w:rPr>
      </w:pPr>
      <w:r w:rsidRPr="00725D15">
        <w:rPr>
          <w:rFonts w:cs="Arial"/>
          <w:szCs w:val="22"/>
        </w:rPr>
        <w:t xml:space="preserve">Clearly, the need to reduce medication burden and limit non-essential medication use in the EOL patient population is recognized. However, there continues to be a high prevalence of polypharmacy in these patients and research has suggested that a significant proportion of patients continue to take </w:t>
      </w:r>
      <w:r w:rsidR="003C667C">
        <w:rPr>
          <w:rFonts w:cs="Arial"/>
          <w:szCs w:val="22"/>
        </w:rPr>
        <w:t xml:space="preserve">limited benefit </w:t>
      </w:r>
      <w:r w:rsidRPr="00725D15">
        <w:rPr>
          <w:rFonts w:cs="Arial"/>
          <w:szCs w:val="22"/>
        </w:rPr>
        <w:t>medications</w:t>
      </w:r>
      <w:r w:rsidR="00391890">
        <w:rPr>
          <w:rFonts w:cs="Arial"/>
          <w:szCs w:val="22"/>
        </w:rPr>
        <w:t xml:space="preserve"> LBMs</w:t>
      </w:r>
      <w:r w:rsidRPr="00725D15">
        <w:rPr>
          <w:rFonts w:cs="Arial"/>
          <w:szCs w:val="22"/>
        </w:rPr>
        <w:t xml:space="preserve"> at the EOL. In one study of 4,602 community-dwelling elderly adults in the US, 44% were found to take at least one </w:t>
      </w:r>
      <w:r w:rsidR="003C667C">
        <w:rPr>
          <w:rFonts w:cs="Arial"/>
          <w:szCs w:val="22"/>
        </w:rPr>
        <w:t>inappropriate medication</w:t>
      </w:r>
      <w:r w:rsidRPr="00725D15">
        <w:rPr>
          <w:rFonts w:cs="Arial"/>
          <w:szCs w:val="22"/>
        </w:rPr>
        <w:t xml:space="preserve"> in the last year of life based on Beers Criteria.</w:t>
      </w:r>
      <w:r w:rsidRPr="00725D15">
        <w:rPr>
          <w:rFonts w:cs="Arial"/>
          <w:szCs w:val="22"/>
        </w:rPr>
        <w:fldChar w:fldCharType="begin"/>
      </w:r>
      <w:r w:rsidR="00434675">
        <w:rPr>
          <w:rFonts w:cs="Arial"/>
          <w:szCs w:val="22"/>
        </w:rPr>
        <w:instrText xml:space="preserve"> ADDIN ZOTERO_ITEM CSL_CITATION {"citationID":"1uls8bfgs","properties":{"formattedCitation":"\\super 67\\nosupersub{}","plainCitation":"67","noteIndex":0},"citationItems":[{"id":2347,"uris":["http://zotero.org/users/2597747/items/TBWRQAM7"],"uri":["http://zotero.org/users/2597747/items/TBWRQAM7"],"itemData":{"id":2347,"type":"article-journal","title":"Potentially inappropriate medication use by Medicaid+Choice beneficiaries in the last year of life","container-title":"Journal of Palliative Medicine","page":"686-695","volume":"10","issue":"3","source":"PubMed","abstract":"BACKGROUND: Regardless of the payer and the period studied the prevalence of potentially inappropriate medication use in the elderly ranged from 21% to 40%.\nOBJECTIVE: To look at potentially inappropriate prescribing in a group of Medicare+Choice beneficiaries in their last year of life (LYOL) in a large national managed care organization.\nRESEARCH DESIGN: Retrospective review of Medicare+Choice decedents' drug claims and enrollment data collected between January 1998 and December 2000, supplemented by the Medicare denominator file and 1990 Census data.\nSUBJECTS: Four thousand six hundred two beneficiaries in a large national managed care organization.\nMEASURES: We analyzed the relationship between disagreement with the Beers' criteria and sociodemographic descriptors, insurance characteristics, and cause of death. We used logistic regression techniques to estimate factors associated with the disagreement.\nRESULTS: Two thousand thirty-one beneficiaries (44%) had at least one claim in the LYOL that disagreed with a Beers' criterion, 15% experienced more than one unique Beers' disagreement. The most common disagreements were for the use of propoxyphene (15.0%), followed by zolpidem (3.8%), and amitriptyline (2.8%). Based on total claims, cancer patients were most likely to receive propoxyphene (35.3%) followed by patients with a heart condition (29.6%). A large proportion of the potentially inappropriate prescribing involves psychoactive drugs. The logistic model showed fewer Beers' criteria breaches associated with being male and being non-white. Beers' breaches were more common if the beneficiary has increasing prescription use or died from cancer.\nCONCLUSION: This study showed that many beneficiaries have prescriptions that contravene the Beers' criteria.","DOI":"10.1089/jpm.2006.0215","ISSN":"1096-6218","note":"PMID: 17592980","journalAbbreviation":"J Palliat Med","language":"eng","author":[{"family":"Fahlman","given":"Cheryl"},{"family":"Lynn","given":"Joanne"},{"family":"Finch","given":"Mike"},{"family":"Doberman","given":"Danielle"},{"family":"Gabel","given":"Jon"}],"issued":{"date-parts":[["2007",6]]}}}],"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67</w:t>
      </w:r>
      <w:r w:rsidRPr="00725D15">
        <w:rPr>
          <w:rFonts w:cs="Arial"/>
          <w:szCs w:val="22"/>
        </w:rPr>
        <w:fldChar w:fldCharType="end"/>
      </w:r>
      <w:r w:rsidRPr="00725D15">
        <w:rPr>
          <w:rFonts w:cs="Arial"/>
          <w:szCs w:val="22"/>
        </w:rPr>
        <w:t xml:space="preserve"> A study of 106 patients admitted to a single inpatient palliative care unit in England reported that 25% of patients were taking at least one unnecessary medication on admission.</w:t>
      </w:r>
      <w:r w:rsidRPr="00725D15">
        <w:rPr>
          <w:rFonts w:cs="Arial"/>
          <w:szCs w:val="22"/>
        </w:rPr>
        <w:fldChar w:fldCharType="begin"/>
      </w:r>
      <w:r w:rsidR="00434675">
        <w:rPr>
          <w:rFonts w:cs="Arial"/>
          <w:szCs w:val="22"/>
        </w:rPr>
        <w:instrText xml:space="preserve"> ADDIN ZOTERO_ITEM CSL_CITATION {"citationID":"mirvej5p5","properties":{"formattedCitation":"\\super 68\\nosupersub{}","plainCitation":"68","noteIndex":0},"citationItems":[{"id":2348,"uris":["http://zotero.org/users/2597747/items/TR5NJCNF"],"uri":["http://zotero.org/users/2597747/items/TR5NJCNF"],"itemData":{"id":2348,"type":"article-journal","title":"Futile and inappropriate prescribing: an assessment of the issue in a series of patients admitted to a specialist palliative care unit","container-title":"International Journal of Pharmacy Practice","page":"72-72","volume":"9","issue":"S1","source":"Wiley Online Library","abstract":"□ Palliative care patients are often subjected to polypharmacy, some of which is futile or inappropriate □ Rationalisation of medication does not occur due to patients being seen by several specialists and prescribers fearing the reaction of a patient whose drug rationalisation may remind the patient of his/her own mortality □ Patients raised no objections to having medication withdrawn after the reasons why had been carefully communicated to them □ Health care professionals need to do regular medication review as part of their role to achieve favourable outcomes for patients","DOI":"10.1111/j.2042-7174.2001.tb01132.x","ISSN":"2042-7174","shortTitle":"Futile and inappropriate prescribing","language":"en","author":[{"family":"Nicholson","given":"A."},{"family":"Andrew","given":"I."},{"family":"Etherington","given":"R."},{"family":"Gamlin","given":"R."},{"family":"Lovel","given":"T."},{"family":"Lloyd","given":"J."}],"issued":{"date-parts":[["2001",9,1]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68</w:t>
      </w:r>
      <w:r w:rsidRPr="00725D15">
        <w:rPr>
          <w:rFonts w:cs="Arial"/>
          <w:szCs w:val="22"/>
        </w:rPr>
        <w:fldChar w:fldCharType="end"/>
      </w:r>
      <w:r w:rsidRPr="00725D15">
        <w:rPr>
          <w:rFonts w:cs="Arial"/>
          <w:szCs w:val="22"/>
        </w:rPr>
        <w:t xml:space="preserve"> In ambulatory patients with advanced cancer, 24% have been reported to be taking at least one unnecessary medication, primarily those for the prevention of long-term consequences of chronic conditions.</w:t>
      </w:r>
      <w:r w:rsidRPr="00725D15">
        <w:rPr>
          <w:rFonts w:cs="Arial"/>
          <w:szCs w:val="22"/>
        </w:rPr>
        <w:fldChar w:fldCharType="begin"/>
      </w:r>
      <w:r w:rsidR="00434675">
        <w:rPr>
          <w:rFonts w:cs="Arial"/>
          <w:szCs w:val="22"/>
        </w:rPr>
        <w:instrText xml:space="preserve"> ADDIN ZOTERO_ITEM CSL_CITATION {"citationID":"1f2kh1olob","properties":{"formattedCitation":"\\super 56\\nosupersub{}","plainCitation":"56","noteIndex":0},"citationItems":[{"id":947,"uris":["http://zotero.org/users/2597747/items/WEERGWMN"],"uri":["http://zotero.org/users/2597747/items/WEERGWMN"],"itemData":{"id":947,"type":"article-journal","title":"Use of unnecessary medications by patients with advanced cancer: cross-sectional survey","container-title":"Supportive Care in Cancer","page":"1313-1318","volume":"19","issue":"9","source":"link.springer.com.proxy.cc.uic.edu","abstract":"Background Cancer patients at the end of life take numerous medications. However, it has not been assessed what proportion of patients take unnecessary medications and which patients are at risk for doing so. Methods Cross-sectional survey of medications utilized by terminally ill ambulatory cancer patients, with the aim of identifying medications considered unnecessary as per explicit criteria. The criteria took into account whether drugs could benefit patients with terminal cancer. Results Among 87 patients, 21 (24%, 95% confidence interval [CI] 15.6–34.5%) were taking at least one unnecessary medication, the most common being gastric protectors. In multivariable analyses, patients with Charlson Comobidity Index ≤ 1 (OR: 4.49, CI95% 1.32–15.26; p = 0.01) or whose medication list had not been reconciled by physicians (OR: 6.38, CI95% 1.21–33.40; p = 0.02) were more likely to use an unnecessary medication. Conclusion Patients with advanced cancer take many medications considered unnecessary. Medication reconciliation should be performed routinely for these patients.","DOI":"10.1007/s00520-010-0947-1","ISSN":"0941-4355, 1433-7339","shortTitle":"Use of unnecessary medications by patients with advanced cancer","journalAbbreviation":"Support Care Cancer","language":"en","author":[{"family":"Fede","given":"Angelo"},{"family":"Miranda","given":"Michele"},{"family":"Antonangelo","given":"Daniella"},{"family":"Trevizan","given":"Ligia"},{"family":"Schaffhausser","given":"Henrique"},{"family":"Hamermesz","given":"Bruno"},{"family":"Zimmermann","given":"Camile"},{"family":"Giglio","given":"Auro Del"},{"family":"Riechelmann","given":"Rachel P."}],"issued":{"date-parts":[["2010",7,21]]}}}],"schema":"https://github.com/citation-style-language/schema/raw/master/csl-citation.json"}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56</w:t>
      </w:r>
      <w:r w:rsidRPr="00725D15">
        <w:rPr>
          <w:rFonts w:cs="Arial"/>
          <w:szCs w:val="22"/>
        </w:rPr>
        <w:fldChar w:fldCharType="end"/>
      </w:r>
      <w:r w:rsidR="00D44C3D">
        <w:rPr>
          <w:rFonts w:cs="Arial"/>
          <w:szCs w:val="22"/>
        </w:rPr>
        <w:t xml:space="preserve">  Silveira et al. </w:t>
      </w:r>
      <w:r w:rsidRPr="00725D15">
        <w:rPr>
          <w:rFonts w:cs="Arial"/>
          <w:szCs w:val="22"/>
        </w:rPr>
        <w:t xml:space="preserve">reported that of 337 Veterans Health Administration patients receiving statins at </w:t>
      </w:r>
      <w:r w:rsidR="006619A4">
        <w:rPr>
          <w:rFonts w:cs="Arial"/>
          <w:szCs w:val="22"/>
        </w:rPr>
        <w:t>six</w:t>
      </w:r>
      <w:r w:rsidRPr="00725D15">
        <w:rPr>
          <w:rFonts w:cs="Arial"/>
          <w:szCs w:val="22"/>
        </w:rPr>
        <w:t xml:space="preserve"> months prior to death, 51% still had an active statin prescription </w:t>
      </w:r>
      <w:r w:rsidR="006619A4">
        <w:rPr>
          <w:rFonts w:cs="Arial"/>
          <w:szCs w:val="22"/>
        </w:rPr>
        <w:t>at</w:t>
      </w:r>
      <w:r w:rsidRPr="00725D15">
        <w:rPr>
          <w:rFonts w:cs="Arial"/>
          <w:szCs w:val="22"/>
        </w:rPr>
        <w:t xml:space="preserve"> death.</w:t>
      </w:r>
      <w:r w:rsidRPr="00725D15">
        <w:rPr>
          <w:rFonts w:cs="Arial"/>
          <w:szCs w:val="22"/>
        </w:rPr>
        <w:fldChar w:fldCharType="begin"/>
      </w:r>
      <w:r w:rsidR="00434675">
        <w:rPr>
          <w:rFonts w:cs="Arial"/>
          <w:szCs w:val="22"/>
        </w:rPr>
        <w:instrText xml:space="preserve"> ADDIN ZOTERO_ITEM CSL_CITATION {"citationID":"1if7sr8lt1","properties":{"formattedCitation":"\\super 69\\nosupersub{}","plainCitation":"69","noteIndex":0},"citationItems":[{"id":263,"uris":["http://zotero.org/users/2597747/items/ZT65RENI"],"uri":["http://zotero.org/users/2597747/items/ZT65RENI"],"itemData":{"id":263,"type":"article-journal","title":"Statins in the Last Six Months of Life: A Recognizable, Life-Limiting Condition Does Not Decrease their Use","container-title":"Journal of Palliative Medicine","page":"685-693","volume":"11","issue":"5","source":"online.liebertpub.com.proxy.cc.uic.edu (Atypon)","abstract":"Background: Some have advocated discontinuing statins in patients with life-limiting conditions. However, the extent of statin use at the end of life has yet to be described and whether statin prescribing may already be influenced by the presence of a recognizable, life-limiting condition is unknown. Objective: To measure the prevalence of statin use during the last 6 months of life and determine if statin prescribing varies according to the presence of a recognizable, life-limiting condition. Design: Matched, case-control trial nested within a retrospective, cohort study. Setting/subjects: From 3031 VISN 11 patients who died in FY2004, we identified 1584 (52%) receiving statins at least 6 months before death. Of those, we identified 337 cases with a recognizable, life-limiting condition and 1247 controls matched on number of comorbidities, age, and socioeconomic status. Analyses: We used survival analysis to test the relationship between days without statins and the presence of a life limiting condition, while controlling for pills supplied and comorbidity score. Results: There was no significant difference in the time off statins between cases and controls even though the study was sufficiently powered to detect one. Conclusions: These findings underscore a missed opportunity to reduce the therapeutic burden upon dying patients and limit health care spending.","DOI":"10.1089/jpm.2007.0215","ISSN":"1096-6218","shortTitle":"Statins in the Last Six Months of Life","journalAbbreviation":"Journal of Palliative Medicine","author":[{"family":"Silveira","given":"Maria J."},{"family":"Kazanis","given":"Anamaria Segnini"},{"family":"Shevrin","given":"Matthew P."}],"issued":{"date-parts":[["2008",6,1]]}}}],"schema":"https://github.com/citation-style-language/schema/raw/master/csl-citation.json"}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69</w:t>
      </w:r>
      <w:r w:rsidRPr="00725D15">
        <w:rPr>
          <w:rFonts w:cs="Arial"/>
          <w:szCs w:val="22"/>
        </w:rPr>
        <w:fldChar w:fldCharType="end"/>
      </w:r>
      <w:r w:rsidRPr="00725D15">
        <w:rPr>
          <w:rFonts w:cs="Arial"/>
          <w:szCs w:val="22"/>
        </w:rPr>
        <w:t xml:space="preserve"> In nursing home residents with advanced dementia, the percentage of patients t</w:t>
      </w:r>
      <w:r w:rsidR="0008691F">
        <w:rPr>
          <w:rFonts w:cs="Arial"/>
          <w:szCs w:val="22"/>
        </w:rPr>
        <w:t xml:space="preserve">aking hypoglycemic medications, </w:t>
      </w:r>
    </w:p>
    <w:p w14:paraId="0207E346" w14:textId="77777777" w:rsidR="002C0F95" w:rsidRDefault="002C0F95" w:rsidP="002C0F95">
      <w:pPr>
        <w:rPr>
          <w:rFonts w:cs="Arial"/>
          <w:szCs w:val="22"/>
        </w:rPr>
      </w:pPr>
    </w:p>
    <w:p w14:paraId="63685A8B" w14:textId="2492EEAB" w:rsidR="001444C9" w:rsidRPr="00725D15" w:rsidRDefault="001444C9" w:rsidP="002C0F95">
      <w:pPr>
        <w:rPr>
          <w:rFonts w:cs="Arial"/>
          <w:szCs w:val="22"/>
        </w:rPr>
      </w:pPr>
      <w:r w:rsidRPr="00725D15">
        <w:rPr>
          <w:rFonts w:cs="Arial"/>
          <w:szCs w:val="22"/>
        </w:rPr>
        <w:lastRenderedPageBreak/>
        <w:t>cardiovascular agents, antiplatelet</w:t>
      </w:r>
      <w:r w:rsidR="006619A4">
        <w:rPr>
          <w:rFonts w:cs="Arial"/>
          <w:szCs w:val="22"/>
        </w:rPr>
        <w:t>s</w:t>
      </w:r>
      <w:r w:rsidRPr="00725D15">
        <w:rPr>
          <w:rFonts w:cs="Arial"/>
          <w:szCs w:val="22"/>
        </w:rPr>
        <w:t>/anticoagulant</w:t>
      </w:r>
      <w:r w:rsidR="006619A4">
        <w:rPr>
          <w:rFonts w:cs="Arial"/>
          <w:szCs w:val="22"/>
        </w:rPr>
        <w:t xml:space="preserve">s </w:t>
      </w:r>
      <w:r w:rsidRPr="00725D15">
        <w:rPr>
          <w:rFonts w:cs="Arial"/>
          <w:szCs w:val="22"/>
        </w:rPr>
        <w:t xml:space="preserve">and </w:t>
      </w:r>
      <w:r w:rsidR="006619A4">
        <w:rPr>
          <w:rFonts w:cs="Arial"/>
          <w:szCs w:val="22"/>
        </w:rPr>
        <w:t>lipid-</w:t>
      </w:r>
      <w:r w:rsidRPr="00725D15">
        <w:rPr>
          <w:rFonts w:cs="Arial"/>
          <w:szCs w:val="22"/>
        </w:rPr>
        <w:t xml:space="preserve">lowering agents in the last week of </w:t>
      </w:r>
      <w:r w:rsidR="00AA01B1" w:rsidRPr="00725D15">
        <w:rPr>
          <w:rFonts w:cs="Arial"/>
          <w:szCs w:val="22"/>
        </w:rPr>
        <w:t xml:space="preserve">life was estimated to be 7.3%, </w:t>
      </w:r>
      <w:r w:rsidRPr="00725D15">
        <w:rPr>
          <w:rFonts w:cs="Arial"/>
          <w:szCs w:val="22"/>
        </w:rPr>
        <w:t xml:space="preserve">43.9%, 30.5% and </w:t>
      </w:r>
      <w:r w:rsidR="006619A4">
        <w:rPr>
          <w:rFonts w:cs="Arial"/>
          <w:szCs w:val="22"/>
        </w:rPr>
        <w:t>7.9%, respectively.</w:t>
      </w:r>
      <w:r w:rsidRPr="00725D15">
        <w:rPr>
          <w:rFonts w:cs="Arial"/>
          <w:szCs w:val="22"/>
        </w:rPr>
        <w:fldChar w:fldCharType="begin"/>
      </w:r>
      <w:r w:rsidR="00434675">
        <w:rPr>
          <w:rFonts w:cs="Arial"/>
          <w:szCs w:val="22"/>
        </w:rPr>
        <w:instrText xml:space="preserve"> ADDIN ZOTERO_ITEM CSL_CITATION {"citationID":"25thq27tc5","properties":{"formattedCitation":"\\super 70\\nosupersub{}","plainCitation":"70","noteIndex":0},"citationItems":[{"id":214,"uris":["http://zotero.org/users/2597747/items/7K7ZIDBR"],"uri":["http://zotero.org/users/2597747/items/7K7ZIDBR"],"itemData":{"id":214,"type":"article-journal","title":"Daily Medication Use in Nursing Home Residents with Advanced Dementia","container-title":"Journal of the American Geriatrics Society","page":"880-888","volume":"58","issue":"5","source":"PubMed Central","abstract":"Objectives\nMany medications commonly used to treat chronic conditions have unclear benefits for nursing home (NH) residents with advanced dementia. This study describes the pattern and factors associated with daily medication use in this population.\n\nDesign, Setting, Participants\nResidents with advanced dementia (N=323) from 22 Boston-area NHs were followed prospectively for 18 months.\n\nMeasurements\nData from residents’ records were used to determine the number or daily medications, specific drugs prescribed, and use of drugs deemed ‘never appropriate’ in advanced dementia. Resident characteristics associated with the use of more daily medications and drugs deemed inappropriate were examined.\n\nResults\nResidents were prescribed a mean of 5.9 ± 3.0 daily medications, and 37.5% received at least one medication considered ‘never appropriate’ in advanced dementia. Acetylcholinesterase inhibitors (15.8%) and lipid-lowering agents (12.1%) were the most common inappropriate drugs. Twenty-eight percent of residents took antipsychotics daily. Modest reductions of most daily medications only occurred during the last week of life. Factors independently associated with taking more daily medications included older age, male, non-white, dementia not due Alzheimer’s, better cognition, cardiovascular disease, acute illness, and hospice referral. Factors independently associated with greater likelihood of taking inappropriate medications included male, shorter NH stay, better functional status, and diabetes, while a do-not-hospitalize order was associated with a lower likelihood.\n\nConclusion\nQuestionably beneficial medications are common in advanced dementia, even as death approaches. Several characteristics can help identify residents at risk for greater medication burden. Medication use in advanced dementia should be tailored to the goals of care.","DOI":"10.1111/j.1532-5415.2010.02819.x","ISSN":"0002-8614","note":"PMID: 20406320\nPMCID: PMC2910133","journalAbbreviation":"J Am Geriatr Soc","author":[{"family":"Tjia","given":"Jennifer"},{"family":"Rothman","given":"Margaret R."},{"family":"Kiely","given":"Dan K."},{"family":"Shaffer","given":"Michele L."},{"family":"Holmes","given":"Holly M."},{"family":"Sachs","given":"Greg A."},{"family":"Mitchell","given":"Susan L."}],"issued":{"date-parts":[["2010",5]]}}}],"schema":"https://github.com/citation-style-language/schema/raw/master/csl-citation.json"}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70</w:t>
      </w:r>
      <w:r w:rsidRPr="00725D15">
        <w:rPr>
          <w:rFonts w:cs="Arial"/>
          <w:szCs w:val="22"/>
        </w:rPr>
        <w:fldChar w:fldCharType="end"/>
      </w:r>
      <w:r w:rsidRPr="00725D15">
        <w:rPr>
          <w:rFonts w:cs="Arial"/>
          <w:szCs w:val="22"/>
        </w:rPr>
        <w:t xml:space="preserve"> </w:t>
      </w:r>
    </w:p>
    <w:p w14:paraId="356662CF" w14:textId="50EFB322" w:rsidR="001444C9" w:rsidRDefault="001444C9" w:rsidP="00391890">
      <w:pPr>
        <w:ind w:firstLine="720"/>
        <w:rPr>
          <w:rFonts w:cs="Arial"/>
          <w:szCs w:val="22"/>
        </w:rPr>
      </w:pPr>
      <w:r w:rsidRPr="00725D15">
        <w:rPr>
          <w:rFonts w:cs="Arial"/>
          <w:szCs w:val="22"/>
        </w:rPr>
        <w:t xml:space="preserve">Several prescriber- and patient-specific barriers to medication discontinuation in the EOL population have been identified to help explain the high prevalence of inappropriate prescribing. These include a lack of prescriber training </w:t>
      </w:r>
      <w:r w:rsidR="0047475A">
        <w:rPr>
          <w:rFonts w:cs="Arial"/>
          <w:szCs w:val="22"/>
        </w:rPr>
        <w:t xml:space="preserve">and economic incentives to promote </w:t>
      </w:r>
      <w:r w:rsidRPr="00725D15">
        <w:rPr>
          <w:rFonts w:cs="Arial"/>
          <w:szCs w:val="22"/>
        </w:rPr>
        <w:t>deprescribing, clinical inertia, poor physician-patient/family communication and education, the wishes of patients and family members, the perception that discontinuation equates to “giving up hope”, and unrealistic perceived benefits of continued medication use.</w:t>
      </w:r>
      <w:r w:rsidRPr="00725D15">
        <w:rPr>
          <w:rFonts w:cs="Arial"/>
          <w:szCs w:val="22"/>
        </w:rPr>
        <w:fldChar w:fldCharType="begin"/>
      </w:r>
      <w:r w:rsidR="00EC3644">
        <w:rPr>
          <w:rFonts w:cs="Arial"/>
          <w:szCs w:val="22"/>
        </w:rPr>
        <w:instrText xml:space="preserve"> ADDIN ZOTERO_ITEM CSL_CITATION {"citationID":"4N7JZ1n8","properties":{"formattedCitation":"\\super 45,54,56,63,71\\uc0\\u8211{}75\\nosupersub{}","plainCitation":"45,54,56,63,71–75","noteIndex":0},"citationItems":[{"id":958,"uris":["http://zotero.org/users/2597747/items/I7MH25J4"],"uri":["http://zotero.org/users/2597747/items/I7MH25J4"],"itemData":{"id":958,"type":"article-journal","title":"Preventive medication use among persons with limited life expectancy","container-title":"Progress in Palliative Care","page":"15-21","volume":"19","issue":"1","source":"PubMed Central","abstract":"Persons with limited life expectancy (LLE) – less than 1 year – are significant consumers of health care, are at increased risk of polypharmacy and adverse drug events, and have dynamic health statuses. Therefore, medication use among this population must be appropriate and regularly evaluated. The objective of this review is to assess the current state of knowledge and clinical practice presented in the literature regarding preventive medication use among persons with LLE. We searched Medline, Embase, and CINAHL using Medical Subject Headings. Broad searches were first conducted using the terms ‘terminal care or therapy’ or ‘advanced disease’ and ‘polypharmacy’ or ‘inappropriate medication’ or ‘preventive medicine’, followed by more specific searches using the terms ‘statins’ or ‘anti-hypertensives’ or ‘bisphosphonates’ or ‘laxatives’ and ‘terminal care’. Frameworks to assess appropriate versus inappropriate medications for persons with LLE, and the prevalence of potentially inappropriate medication use among this population, are presented. A considerable proportion of individuals with a known terminal condition continue to take chronic disease preventive medications until death despite questionable benefit. The addition of palliative preventive medications is advised. There is an indication that as death approaches the shift from a curative to palliative goal of care translates into a shift in medication use. This literature review is a first step towards improving medication use and decreasing polypharmacy in persons at the end of life. There is a need to develop consensus criteria to assess appropriate versus inappropriate medication use, specifically for individuals at the end of life.","DOI":"10.1179/174329111X576698","ISSN":"0969-9260","note":"PMID: 21731193\nPMCID: PMC3118532","journalAbbreviation":"Prog Palliat Care","author":[{"family":"Maddison","given":"André R"},{"family":"Fisher","given":"Judith"},{"family":"Johnston","given":"Grace"}],"issued":{"date-parts":[["2011",1]]}}},{"id":361,"uris":["http://zotero.org/users/2597747/items/8R2CFPQV"],"uri":["http://zotero.org/users/2597747/items/8R2CFPQV"],"itemData":{"id":361,"type":"article-journal","title":"Appropriate Discontinuation of Medications at the End of Life: A Need to Establish Consensus Criteria","container-title":"American Journal of Medical Quality","page":"393-394","volume":"22","issue":"6","source":"ajm.sagepub.com.proxy.cc.uic.edu","DOI":"10.1177/1062860607308145","ISSN":"1062-8606, 1555-824X","note":"PMID: 18006418","shortTitle":"Appropriate Discontinuation of Medications at the End of Life","journalAbbreviation":"American Journal of Medical Quality","language":"en","author":[{"family":"Lee","given":"Seina P."},{"family":"Bain","given":"Kevin T."},{"family":"Maio","given":"Vittorio"}],"issued":{"date-parts":[["2007",11,1]]}}},{"id":947,"uris":["http://zotero.org/users/2597747/items/WEERGWMN"],"uri":["http://zotero.org/users/2597747/items/WEERGWMN"],"itemData":{"id":947,"type":"article-journal","title":"Use of unnecessary medications by patients with advanced cancer: cross-sectional survey","container-title":"Supportive Care in Cancer","page":"1313-1318","volume":"19","issue":"9","source":"link.springer.com.proxy.cc.uic.edu","abstract":"Background Cancer patients at the end of life take numerous medications. However, it has not been assessed what proportion of patients take unnecessary medications and which patients are at risk for doing so. Methods Cross-sectional survey of medications utilized by terminally ill ambulatory cancer patients, with the aim of identifying medications considered unnecessary as per explicit criteria. The criteria took into account whether drugs could benefit patients with terminal cancer. Results Among 87 patients, 21 (24%, 95% confidence interval [CI] 15.6–34.5%) were taking at least one unnecessary medication, the most common being gastric protectors. In multivariable analyses, patients with Charlson Comobidity Index ≤ 1 (OR: 4.49, CI95% 1.32–15.26; p = 0.01) or whose medication list had not been reconciled by physicians (OR: 6.38, CI95% 1.21–33.40; p = 0.02) were more likely to use an unnecessary medication. Conclusion Patients with advanced cancer take many medications considered unnecessary. Medication reconciliation should be performed routinely for these patients.","DOI":"10.1007/s00520-010-0947-1","ISSN":"0941-4355, 1433-7339","shortTitle":"Use of unnecessary medications by patients with advanced cancer","journalAbbreviation":"Support Care Cancer","language":"en","author":[{"family":"Fede","given":"Angelo"},{"family":"Miranda","given":"Michele"},{"family":"Antonangelo","given":"Daniella"},{"family":"Trevizan","given":"Ligia"},{"family":"Schaffhausser","given":"Henrique"},{"family":"Hamermesz","given":"Bruno"},{"family":"Zimmermann","given":"Camile"},{"family":"Giglio","given":"Auro Del"},{"family":"Riechelmann","given":"Rachel P."}],"issued":{"date-parts":[["2010",7,21]]}}},{"id":2291,"uris":["http://zotero.org/users/2597747/items/94XG3AWI"],"uri":["http://zotero.org/users/2597747/items/94XG3AWI"],"itemData":{"id":2291,"type":"article-journal","title":"Decision Making About Change of Medication for Comorbid Disease at the End of Life: An Integrative Review","container-title":"Drugs &amp; Aging","page":"501-512","volume":"31","issue":"7","source":"EBSCOhost","abstract":"The main goal of palliative care is to improve quality of life by treating symptoms in patients with life-threatening illnesses. Most patients suffer from more than five severe comorbidities in the last 6 months of life. However, for patients receiving palliative care, interventions to prevent possible long-term complications of these comorbidities are no longer the primary aim of care. This paper aimed to review the literature regarding decision making about medication for comorbid disease at the end of life, defined as a life expectancy &lt;3 months, and to formulate preliminary recommendations based on the existing literature. An integrative review approach was used. We searched the MEDLINE, EMBASE, and CINAHL databases. Papers were included if they had been published in the English language between 1 January 1995 and 31 December 2013, with an abstract. Additional studies were identified by searching bibliographies. Factors to consider when systematically reviewing medications are the goals of care, remaining life expectancy, treatment targets, time until benefit, number needed to treat, number needed to harm, and adverse drug reactions. Existing research focuses particularly on the use of certain drug classes during end-of-life care, including statins, antihypertensive agents, anticoagulants, antihyperglycaemic agents and antibiotics. Based on the results of this review, we made preliminary recommendations for these medication groups. Medication that does not benefit the patient in any way should be avoided. The aim of medication at the end of life should be symptom control. There is a need for prospective trials to give further insight into the decision-making process of medication management at the end of life.","DOI":"10.1007/s40266-014-0182-4","ISSN":"1170-229X","shortTitle":"Decision Making About Change of Medication for Comorbid Disease at the End of Life","journalAbbreviation":"Drugs &amp; Aging","author":[{"family":"Nordennen","given":"Ronald"},{"family":"Lavrijsen","given":"Jan"},{"family":"Vissers","given":"Kris"},{"family":"Koopmans","given":"Raymond"}],"issued":{"date-parts":[["2014",7]]}}},{"id":3,"uris":["http://zotero.org/users/2597747/items/AP5M7CIV"],"uri":["http://zotero.org/users/2597747/items/AP5M7CIV"],"itemData":{"id":3,"type":"article-journal","title":"Prioritizing and stopping prescription medicines","container-title":"Canadian Medical Association Journal","page":"1083-1084","volume":"174","issue":"8","source":"PubMed Central","DOI":"10.1503/cmaj.050837","ISSN":"0820-3946","note":"PMID: 16606954\nPMCID: PMC1421477","journalAbbreviation":"CMAJ","author":[{"family":"Alexander","given":"G. Caleb"},{"family":"Sayla","given":"Maliha A."},{"family":"Holmes","given":"Holly M."},{"family":"Sachs","given":"Greg A."}],"issued":{"date-parts":[["2006",4,11]]}}},{"id":43,"uris":["http://zotero.org/users/2597747/items/EGJGBNAW"],"uri":["http://zotero.org/users/2597747/items/EGJGBNAW"],"itemData":{"id":43,"type":"article-journal","title":"Discontinuing Medications: A Novel Approach for Revising the Prescribing Stage of the Medication-Use Process","container-title":"Journal of the American Geriatrics Society","page":"1946-1952","volume":"56","issue":"10","source":"PubMed Central","abstract":"Thousands of Americans are injured or die each year from adverse drug reactions, many of which are preventable. The burden of harm conveyed by the use of medications is a significant public health problem and, therefore, improving the medication-use process is a priority. Recent and ongoing efforts to improve the medication-use process focus primarily on improving medication prescribing, and not much emphasis has been put on improving medication discontinuation. A formalized approach for rationally discontinuing medications is a necessary antecedent to improving medication safety and improving the nation’s quality of care. This paper proposes a conceptual framework for revising the prescribing stage of the medication-use process to include discontinuing medications. This framework has substantial practice and research implications, especially for the clinical care of older persons, who are particularly susceptible to the adverse effects of medications.","DOI":"10.1111/j.1532-5415.2008.01916.x","ISSN":"0002-8614","note":"PMID: 18771457\nPMCID: PMC3119470","shortTitle":"Discontinuing Medications","journalAbbreviation":"J Am Geriatr Soc","author":[{"family":"Bain","given":"Kevin T."},{"family":"Holmes","given":"Holly M."},{"family":"Beers","given":"Mark H."},{"family":"Maio","given":"Vittorio"},{"family":"Handler","given":"Steven M."},{"family":"Pauker","given":"Stephen G."}],"issued":{"date-parts":[["2008",10]]}}},{"id":1057,"uris":["http://zotero.org/users/2597747/items/ZTIA7XB8"],"uri":["http://zotero.org/users/2597747/items/ZTIA7XB8"],"itemData":{"id":1057,"type":"article-journal","title":"Statin use in cancer patients with brain metastases: a missed communication opportunity at the end of life","container-title":"Supportive Care in Cancer","page":"2643-2648","volume":"23","issue":"9","source":"link.springer.com.proxy.cc.uic.edu","abstract":"Purpose Preventive care, referring to medical interventions with anticipated long-term benefits, is often inappropriately continued near the end of life. We examined the use of statin medications in patients with brain metastases receiving whole brain radiation therapy to determine the effect of short life expectancy and regular interaction with oncology providers on statin discontinuation. We propose reasons for the unnecessary continuation of preventive care and suggest that it is a frequently missed communication opportunity to discuss prognosis in a concrete manner. Methods This is a retrospective study examining statin use in patients receiving whole brain radiotherapy for brain metastases. A total of 206 patients at two cancer centers were studied, and information on statin use and clinical characteristics was obtained from review of the medical record. Results Of the 206 patients, 53 (26 %) were on a statin at their initial radiation oncology consultation. Of these patients, 13 (25 %) had their statin discontinued by the time of their last follow-up visit, but 40 patients (75 %) were continued on their statin despite their limited life expectancy and low likelihood of benefit. Conclusions The majority of patients who were on statins prior to starting palliative whole brain radiation therapy remained on a statin after completing treatment despite an estimated survival of months and regular visits with an oncologist. This represents a missed opportunity for doctors and patients to discuss the appropriateness of continuing preventive care as part of an important conversation about prognosis.","DOI":"10.1007/s00520-015-2624-x","ISSN":"0941-4355, 1433-7339","shortTitle":"Statin use in cancer patients with brain metastases","journalAbbreviation":"Support Care Cancer","language":"en","author":[{"family":"Mullvain","given":"Jacqueline A."},{"family":"Kozak","given":"Kevin R."},{"family":"Moody","given":"John S."},{"family":"Campbell","given":"Toby C."}],"issued":{"date-parts":[["2015",2,7]]}}},{"id":1762,"uris":["http://zotero.org/users/2597747/items/QCPVH364"],"uri":["http://zotero.org/users/2597747/items/QCPVH364"],"itemData":{"id":1762,"type":"article-journal","title":"Reducing inappropriate polypharmacy: The process of deprescribing","container-title":"JAMA Internal Medicine","page":"827-834","volume":"175","issue":"5","source":"Silverchair","abstract":"Inappropriate polypharmacy, especially in older people, imposes a substantial burden of adverse drug events, ill health, disability, hospitalization, and even death. The single most important predictor of inappropriate prescribing and risk of adverse drug events in older patients is the number of prescribed drugs. Deprescribing is the process of tapering or stopping drugs, aimed at minimizing polypharmacy and improving patient outcomes. Evidence of efficacy for deprescribing is emerging from randomized trials and observational studies. A deprescribing protocol is proposed comprising 5 steps: (1) ascertain all drugs the patient is currently taking and the reasons for each one; (2) consider overall risk of drug-induced harm in individual patients in determining the required intensity of deprescribing intervention; (3) assess each drug in regard to its current or future benefit potential compared with current or future harm or burden potential; (4) prioritize drugs for discontinuation that have the lowest benefit-harm ratio and lowest likelihood of adverse withdrawal reactions or disease rebound syndromes; and (5) implement a discontinuation regimen and monitor patients closely for improvement in outcomes or onset of adverse effects. Whereas patient and prescriber barriers to deprescribing exist, resources and strategies are available that facilitate deliberate yet judicious deprescribing and deserve wider application.","DOI":"10.1001/jamainternmed.2015.0324","ISSN":"2168-6106","shortTitle":"Reducing inappropriate polypharmacy","journalAbbreviation":"JAMA Intern Med","author":[{"literal":"Scott IA"},{"literal":"Hilmer SN"},{"literal":"Reeve E"},{"literal":"et al"}],"issued":{"date-parts":[["2015",5,1]]}}},{"id":4193,"uris":["http://zotero.org/users/2597747/items/KZ9PFV8T"],"uri":["http://zotero.org/users/2597747/items/KZ9PFV8T"],"itemData":{"id":4193,"type":"article-journal","title":"Deprescription: The prescription metabolism","container-title":"Journal of Pharmacology &amp; Pharmacotherapeutics","page":"133-137","volume":"7","issue":"3","source":"PubMed Central","abstract":"Deprescribing is a structured approach to drug discontinuation. An alternative suggested term is “prescription metabolism.” The major aim of deprescription is to purge the drug(s) considered unwanted in a given patient, especially in the elderly patients with multiple comorbidities or in those suffering from chronic disease. Like drug metabolism, prescription metabolism is a way of eliminating unwanted, troublesome, or cost-ineffective medications. The removal of such drugs has been found to decrease the incidence of adverse drug reactions and improves the rate of medication adherence, thereby reducing the economic burden on the patient as well as on the health care providers. Certain categories of drugs are to be tapered rather than abruptly stopped. Despite the availability of many tools to minimize drug therapy-related problems, there is little guidance for the process of deprescribing in general clinical practice. Various methods to reduce the risks of polypharmacy include patient education, physician education, and regulatory intervention. The suggested S and S approach (seek and screen, save and severe, sensitize and supervise) may be tried for deprescribing in general practice. More research on deprescribing is the need of the hour in almost all branches of clinical medicine which may pave the way for the betterment of health care.","DOI":"10.4103/0976-500X.189680","ISSN":"0976-500X","note":"PMID: 27651709\nPMCID: PMC5020772","shortTitle":"Deprescription","journalAbbreviation":"J Pharmacol Pharmacother","author":[{"family":"Sivagnanam","given":"Gurusamy"}],"issued":{"date-parts":[["2016"]]}}}],"schema":"https://github.com/citation-style-language/schema/raw/master/csl-citation.json"}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45,54,56,63,71–75</w:t>
      </w:r>
      <w:r w:rsidRPr="00725D15">
        <w:rPr>
          <w:rFonts w:cs="Arial"/>
          <w:szCs w:val="22"/>
        </w:rPr>
        <w:fldChar w:fldCharType="end"/>
      </w:r>
      <w:r w:rsidRPr="00725D15">
        <w:rPr>
          <w:rFonts w:cs="Arial"/>
          <w:szCs w:val="22"/>
        </w:rPr>
        <w:t xml:space="preserve"> In addition to prescriber and patient/family factors, fragmentation in care across healthcare settings has also been suggested as a potential contributor to polypharmacy and </w:t>
      </w:r>
      <w:r w:rsidR="003C667C">
        <w:rPr>
          <w:rFonts w:cs="Arial"/>
          <w:szCs w:val="22"/>
        </w:rPr>
        <w:t>LBM</w:t>
      </w:r>
      <w:r w:rsidRPr="00725D15">
        <w:rPr>
          <w:rFonts w:cs="Arial"/>
          <w:szCs w:val="22"/>
        </w:rPr>
        <w:t xml:space="preserve"> use in EOL patients.</w:t>
      </w:r>
      <w:r w:rsidRPr="00725D15">
        <w:rPr>
          <w:rFonts w:cs="Arial"/>
          <w:szCs w:val="22"/>
        </w:rPr>
        <w:fldChar w:fldCharType="begin"/>
      </w:r>
      <w:r w:rsidR="00434675">
        <w:rPr>
          <w:rFonts w:cs="Arial"/>
          <w:szCs w:val="22"/>
        </w:rPr>
        <w:instrText xml:space="preserve"> ADDIN ZOTERO_ITEM CSL_CITATION {"citationID":"1mfc16ih85","properties":{"formattedCitation":"\\super 74\\nosupersub{}","plainCitation":"74","noteIndex":0},"citationItems":[{"id":1762,"uris":["http://zotero.org/users/2597747/items/QCPVH364"],"uri":["http://zotero.org/users/2597747/items/QCPVH364"],"itemData":{"id":1762,"type":"article-journal","title":"Reducing inappropriate polypharmacy: The process of deprescribing","container-title":"JAMA Internal Medicine","page":"827-834","volume":"175","issue":"5","source":"Silverchair","abstract":"Inappropriate polypharmacy, especially in older people, imposes a substantial burden of adverse drug events, ill health, disability, hospitalization, and even death. The single most important predictor of inappropriate prescribing and risk of adverse drug events in older patients is the number of prescribed drugs. Deprescribing is the process of tapering or stopping drugs, aimed at minimizing polypharmacy and improving patient outcomes. Evidence of efficacy for deprescribing is emerging from randomized trials and observational studies. A deprescribing protocol is proposed comprising 5 steps: (1) ascertain all drugs the patient is currently taking and the reasons for each one; (2) consider overall risk of drug-induced harm in individual patients in determining the required intensity of deprescribing intervention; (3) assess each drug in regard to its current or future benefit potential compared with current or future harm or burden potential; (4) prioritize drugs for discontinuation that have the lowest benefit-harm ratio and lowest likelihood of adverse withdrawal reactions or disease rebound syndromes; and (5) implement a discontinuation regimen and monitor patients closely for improvement in outcomes or onset of adverse effects. Whereas patient and prescriber barriers to deprescribing exist, resources and strategies are available that facilitate deliberate yet judicious deprescribing and deserve wider application.","DOI":"10.1001/jamainternmed.2015.0324","ISSN":"2168-6106","shortTitle":"Reducing inappropriate polypharmacy","journalAbbreviation":"JAMA Intern Med","author":[{"literal":"Scott IA"},{"literal":"Hilmer SN"},{"literal":"Reeve E"},{"literal":"et al"}],"issued":{"date-parts":[["2015",5,1]]}}}],"schema":"https://github.com/citation-style-language/schema/raw/master/csl-citation.json"}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74</w:t>
      </w:r>
      <w:r w:rsidRPr="00725D15">
        <w:rPr>
          <w:rFonts w:cs="Arial"/>
          <w:szCs w:val="22"/>
        </w:rPr>
        <w:fldChar w:fldCharType="end"/>
      </w:r>
      <w:r w:rsidRPr="00725D15">
        <w:rPr>
          <w:rFonts w:cs="Arial"/>
          <w:szCs w:val="22"/>
        </w:rPr>
        <w:t xml:space="preserve"> Patients near the EOL often experience multiple healthcare transitions, which can lead to disruptions in care planning and poor coordination of care across healthcare settings.</w:t>
      </w:r>
      <w:r w:rsidRPr="00725D15">
        <w:rPr>
          <w:rFonts w:cs="Arial"/>
          <w:szCs w:val="22"/>
        </w:rPr>
        <w:fldChar w:fldCharType="begin"/>
      </w:r>
      <w:r w:rsidR="007107C5">
        <w:rPr>
          <w:rFonts w:cs="Arial"/>
          <w:szCs w:val="22"/>
        </w:rPr>
        <w:instrText xml:space="preserve"> ADDIN ZOTERO_ITEM CSL_CITATION {"citationID":"1unji2sb8k","properties":{"formattedCitation":"\\super 3\\nosupersub{}","plainCitation":"3","noteIndex":0},"citationItems":[{"id":2753,"uris":["http://zotero.org/users/2597747/items/NGJX3ABU"],"uri":["http://zotero.org/users/2597747/items/NGJX3ABU"],"itemData":{"id":2753,"type":"book","title":"Dying in America: Improving Quality and Honoring Individual Preferences Near the End of Life","publisher":"National Academies Press","publisher-place":"Washington, D.C.","event-place":"Washington, D.C.","URL":"http://www.nap.edu/catalog/18748","ISBN":"978-0-309-30310-1","shortTitle":"Dying in America","issued":{"date-parts":[["2015",3,19]]}}}],"schema":"https://github.com/citation-style-language/schema/raw/master/csl-citation.json"}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3</w:t>
      </w:r>
      <w:r w:rsidRPr="00725D15">
        <w:rPr>
          <w:rFonts w:cs="Arial"/>
          <w:szCs w:val="22"/>
        </w:rPr>
        <w:fldChar w:fldCharType="end"/>
      </w:r>
      <w:r w:rsidRPr="00725D15">
        <w:rPr>
          <w:rFonts w:cs="Arial"/>
          <w:szCs w:val="22"/>
        </w:rPr>
        <w:t xml:space="preserve"> Medication documentation and reconciliation during transfers between care settings has been shown to be especially poor, in part due to the “siloed” nature of individual practice settings.</w:t>
      </w:r>
      <w:r w:rsidRPr="00725D15">
        <w:rPr>
          <w:rFonts w:cs="Arial"/>
          <w:szCs w:val="22"/>
        </w:rPr>
        <w:fldChar w:fldCharType="begin"/>
      </w:r>
      <w:r w:rsidR="00EC3644">
        <w:rPr>
          <w:rFonts w:cs="Arial"/>
          <w:szCs w:val="22"/>
        </w:rPr>
        <w:instrText xml:space="preserve"> ADDIN ZOTERO_ITEM CSL_CITATION {"citationID":"2928nkvl0i","properties":{"formattedCitation":"\\super 72,76\\uc0\\u8211{}79\\nosupersub{}","plainCitation":"72,76–79","noteIndex":0},"citationItems":[{"id":43,"uris":["http://zotero.org/users/2597747/items/EGJGBNAW"],"uri":["http://zotero.org/users/2597747/items/EGJGBNAW"],"itemData":{"id":43,"type":"article-journal","title":"Discontinuing Medications: A Novel Approach for Revising the Prescribing Stage of the Medication-Use Process","container-title":"Journal of the American Geriatrics Society","page":"1946-1952","volume":"56","issue":"10","source":"PubMed Central","abstract":"Thousands of Americans are injured or die each year from adverse drug reactions, many of which are preventable. The burden of harm conveyed by the use of medications is a significant public health problem and, therefore, improving the medication-use process is a priority. Recent and ongoing efforts to improve the medication-use process focus primarily on improving medication prescribing, and not much emphasis has been put on improving medication discontinuation. A formalized approach for rationally discontinuing medications is a necessary antecedent to improving medication safety and improving the nation’s quality of care. This paper proposes a conceptual framework for revising the prescribing stage of the medication-use process to include discontinuing medications. This framework has substantial practice and research implications, especially for the clinical care of older persons, who are particularly susceptible to the adverse effects of medications.","DOI":"10.1111/j.1532-5415.2008.01916.x","ISSN":"0002-8614","note":"PMID: 18771457\nPMCID: PMC3119470","shortTitle":"Discontinuing Medications","journalAbbreviation":"J Am Geriatr Soc","author":[{"family":"Bain","given":"Kevin T."},{"family":"Holmes","given":"Holly M."},{"family":"Beers","given":"Mark H."},{"family":"Maio","given":"Vittorio"},{"family":"Handler","given":"Steven M."},{"family":"Pauker","given":"Stephen G."}],"issued":{"date-parts":[["2008",10]]}}},{"id":2498,"uris":["http://zotero.org/users/2597747/items/6HEPINUJ"],"uri":["http://zotero.org/users/2597747/items/6HEPINUJ"],"itemData":{"id":2498,"type":"article-journal","title":"Posthospital medication discrepancies: Prevalence and contributing factors","container-title":"Archives of Internal Medicine","page":"1842-1847","volume":"165","issue":"16","source":"Silverchair","abstract":"Background \nDespite the national attention being given to the problem of medication safety, little attention has been paid to the medication problems that are encountered by older patients who are receiving care across settings. The objective of this study was to determine the prevalence and contributing factors associated with posthospital medication discrepancies.Methods\nThe study population consisted of community-dwelling adults aged 65 years and older admitted to the hospital with 1 of 9 selected conditions (n = 375). A geriatric nurse practitioner performed a comprehensive medication assessment in the patient’s home within 24 to 72 hours after institutional discharge. The assessment focused on what older patients reported taking in comparison with the prehospital medication regimen and the posthospital medication regimen. Prevalence and types of medication discrepancies were categorized using the Medication Discrepancy Tool.Results\nA total of 14.1% of patients experienced 1 or more medication discrepancies. Using the Medication Discrepancy Tool, 50.8% of identified contributing factors for discrepancies were categorized as patient-associated, and 49.2% were categorized as system-associated. Five medication classes accounted for half of all medication discrepancies. Medication discrepancies were associated with the total number of medications taken and the presence of congestive heart failure. A total of 14.3% of the patients who experienced medication discrepancies were rehospitalized at 30 days compared with 6.1% of the patients who did not experience a discrepancy (P = .04).Conclusions\nA significant percentage of older patients experienced medication discrepancies after making the transition from hospital to home. Both patient-associated and system-associated solutions may be needed to ensure medication safety during this vulnerable period.","DOI":"10.1001/archinte.165.16.1842","ISSN":"0003-9926","shortTitle":"Posthospital medication discrepancies","journalAbbreviation":"Arch Intern Med","author":[{"literal":"Coleman EA"},{"literal":"Smith JD"},{"literal":"Raha D"},{"literal":"Min S"}],"issued":{"date-parts":[["2005",9,12]]}}},{"id":2293,"uris":["http://zotero.org/users/2597747/items/K995AHCU"],"uri":["http://zotero.org/users/2597747/items/K995AHCU"],"itemData":{"id":2293,"type":"article-journal","title":"Deficits in communication and information transfer between hospital-based and primary care physicians: Implications for patient safety and continuity of care","container-title":"JAMA","page":"831-841","volume":"297","issue":"8","source":"Silverchair","abstract":"Context Delayed or inaccurate communication between hospital-based and primary care physicians at hospital discharge may negatively affect continuity of care and contribute to adverse events.Objectives To characterize the prevalence of deficits in communication and information transfer at hospital discharge and to identify interventions to improve this process.Data Sources MEDLINE (through November 2006), Cochrane Database of Systematic Reviews, and hand search of article bibliographies.Study Selection Observational studies investigating communication and information transfer at hospital discharge (n = 55) and controlled studies evaluating the efficacy of interventions to improve information transfer (n = 18).Data Extraction Data from observational studies were extracted on the availability, timeliness, content, and format of discharge communications, as well as primary care physician satisfaction. Results of interventions were summarized by their effect on timeliness, accuracy, completeness, and overall quality of the information transfer.Data Synthesis Direct communication between hospital physicians and primary care physicians occurred infrequently (3%-20%). The availability of a discharge summary at the first postdischarge visit was low (12%-34%) and remained poor at 4 weeks (51%-77%), affecting the quality of care in approximately 25% of follow-up visits and contributing to primary care physician dissatisfaction. Discharge summaries often lacked important information such as diagnostic test results (missing from 33%-63%), treatment or hospital course (7%-22%), discharge medications (2%-40%), test results pending at discharge (65%), patient or family counseling (90%-92%), and follow-up plans (2%-43%). Several interventions, including computer-generated discharge summaries and using patients as couriers, shortened the delivery time of discharge communications. Use of standardized formats to highlight the most pertinent information improved the perceived quality of documents.Conclusions Deficits in communication and information transfer at hospital discharge are common and may adversely affect patient care. Interventions such as computer-generated summaries and standardized formats may facilitate more timely transfer of pertinent patient information to primary care physicians and make discharge summaries more consistently available during follow-up care.","DOI":"10.1001/jama.297.8.831","ISSN":"0098-7484","shortTitle":"Deficits in communication and information transfer between hospital-based and primary care physicians","journalAbbreviation":"JAMA","author":[{"literal":"Kripalani S"},{"literal":"LeFevre F"},{"literal":"Phillips CO"},{"literal":"Williams MV"},{"literal":"Basaviah P"},{"literal":"Baker DW"}],"issued":{"date-parts":[["2007",2,28]]}}},{"id":2502,"uris":["http://zotero.org/users/2597747/items/WXNX5R45"],"uri":["http://zotero.org/users/2597747/items/WXNX5R45"],"itemData":{"id":2502,"type":"article-journal","title":"Medication Use in the Transition from Hospital to Home","container-title":"Annals of the Academy of Medicine, Singapore","page":"136","volume":"37","issue":"2","source":"PubMed Central","abstract":"After hospital discharge, correct understanding and use of medications are key components of patient safety. The current discharge process does not provide adequate fail-safes to ensure quality post-discharge care. This often leads to preventable medication errors as well as non-adherence. Several barriers to successful discharge counseling, including use of medical jargon, lack of educational and administrative resources, time constraints, and low health literacy, contribute to ineffective communication between hospital physicians and patients. Other obstacles include inaccurate or incomplete documentation of the medication history, lack of social support, financial constraints, and poor transfer of information to outpatient physicians. Solutions to improve medication use in the transition period after hospital discharge require effective communication with patients through the use of easily understood language, highlighting key information, and ensuring patient comprehension through the “teach back” technique. More timely communication with outpatient physicians in addition to a more comprehensive transfer of information further facilitate the transition home. Finally, a systematic process of medication reconciliation also aids in decreasing the incidence of medication errors. Hospital-based physicians who attend to key details in the process of discharging patients can have a profound impact on improving medication adherence, avoiding medication errors, and decreasing adverse outcomes in the post-discharge period.","ISSN":"0304-4602","note":"PMID: 18327350\nPMCID: PMC3575742","journalAbbreviation":"Ann Acad Med Singapore","author":[{"family":"Cua","given":"Yvette M."},{"family":"Kripalani","given":"Sunil"}],"issued":{"date-parts":[["2008",2]]}}},{"id":2765,"uris":["http://zotero.org/users/2597747/items/FZTBEC7B"],"uri":["http://zotero.org/users/2597747/items/FZTBEC7B"],"itemData":{"id":2765,"type":"article-journal","title":"Falling Through the Cracks: Challenges and Opportunities for Improving Transitional Care for Persons with Continuous Complex Care Needs","container-title":"Journal of the American Geriatrics Society","page":"549-555","volume":"51","issue":"4","source":"Wiley Online Library","abstract":"Persons with continuous complex care needs frequently require care in multiple settings. During transitions between settings, this population is particularly vulnerable to experiencing poor care quality and problems of care fragmentation. Despite how common these transitions have become, the challenges of improving care transitions have received little attention from policy makers, clinicians, and quality improvement entities. This article begins with a definition of transitional care and then discusses the nature of the problem, its prevalence, manifestations of poorly executed transitions, and potentially remediable barriers. Necessary elements for effective transitions are then presented, followed by promising new directions for quality improvement at the level of the delivery system, information technology, and national health policy. The article concludes with a proposed research agenda designed to advance the science of high-quality transitional care.","DOI":"10.1046/j.1532-5415.2003.51185.x","ISSN":"1532-5415","shortTitle":"Falling Through the Cracks","journalAbbreviation":"Journal of the American Geriatrics Society","language":"en","author":[{"family":"Coleman","given":"Eric A."}],"issued":{"date-parts":[["2003",4,1]]}}}],"schema":"https://github.com/citation-style-language/schema/raw/master/csl-citation.json"}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72,76–79</w:t>
      </w:r>
      <w:r w:rsidRPr="00725D15">
        <w:rPr>
          <w:rFonts w:cs="Arial"/>
          <w:szCs w:val="22"/>
        </w:rPr>
        <w:fldChar w:fldCharType="end"/>
      </w:r>
      <w:r w:rsidRPr="00725D15">
        <w:rPr>
          <w:rFonts w:cs="Arial"/>
          <w:szCs w:val="22"/>
        </w:rPr>
        <w:t xml:space="preserve"> Because medication regimens frequently change based upon the stage of the patient near the EOL, hospice and palliative care patients may be at particular risk of using </w:t>
      </w:r>
      <w:r w:rsidR="003C667C">
        <w:rPr>
          <w:rFonts w:cs="Arial"/>
          <w:szCs w:val="22"/>
        </w:rPr>
        <w:t>LBM</w:t>
      </w:r>
      <w:r w:rsidRPr="00725D15">
        <w:rPr>
          <w:rFonts w:cs="Arial"/>
          <w:szCs w:val="22"/>
        </w:rPr>
        <w:t>s subsequent to healthcare transitions.</w:t>
      </w:r>
      <w:r w:rsidRPr="00725D15">
        <w:rPr>
          <w:rFonts w:cs="Arial"/>
          <w:szCs w:val="22"/>
        </w:rPr>
        <w:fldChar w:fldCharType="begin"/>
      </w:r>
      <w:r w:rsidR="00434675">
        <w:rPr>
          <w:rFonts w:cs="Arial"/>
          <w:szCs w:val="22"/>
        </w:rPr>
        <w:instrText xml:space="preserve"> ADDIN ZOTERO_ITEM CSL_CITATION {"citationID":"2hfrpaptbp","properties":{"formattedCitation":"\\super 72\\nosupersub{}","plainCitation":"72","noteIndex":0},"citationItems":[{"id":43,"uris":["http://zotero.org/users/2597747/items/EGJGBNAW"],"uri":["http://zotero.org/users/2597747/items/EGJGBNAW"],"itemData":{"id":43,"type":"article-journal","title":"Discontinuing Medications: A Novel Approach for Revising the Prescribing Stage of the Medication-Use Process","container-title":"Journal of the American Geriatrics Society","page":"1946-1952","volume":"56","issue":"10","source":"PubMed Central","abstract":"Thousands of Americans are injured or die each year from adverse drug reactions, many of which are preventable. The burden of harm conveyed by the use of medications is a significant public health problem and, therefore, improving the medication-use process is a priority. Recent and ongoing efforts to improve the medication-use process focus primarily on improving medication prescribing, and not much emphasis has been put on improving medication discontinuation. A formalized approach for rationally discontinuing medications is a necessary antecedent to improving medication safety and improving the nation’s quality of care. This paper proposes a conceptual framework for revising the prescribing stage of the medication-use process to include discontinuing medications. This framework has substantial practice and research implications, especially for the clinical care of older persons, who are particularly susceptible to the adverse effects of medications.","DOI":"10.1111/j.1532-5415.2008.01916.x","ISSN":"0002-8614","note":"PMID: 18771457\nPMCID: PMC3119470","shortTitle":"Discontinuing Medications","journalAbbreviation":"J Am Geriatr Soc","author":[{"family":"Bain","given":"Kevin T."},{"family":"Holmes","given":"Holly M."},{"family":"Beers","given":"Mark H."},{"family":"Maio","given":"Vittorio"},{"family":"Handler","given":"Steven M."},{"family":"Pauker","given":"Stephen G."}],"issued":{"date-parts":[["2008",10]]}}}],"schema":"https://github.com/citation-style-language/schema/raw/master/csl-citation.json"}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72</w:t>
      </w:r>
      <w:r w:rsidRPr="00725D15">
        <w:rPr>
          <w:rFonts w:cs="Arial"/>
          <w:szCs w:val="22"/>
        </w:rPr>
        <w:fldChar w:fldCharType="end"/>
      </w:r>
      <w:r w:rsidRPr="00725D15">
        <w:rPr>
          <w:rFonts w:cs="Arial"/>
          <w:szCs w:val="22"/>
        </w:rPr>
        <w:t xml:space="preserve"> In 2009, Medicare fee-for-service patients experienced a mean of 3.1 healthcare transitions in the last 90 days of life, with 43% experiencing a transition in their final two weeks.</w:t>
      </w:r>
      <w:r w:rsidRPr="00725D15">
        <w:rPr>
          <w:rFonts w:cs="Arial"/>
          <w:szCs w:val="22"/>
        </w:rPr>
        <w:fldChar w:fldCharType="begin"/>
      </w:r>
      <w:r w:rsidR="00EC3644">
        <w:rPr>
          <w:rFonts w:cs="Arial"/>
          <w:szCs w:val="22"/>
        </w:rPr>
        <w:instrText xml:space="preserve"> ADDIN ZOTERO_ITEM CSL_CITATION {"citationID":"2332qeddms","properties":{"formattedCitation":"\\super 80\\nosupersub{}","plainCitation":"80","noteIndex":0},"citationItems":[{"id":1348,"uris":["http://zotero.org/users/2597747/items/A752KHMM"],"uri":["http://zotero.org/users/2597747/items/A752KHMM"],"itemData":{"id":1348,"type":"article-journal","title":"Change in End-of-Life Care for Medicare Beneficiaries","container-title":"JAMA","page":"470-477","volume":"309","issue":"5","source":"PubMed Central","abstract":"Importance\nA recent Centers for Disease Control and Prevention report found that more persons die at home. This has been cited as evidence that persons dying in the United States are using more supportive care.\n\nObjective\nTo describe changes in site of death, place of care, and health care transitions between 2000, 2005, and 2009.\n\nDesign, Setting, and Patients\nRetrospective cohort study of a random 20% sample of fee-for-service Medicare beneficiaries, aged 66 years and older, who died in 2000 (n=270 202), 2005 (n=291 819), or 2009 (n=286 282). A multivariable regression model examined outcomes in 2000 and 2009 after adjustment for sociodemographic characteristics. Based on billing data, patients were classified as having a medical diagnosis of cancer, chronic obstructive pulmonary disease, or dementia in the last 180 days of life.\n\nMain Outcome Measures\nSite of death, place of care, rates of health care transitions, and potentially burdensome transitions (eg, health care transitions in the last 3 days of life).\n\nResults\nComparing 2000, 2005, and 2009 shows a decrease in deaths in acute care hospitals and increases in intensive care unit (ICU) use in the last 30 days, hospice use at the time of death, and health care transitions at the end of the life (test of trend P &lt; .001 for each)., \n200020052009No. of decedents270 202291 819286 282Deaths in acute care hospitals, % (95% CI)32.6 (32.4–32.8)26.9 (26.7–27.1)24.6 (24.5–24.8)ICU use in last month of life, % (95% CI)24.3 (24.1–24.5)26.3 (26.1–26.5)29.2 (29.0–29.3)Hospice use at time of death, % (95% CI)21.6 (21.4–21.7)32.3 (32.1–32.5)42.2 (42.0–42.4)Health care transitions in last 90 d of life per decedent, mean (median) (IQR)2.1 (1.0) (0–3.0)2.8 (2.0) (1.0–4.0)3.1 (2.0) (1.0–5.0)Health care transitions in last 3 days of life, % (95% CI)10.3 (10.1–10.4)12.4 (12.3–12.5)14.2 (14.0–14.3), In 2009, 28.4% (95% CI, 27.9%–28.5%) of hospice use at the time of death was for 3 days or less. Of these late hospice referrals, 40.3% (95% CI, 39.7%–40.8%) were preceded by hospitalization with an ICU stay.\n\nConclusion and Relevance\nAmong Medicare beneficiaries who died in 2009 and 2005 compared with 2000, a lower proportion died in an acute care hospital, although both ICU use and the rate of health care transitions increased in the last month of life.","DOI":"10.1001/jama.2012.207624","ISSN":"0098-7484","note":"PMID: 23385273\nPMCID: PMC3674823","journalAbbreviation":"JAMA","author":[{"family":"Teno","given":"Joan M."},{"family":"Gozalo","given":"Pedro L."},{"family":"Bynum","given":"Julie P. W."},{"family":"Leland","given":"Natalie E."},{"family":"Miller","given":"Susan C."},{"family":"Morden","given":"Nancy E."},{"family":"Scupp","given":"Thomas"},{"family":"Goodman","given":"David C."},{"family":"Mor","given":"Vincent"}],"issued":{"date-parts":[["2013",2,6]]}}}],"schema":"https://github.com/citation-style-language/schema/raw/master/csl-citation.json"}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80</w:t>
      </w:r>
      <w:r w:rsidRPr="00725D15">
        <w:rPr>
          <w:rFonts w:cs="Arial"/>
          <w:szCs w:val="22"/>
        </w:rPr>
        <w:fldChar w:fldCharType="end"/>
      </w:r>
      <w:r w:rsidRPr="00725D15">
        <w:rPr>
          <w:rFonts w:cs="Arial"/>
          <w:szCs w:val="22"/>
        </w:rPr>
        <w:t xml:space="preserve"> Approximately 69% of patients had at least one hospitalization in the last 90 days and 11.5% had three or more hospitalizations. A recent study among elderly Medicare beneficiaries using hospice care found that one in 10 experienced a burdensome healthcare transition (i.e., a transition likely to result in changes in the patient’s care team) following hospice enrollment, with transition to a hospital occurring in 53% of those with at least one transition.</w:t>
      </w:r>
      <w:r w:rsidRPr="00725D15">
        <w:rPr>
          <w:rFonts w:cs="Arial"/>
          <w:szCs w:val="22"/>
        </w:rPr>
        <w:fldChar w:fldCharType="begin"/>
      </w:r>
      <w:r w:rsidR="00EC3644">
        <w:rPr>
          <w:rFonts w:cs="Arial"/>
          <w:szCs w:val="22"/>
        </w:rPr>
        <w:instrText xml:space="preserve"> ADDIN ZOTERO_ITEM CSL_CITATION {"citationID":"1ea9mgd8t3","properties":{"formattedCitation":"\\super 81\\nosupersub{}","plainCitation":"81","noteIndex":0},"citationItems":[{"id":1164,"uris":["http://zotero.org/users/2597747/items/6HP3BVET"],"uri":["http://zotero.org/users/2597747/items/6HP3BVET"],"itemData":{"id":1164,"type":"article-journal","title":"Transitions Between Healthcare Settings of Hospice Enrollees at the End of Life","container-title":"Journal of the American Geriatrics Society","page":"314-322","volume":"64","issue":"2","source":"Wiley Online Library","abstract":"Objectives\n\nTo characterize the number and types of care transitions in the last 6 months of life of individuals who used hospice and to examine factors associated with having multiple transitions in care.\n\n\nDesign\n\nRetrospective cohort study.\n\n\nSetting\n\nOne hundred percent fee-for-service Medicare decedent claims data.\n\n\nParticipants\n\nMedicare beneficiaries aged 66 and older who died between July 1, 2011, and December 31, 2011, and were enrolled in hospice at some time during the last 6 months of life.\n\n\nMeasurements\n\nHierarchical generalized linear modeling was used to identify individual, hospice, and regional factors associated with transitions. The sequence of transitions across healthcare settings was described. Healthcare transitions after hospice enrollment included from and to the hospital, skilled nursing facility, home health agency program, hospice, or home without receiving any service in these four healthcare settings.\n\n\nResults\n\nOf 311,090 hospice decedents, 31,675 (10.2%) had at least one transition after hospice enrollment, and this varied substantially across the United States; 6.6% of all decedents had more than one transition in care after hospice enrollment (range 2–19 transitions). Of hospice users with transitions, 53.4% were admitted to hospitals, 17.7% were admitted to skilled nursing facilities, 9.6% used home health agencies, and 25.8% had transitions to home without receiving the services from the healthcare settings examined. In adjusted analyses, decedents who were younger, nonwhite, enrolled in a for-profit or small hospice program, or had less access to hospital-based palliative care had significantly higher odds of having at least one transition.\n\n\nConclusion\n\nA notable proportion of hospice users experience at least one transition in care in the last 6 months of life, suggesting that further research on the effect of transitions on users and families is warranted.","DOI":"10.1111/jgs.13939","ISSN":"1532-5415","journalAbbreviation":"J Am Geriatr Soc","language":"en","author":[{"family":"Wang","given":"Shi-Yi"},{"family":"Aldridge","given":"Melissa D."},{"family":"Gross","given":"Cary P."},{"family":"Canavan","given":"Maureen"},{"family":"Cherlin","given":"Emily"},{"family":"Johnson-Hurzeler","given":"Rosemary"},{"family":"Bradley","given":"Elizabeth"}],"issued":{"date-parts":[["2016",2,1]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81</w:t>
      </w:r>
      <w:r w:rsidRPr="00725D15">
        <w:rPr>
          <w:rFonts w:cs="Arial"/>
          <w:szCs w:val="22"/>
        </w:rPr>
        <w:fldChar w:fldCharType="end"/>
      </w:r>
      <w:r w:rsidRPr="00725D15">
        <w:rPr>
          <w:rFonts w:cs="Arial"/>
          <w:szCs w:val="22"/>
        </w:rPr>
        <w:t xml:space="preserve"> </w:t>
      </w:r>
    </w:p>
    <w:p w14:paraId="4073A7E2" w14:textId="77777777" w:rsidR="0047475A" w:rsidRPr="00725D15" w:rsidRDefault="0047475A" w:rsidP="00391890">
      <w:pPr>
        <w:ind w:firstLine="720"/>
        <w:rPr>
          <w:rFonts w:cs="Arial"/>
          <w:szCs w:val="22"/>
        </w:rPr>
      </w:pPr>
    </w:p>
    <w:p w14:paraId="33E970A6" w14:textId="24745A15" w:rsidR="001444C9" w:rsidRPr="00725D15" w:rsidRDefault="001444C9" w:rsidP="00391890">
      <w:pPr>
        <w:ind w:firstLine="720"/>
        <w:rPr>
          <w:rFonts w:cs="Arial"/>
          <w:szCs w:val="22"/>
        </w:rPr>
      </w:pPr>
      <w:r w:rsidRPr="00725D15">
        <w:rPr>
          <w:rFonts w:cs="Arial"/>
          <w:szCs w:val="22"/>
        </w:rPr>
        <w:lastRenderedPageBreak/>
        <w:t>In addition to transitions occurring while under hospice care, an estimated 16%-18% of hospice patients experience a care transition via live hospice discharge.</w:t>
      </w:r>
      <w:r w:rsidRPr="00725D15">
        <w:rPr>
          <w:rFonts w:cs="Arial"/>
          <w:szCs w:val="22"/>
        </w:rPr>
        <w:fldChar w:fldCharType="begin"/>
      </w:r>
      <w:r w:rsidR="00EC3644">
        <w:rPr>
          <w:rFonts w:cs="Arial"/>
          <w:szCs w:val="22"/>
        </w:rPr>
        <w:instrText xml:space="preserve"> ADDIN ZOTERO_ITEM CSL_CITATION {"citationID":"1th6cpiqsg","properties":{"formattedCitation":"\\super 11,82\\nosupersub{}","plainCitation":"11,82","noteIndex":0},"citationItems":[{"id":742,"uris":["http://zotero.org/users/2597747/items/XGDAKNG4"],"uri":["http://zotero.org/users/2597747/items/XGDAKNG4"],"itemData":{"id":742,"type":"article-journal","title":"Home health care and discharged hospice care patients: United States, 2000 and 2007","container-title":"National Health Statistics Reports","page":"1-27","issue":"38","source":"PubMed","abstract":"OBJECTIVES: This report presents national estimates on home health care patients and discharged hospice care patients. Information on characteristics, length of service, medical diagnoses, functional limitations, service use, advance care planning, and emergent and hospital care use are presented for home health care patients and hospice care discharges. A comparison of selected characteristics for 2000 and 2007 is also provided to highlight changes.\nMETHODS: Estimates are based on data collected on agencies from the 2000 and 2007 National Home and Hospice Care Survey, conducted by the Centers for Disease Control and Prevention's National Center for Health Statistics. Estimates are derived from data collected during interviews with administrators and staff designated by the administrators.\nRESULTS: Each day in 2007, there were an estimated 1,459,900 home health care patients. They were predominantly aged 65 years or over, female, and white. Their mean length of service was 315 days, and their most common primary diagnosis at admission was diabetes mellitus. About one-fourth of them had advance care planning and one-fifth had at least one overnight hospital stay since admission to the home health care agency. In 2007, there were 1,045,100 discharged hospice care patients. The majority of discharged patients were aged 65 or over, female, and white, and most were discharged deceased. Their mean length of service was 65 days, and the most common primary diagnosis at admission was malignant neoplasm. Most of them had advance care planning, and about one-fourth had three or more types of advance care planning instruments.","ISSN":"2164-8344","note":"PMID: 21568135","shortTitle":"Home health care and discharged hospice care patients","journalAbbreviation":"Natl Health Stat Report","language":"eng","author":[{"family":"Caffrey","given":"Christine"},{"family":"Sengupta","given":"Manisha"},{"family":"Moss","given":"Abigail"},{"family":"Harris-Kojetin","given":"Lauren"},{"family":"Valverde","given":"Roberto"}],"issued":{"date-parts":[["2011",4,27]]}}},{"id":962,"uris":["http://zotero.org/users/2597747/items/EHH5TZ6K"],"uri":["http://zotero.org/users/2597747/items/EHH5TZ6K"],"itemData":{"id":962,"type":"article-journal","title":"Characteristics of Hospice Programs With Problematic Live Discharges","container-title":"Journal of Pain and Symptom Management","page":"548-552","volume":"50","issue":"4","source":"ScienceDirect","abstract":"Context\nLittle is known about how hospice live discharges vary by hospice providers' tax status and chain affiliation.\nObjectives\nTo characterize hospices with high rates of problematic patterns of live discharges.\nMethods\nThree hospice-level patterns of live discharges were defined as problematic when the facility rate was at the 90th percentile or higher. A hospice with a high rate of patients discharged, hospitalized, and readmitted to hospice was considered to have a problematic live discharge pattern, which we have referred to as burdensome transition. The two other problematic live discharge patterns examined were live discharge in the first seven days of a hospice stay and live discharge after 180 days in hospice. A multivariate logistic model examined variation in the hospice-level rate of each discharge pattern by the hospice's chain affiliation and profit status. This model also adjusted for facility rates of medical diagnoses, nonwhite patients, average age, and the state in which the hospice program is located.\nResults\nIn 2010, 3028 hospice programs had 996,208 discharges, with 18.0% being alive. Each proposed problematic pattern of live discharge varied by chain affiliation. For-profit providers without a chain affiliation had a higher rate of burdensome transitions than did for-profit providers in national chains (18.2% vs. 12.1%, P &amp;lt; 0.001), whereas not-for-profit providers had the lowest rate of burdensome transitions (1.4%). About one in three (33.8%) for-profit providers exhibited one or more of these discharge patterns compared with 9.0% of not-for-profit providers.\nConclusion\nProblematic patterns of live discharges are higher among for-profit providers, especially those not affiliated with a hospice chain.","DOI":"10.1016/j.jpainsymman.2015.05.001","ISSN":"0885-3924","journalAbbreviation":"Journal of Pain and Symptom Management","author":[{"family":"Teno","given":"Joan M."},{"family":"Bowman","given":"Jason"},{"family":"Plotzke","given":"Michael"},{"family":"Gozalo","given":"Pedro L."},{"family":"Christian","given":"Thomas"},{"family":"Miller","given":"Susan C."},{"family":"Williams","given":"Cindy"},{"family":"Mor","given":"Vincent"}],"issued":{"date-parts":[["2015",10]]}}}],"schema":"https://github.com/citation-style-language/schema/raw/master/csl-citation.json"}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11,82</w:t>
      </w:r>
      <w:r w:rsidRPr="00725D15">
        <w:rPr>
          <w:rFonts w:cs="Arial"/>
          <w:szCs w:val="22"/>
        </w:rPr>
        <w:fldChar w:fldCharType="end"/>
      </w:r>
      <w:r w:rsidRPr="00725D15">
        <w:rPr>
          <w:rFonts w:cs="Arial"/>
          <w:szCs w:val="22"/>
        </w:rPr>
        <w:t xml:space="preserve"> While the most commonly cited reason for hospice discharge is the stabilization or improvement of the patient’s terminal illness, a previous study of Medicare beneficiaries reported that patients who disenrolled from hospice died a median of 24 days after disenrollment.</w:t>
      </w:r>
      <w:r w:rsidRPr="00725D15">
        <w:rPr>
          <w:rFonts w:cs="Arial"/>
          <w:szCs w:val="22"/>
        </w:rPr>
        <w:fldChar w:fldCharType="begin"/>
      </w:r>
      <w:r w:rsidR="00EC3644">
        <w:rPr>
          <w:rFonts w:cs="Arial"/>
          <w:szCs w:val="22"/>
        </w:rPr>
        <w:instrText xml:space="preserve"> ADDIN ZOTERO_ITEM CSL_CITATION {"citationID":"2ad9e4ee9l","properties":{"formattedCitation":"\\super 83,84\\nosupersub{}","plainCitation":"83,84","noteIndex":0},"citationItems":[{"id":1012,"uris":["http://zotero.org/users/2597747/items/KDQW5PW2"],"uri":["http://zotero.org/users/2597747/items/KDQW5PW2"],"itemData":{"id":1012,"type":"article-journal","title":"Hospice Characteristics and the Disenrollment of Patients with Cancer","container-title":"Health Services Research","page":"2004-2021","volume":"44","issue":"6","source":"PubMed Central","abstract":"Objective\nTo characterize the types of hospices with higher rates of patient disenrollment from the Medicare Hospice Benefit and the markets in which these hospices operate.\n\nData Source\nSecondary analyses of Surveillance, Epidemiology and End Results-Medicare data. Analyses included patients who died of cancer from 1998 to 2002 and who used hospice (n=90,826).\n\nStudy Design\nWe used generalized estimating equations to estimate the association of patient disenrollment with hospice size, years since Medicare certification, ownership, staff mix, competition, urban/rural status, region, and fiscal intermediary. Other covariates included patient demographic and clinical characteristics.\n\nPrincipal Findings\nPatients were more likely to disenroll from hospice if they were served by newer hospices (OR=1.14; 95 percent CI 1.03, 1.26), by smaller hospices (OR=1.11; 95 percent CI 1.02, 1.20), or by hospices in more competitive markets (OR=1.17; 95 percent CI 1.03, 1.35). There was an independent effect of the hospice's fiscal intermediary on disenrollment, particularly disenrollment after 6 months with hospice (Wald χ2=21.2, p=.007).\n\nConclusions\nThe reasons for higher disenrollment rates for newer hospices, for smaller hospices, and for hospices in highly competitive markets are likely complex; however, results suggest that there are organizational-level barriers to keeping patients with cancer enrolled with hospice. Variation across fiscal intermediaries may indicate that regulatory oversight, particularly of long-stay patients, influences hospice disenrollment.","DOI":"10.1111/j.1475-6773.2009.01002.x","ISSN":"0017-9124","note":"PMID: 19656230\nPMCID: PMC2796311","journalAbbreviation":"Health Serv Res","author":[{"family":"Carlson","given":"Melissa D A"},{"family":"Herrin","given":"Jeph"},{"family":"Du","given":"Qingling"},{"family":"Epstein","given":"Andrew J"},{"family":"Cherlin","given":"Emily"},{"family":"Morrison","given":"R Sean"},{"family":"Bradley","given":"Elizabeth H"}],"issued":{"date-parts":[["2009",12]]}}},{"id":2925,"uris":["http://zotero.org/users/2597747/items/D3B8MNI2"],"uri":["http://zotero.org/users/2597747/items/D3B8MNI2"],"itemData":{"id":2925,"type":"article-journal","title":"Outcomes and Characteristics of Patients Discharged Alive from Hospice","container-title":"Journal of the American Geriatrics Society","page":"1337-1342","volume":"52","issue":"8","source":"CrossRef","DOI":"10.1111/j.1532-5415.2004.52365.x","ISSN":"00028614, 15325415","shortTitle":"Outcomes and Characteristics of Patients Discharged Alive from Hospice","language":"en","author":[{"family":"Kutner","given":"Jean S."},{"family":"Meyer","given":"Sue A."},{"family":"Beaty","given":"Brenda L."},{"family":"Kassner","given":"Cordt T."},{"family":"Nowels","given":"David E."},{"family":"Beehler","given":"Connie"}],"issued":{"date-parts":[["2004",8]]}}}],"schema":"https://github.com/citation-style-language/schema/raw/master/csl-citation.json"}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83,84</w:t>
      </w:r>
      <w:r w:rsidRPr="00725D15">
        <w:rPr>
          <w:rFonts w:cs="Arial"/>
          <w:szCs w:val="22"/>
        </w:rPr>
        <w:fldChar w:fldCharType="end"/>
      </w:r>
      <w:r w:rsidRPr="00725D15">
        <w:rPr>
          <w:rFonts w:cs="Arial"/>
          <w:szCs w:val="22"/>
        </w:rPr>
        <w:t xml:space="preserve"> Additionally, approximately 25% of hospice disenrollments are followed by a hospitalization, and patients are often found to reenroll in hospice shortly after hospice disenrollment and receipt of care in non-hospice settings.</w:t>
      </w:r>
      <w:r w:rsidRPr="00725D15">
        <w:rPr>
          <w:rFonts w:cs="Arial"/>
          <w:szCs w:val="22"/>
        </w:rPr>
        <w:fldChar w:fldCharType="begin"/>
      </w:r>
      <w:r w:rsidR="00EC3644">
        <w:rPr>
          <w:rFonts w:cs="Arial"/>
          <w:szCs w:val="22"/>
        </w:rPr>
        <w:instrText xml:space="preserve"> ADDIN ZOTERO_ITEM CSL_CITATION {"citationID":"8issf0va2","properties":{"formattedCitation":"\\super 82,85\\nosupersub{}","plainCitation":"82,85","noteIndex":0},"citationItems":[{"id":962,"uris":["http://zotero.org/users/2597747/items/EHH5TZ6K"],"uri":["http://zotero.org/users/2597747/items/EHH5TZ6K"],"itemData":{"id":962,"type":"article-journal","title":"Characteristics of Hospice Programs With Problematic Live Discharges","container-title":"Journal of Pain and Symptom Management","page":"548-552","volume":"50","issue":"4","source":"ScienceDirect","abstract":"Context\nLittle is known about how hospice live discharges vary by hospice providers' tax status and chain affiliation.\nObjectives\nTo characterize hospices with high rates of problematic patterns of live discharges.\nMethods\nThree hospice-level patterns of live discharges were defined as problematic when the facility rate was at the 90th percentile or higher. A hospice with a high rate of patients discharged, hospitalized, and readmitted to hospice was considered to have a problematic live discharge pattern, which we have referred to as burdensome transition. The two other problematic live discharge patterns examined were live discharge in the first seven days of a hospice stay and live discharge after 180 days in hospice. A multivariate logistic model examined variation in the hospice-level rate of each discharge pattern by the hospice's chain affiliation and profit status. This model also adjusted for facility rates of medical diagnoses, nonwhite patients, average age, and the state in which the hospice program is located.\nResults\nIn 2010, 3028 hospice programs had 996,208 discharges, with 18.0% being alive. Each proposed problematic pattern of live discharge varied by chain affiliation. For-profit providers without a chain affiliation had a higher rate of burdensome transitions than did for-profit providers in national chains (18.2% vs. 12.1%, P &amp;lt; 0.001), whereas not-for-profit providers had the lowest rate of burdensome transitions (1.4%). About one in three (33.8%) for-profit providers exhibited one or more of these discharge patterns compared with 9.0% of not-for-profit providers.\nConclusion\nProblematic patterns of live discharges are higher among for-profit providers, especially those not affiliated with a hospice chain.","DOI":"10.1016/j.jpainsymman.2015.05.001","ISSN":"0885-3924","journalAbbreviation":"Journal of Pain and Symptom Management","author":[{"family":"Teno","given":"Joan M."},{"family":"Bowman","given":"Jason"},{"family":"Plotzke","given":"Michael"},{"family":"Gozalo","given":"Pedro L."},{"family":"Christian","given":"Thomas"},{"family":"Miller","given":"Susan C."},{"family":"Williams","given":"Cindy"},{"family":"Mor","given":"Vincent"}],"issued":{"date-parts":[["2015",10]]}}},{"id":963,"uris":["http://zotero.org/users/2597747/items/ZKXJKVPU"],"uri":["http://zotero.org/users/2597747/items/ZKXJKVPU"],"itemData":{"id":963,"type":"article-journal","title":"Why Do Home Hospice Patients Return to the Hospital? A Study of Hospice Provider Perspectives","container-title":"Journal of Palliative Medicine","page":"51-56","volume":"19","issue":"1","source":"online.liebertpub.com (Atypon)","abstract":"Background: Hospice provides an opportunity for patients to receive care at home at the end of life (EOL); however, approximately 25% of patients who disenroll from hospice are hospitalized. Hospitalization can lead to poor care transitions and result in unwarranted care and adverse patient outcomes. Research examining reasons for hospitalization in this patient population is limited. Objective: The objective was to understand the reasons for hospitalization among home hospice patients through the perspectives of hospice interdisciplinary team (IDT) members. Methods: This was a qualitative study using a grounded theory approach. Seven semistructured focus group were conducted to solicit reasons for hospitalization among home hospice patients. Participants consisted of 73 home hospice IDT members from a not-for-profit hospice agency in New York City. Focus group recordings were transcribed and analyzed using content analysis. Results: Eight major themes were identified: (1) not fully understanding hospice, (2) lack of clarity about disease prognosis, (3) desire to continue receiving care from nonhospice physicians and hospital, (4) caregiver burden, (5) distressing/difficult-to-manage signs and symptoms, (6) caregivers' reluctance to administer morphine, (7) 911's faster response time compared to hospice, and (8) families' difficulty accepting patients' mortality. Conclusions: Reasons for hospitalization in home hospice patients are multifactorial and complex. Our study highlights barriers and challenges that patients, families, physicians, and hospices face around home hospice care and hospitalization. More research is needed to elucidate these issues and develop viable strategies to address them.","DOI":"10.1089/jpm.2015.0178","ISSN":"1096-6218","shortTitle":"Why Do Home Hospice Patients Return to the Hospital?","journalAbbreviation":"Journal of Palliative Medicine","author":[{"family":"Phongtankuel","given":"Veerawat"},{"family":"Scherban","given":"Benjamin A."},{"family":"Reid","given":"Manney C."},{"family":"Finley","given":"Amanda"},{"family":"Martin","given":"Angela"},{"family":"Dennis","given":"Jeanne"},{"family":"Adelman","given":"Ronald D."}],"issued":{"date-parts":[["2015",12,24]]}}}],"schema":"https://github.com/citation-style-language/schema/raw/master/csl-citation.json"}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82,85</w:t>
      </w:r>
      <w:r w:rsidRPr="00725D15">
        <w:rPr>
          <w:rFonts w:cs="Arial"/>
          <w:szCs w:val="22"/>
        </w:rPr>
        <w:fldChar w:fldCharType="end"/>
      </w:r>
      <w:r w:rsidRPr="00725D15">
        <w:rPr>
          <w:rFonts w:cs="Arial"/>
          <w:szCs w:val="22"/>
        </w:rPr>
        <w:t xml:space="preserve"> Thus, care transitions after disenrollment from hospice followed shortly thereafter by death or hospice reenrollment may also represent fragmentation in care with the potential to result in </w:t>
      </w:r>
      <w:r w:rsidR="003C667C">
        <w:rPr>
          <w:rFonts w:cs="Arial"/>
          <w:szCs w:val="22"/>
        </w:rPr>
        <w:t>LBM</w:t>
      </w:r>
      <w:r w:rsidRPr="00725D15">
        <w:rPr>
          <w:rFonts w:cs="Arial"/>
          <w:szCs w:val="22"/>
        </w:rPr>
        <w:t xml:space="preserve"> use.</w:t>
      </w:r>
    </w:p>
    <w:p w14:paraId="7F873AC9" w14:textId="157A7C53" w:rsidR="006619A4" w:rsidRDefault="001444C9" w:rsidP="006619A4">
      <w:pPr>
        <w:ind w:firstLine="720"/>
        <w:rPr>
          <w:rFonts w:cs="Arial"/>
          <w:szCs w:val="22"/>
        </w:rPr>
      </w:pPr>
      <w:r w:rsidRPr="00725D15">
        <w:rPr>
          <w:rFonts w:cs="Arial"/>
          <w:szCs w:val="22"/>
        </w:rPr>
        <w:t xml:space="preserve">Given hospice’s central, transparent mission of foregoing curative treatment in the terminally-ill patient to focus on holistic comfort care which maximizes patient and family quality of life, it may be reasonable to believe that many of the barriers to discontinuation of </w:t>
      </w:r>
      <w:r w:rsidR="003C667C">
        <w:rPr>
          <w:rFonts w:cs="Arial"/>
          <w:szCs w:val="22"/>
        </w:rPr>
        <w:t>LBM</w:t>
      </w:r>
      <w:r w:rsidRPr="00725D15">
        <w:rPr>
          <w:rFonts w:cs="Arial"/>
          <w:szCs w:val="22"/>
        </w:rPr>
        <w:t xml:space="preserve">s in patients receiving traditional EOL care can be mitigated in the hospice setting.  However, there is evidence to suggest that these </w:t>
      </w:r>
      <w:r w:rsidR="003C667C">
        <w:rPr>
          <w:rFonts w:cs="Arial"/>
          <w:szCs w:val="22"/>
        </w:rPr>
        <w:t>LBM</w:t>
      </w:r>
      <w:r w:rsidRPr="00725D15">
        <w:rPr>
          <w:rFonts w:cs="Arial"/>
          <w:szCs w:val="22"/>
        </w:rPr>
        <w:t>s continue to be frequently prescribed in terminally-ill patients currently enrolled in palliative and hospice care programs, potentially for similar reasons as those for EOL patients not enrolled in hospice or palliative care.</w:t>
      </w:r>
      <w:r w:rsidRPr="00725D15">
        <w:rPr>
          <w:rFonts w:cs="Arial"/>
          <w:szCs w:val="22"/>
        </w:rPr>
        <w:fldChar w:fldCharType="begin"/>
      </w:r>
      <w:r w:rsidR="008A1035">
        <w:rPr>
          <w:rFonts w:cs="Arial"/>
          <w:szCs w:val="22"/>
        </w:rPr>
        <w:instrText xml:space="preserve"> ADDIN ZOTERO_ITEM CSL_CITATION {"citationID":"156uhr7d69","properties":{"formattedCitation":"\\super 22,23,57\\nosupersub{}","plainCitation":"22,23,57","noteIndex":0},"citationItems":[{"id":266,"uris":["http://zotero.org/users/2597747/items/E965IK6T"],"uri":["http://zotero.org/users/2597747/items/E965IK6T"],"itemData":{"id":266,"type":"article-journal","title":"Futile medication use in terminally ill cancer patients","container-title":"Supportive Care in Cancer","page":"745-748","volume":"17","issue":"6","source":"link.springer.com.proxy.cc.uic.edu","abstract":"Background Cancer patients usually take many medications. The proportion of patients with advanced cancer who are taking futile drugs is unknown. Materials and methods We retrospectively reviewed the charts of all consecutive ambulatory patients with advanced cancer and who were receiving supportive care exclusively at palliative care clinics, Princess Margaret Hospital, to gather information on futile medications used by them. Futile medications were defined as unnecessary (when no short-term benefit to patients with respect to survival, quality of life, or symptom control was anticipated) or duplicate (two or more drugs from the same pharmacological class). Summary statistics were used to describe the results. Results From November 2005 to July 2006, 82 (22%) of 372 patients were taking at least one futile medication before consultation; after initial consultation, this proportion dropped to 20% (78): 70 patients were taking unnecessary medications, while eight were on duplicate medications. The most frequent unnecessary medications used by patients were statins (56%). The most common duplicate medication involved the use of two different benzodiazepines (seven patients). Conclusion About one fifth of cancer outpatients at the end of life take futile medications, most commonly statins. Prospective and population-based studies are warranted to further evaluate the magnitude and consequences of futile medication use in oncology.","DOI":"10.1007/s00520-008-0541-y","ISSN":"0941-4355, 1433-7339","journalAbbreviation":"Support Care Cancer","language":"en","author":[{"family":"Riechelmann","given":"Rachel P."},{"family":"Krzyzanowska","given":"Monika K."},{"family":"Zimmermann","given":"Camilla"}],"issued":{"date-parts":[["2008",11,22]]}}},{"id":253,"uris":["http://zotero.org/users/2597747/items/D5ZTTA6H"],"uri":["http://zotero.org/users/2597747/items/D5ZTTA6H"],"itemData":{"id":253,"type":"article-journal","title":"Prescribing practices in hospice patients with adult failure to thrive or debility","container-title":"Progress in palliative care","page":"69-74","volume":"22","issue":"2","source":"PubMed Central","abstract":"Objectives\nDespite being a common admitting diagnosis, there is very little published literature on medication management in hospice patients admitted with a diagnosis of failure to thrive or debility. The purpose of this study was to describe medication prescribing practices in hospice patients with either of these primary diagnoses by characterizing prescribed medications by name and by pharmaceutical class, and determining whether the patient or the hospice organization provided each medication.\n\nMethods\nA retrospective review of a patient information database compiled by a national hospice organization was conducted. Patients were included in this retrospective study if they were admitted to hospice care with a primary diagnosis of failure to thrive or debility, and if they were admitted on or after 1 January 2010, and discharged by death on or before 31 December 2010.\n\nResults\nOverall 293 patients and 6181 medication entries were evaluated. The most commonly prescribed drugs were acetaminophen, lorazepam, morphine, atropine, prochlorperazine, haloperidol, docusate, aspirin, and bisacodyl. The most commonly prescribed pharmacological classes were opioid and non-opioid analgesics, anxiolytics, anticholinergics, antihypertensives, laxatives, antidepressants, and supplements. The hospice organization provided over 90% of prescriptions for analgesics, antipsychotics, anticholinergics, and anxiolytics, and these medications were discontinued before death in less than 5% of patients.\n\nConclusion\nRecognized clinical components of failure to thrive syndrome include cognitive impairment, malnutrition, and depression. The hospice organization provided 80% of antidepressants, but infrequently provided appetite stimulants and drugs treating dementia. The most commonly provided drugs were those used for symptoms associated with most end-stage diseases.","DOI":"10.1179/1743291X13Y.0000000068","ISSN":"0969-9260","note":"PMID: 24904199\nPMCID: PMC4041741","journalAbbreviation":"Prog Palliat Care","author":[{"family":"Sera","given":"Leah"},{"family":"Holmes","given":"Holly M."},{"family":"McPherson","given":"Mary Lynn"}],"issued":{"date-parts":[["2014",4,1]]}}},{"id":241,"uris":["http://zotero.org/users/2597747/items/J8JVATI3"],"uri":["http://zotero.org/users/2597747/items/J8JVATI3"],"itemData":{"id":241,"type":"article-journal","title":"Commonly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22,23,57</w:t>
      </w:r>
      <w:r w:rsidRPr="00725D15">
        <w:rPr>
          <w:rFonts w:cs="Arial"/>
          <w:szCs w:val="22"/>
        </w:rPr>
        <w:fldChar w:fldCharType="end"/>
      </w:r>
      <w:r w:rsidRPr="00725D15">
        <w:rPr>
          <w:rFonts w:cs="Arial"/>
          <w:szCs w:val="22"/>
        </w:rPr>
        <w:t xml:space="preserve"> Among patients with advanced dementia enrolled in a palliative care program, Holmes et al. reported that 29% were prescribed at least one medication considered never appropriate by an expert consensus panel.</w:t>
      </w:r>
      <w:r w:rsidRPr="00725D15">
        <w:rPr>
          <w:rFonts w:cs="Arial"/>
          <w:szCs w:val="22"/>
        </w:rPr>
        <w:fldChar w:fldCharType="begin"/>
      </w:r>
      <w:r w:rsidR="00434675">
        <w:rPr>
          <w:rFonts w:cs="Arial"/>
          <w:szCs w:val="22"/>
        </w:rPr>
        <w:instrText xml:space="preserve"> ADDIN ZOTERO_ITEM CSL_CITATION {"citationID":"1rl44ac2e8","properties":{"formattedCitation":"\\super 59\\nosupersub{}","plainCitation":"59","noteIndex":0},"citationItems":[{"id":794,"uris":["http://zotero.org/users/2597747/items/5X4MX3IZ"],"uri":["http://zotero.org/users/2597747/items/5X4MX3IZ"],"itemData":{"id":794,"type":"article-journal","title":"Integrating Palliative Medicine into the Care of Persons with Advanced Dementia: Identifying Appropriate Medication Use","container-title":"Journal of the American Geriatrics Society","page":"1306-1311","volume":"56","issue":"7","source":"CrossRef","DOI":"10.1111/j.1532-5415.2008.01741.x","ISSN":"00028614, 15325415","shortTitle":"Integrating Palliative Medicine into the Care of Persons with Advanced Dementia","language":"en","author":[{"family":"Holmes","given":"Holly M."},{"family":"Sachs","given":"Greg A."},{"family":"Shega","given":"Joseph W."},{"family":"Hougham","given":"Gavin W."},{"family":"Cox Hayley","given":"Deon"},{"family":"Dale","given":"William"}],"issued":{"date-parts":[["2008",7]]}}}],"schema":"https://github.com/citation-style-language/schema/raw/master/csl-citation.json"}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59</w:t>
      </w:r>
      <w:r w:rsidRPr="00725D15">
        <w:rPr>
          <w:rFonts w:cs="Arial"/>
          <w:szCs w:val="22"/>
        </w:rPr>
        <w:fldChar w:fldCharType="end"/>
      </w:r>
      <w:r w:rsidRPr="00725D15">
        <w:rPr>
          <w:rFonts w:cs="Arial"/>
          <w:szCs w:val="22"/>
        </w:rPr>
        <w:t xml:space="preserve"> Riechelmann et al. reported that of 372 patients with terminal cancer, 18.8% continued to receive at least one unnecessary medication after initial palliative care consultation, compared to 19.9% before initial consultation.</w:t>
      </w:r>
      <w:r w:rsidRPr="00725D15">
        <w:rPr>
          <w:rFonts w:cs="Arial"/>
          <w:szCs w:val="22"/>
        </w:rPr>
        <w:fldChar w:fldCharType="begin"/>
      </w:r>
      <w:r w:rsidR="00434675">
        <w:rPr>
          <w:rFonts w:cs="Arial"/>
          <w:szCs w:val="22"/>
        </w:rPr>
        <w:instrText xml:space="preserve"> ADDIN ZOTERO_ITEM CSL_CITATION {"citationID":"2dkf4vifjb","properties":{"formattedCitation":"\\super 57\\nosupersub{}","plainCitation":"57","noteIndex":0},"citationItems":[{"id":266,"uris":["http://zotero.org/users/2597747/items/E965IK6T"],"uri":["http://zotero.org/users/2597747/items/E965IK6T"],"itemData":{"id":266,"type":"article-journal","title":"Futile medication use in terminally ill cancer patients","container-title":"Supportive Care in Cancer","page":"745-748","volume":"17","issue":"6","source":"link.springer.com.proxy.cc.uic.edu","abstract":"Background Cancer patients usually take many medications. The proportion of patients with advanced cancer who are taking futile drugs is unknown. Materials and methods We retrospectively reviewed the charts of all consecutive ambulatory patients with advanced cancer and who were receiving supportive care exclusively at palliative care clinics, Princess Margaret Hospital, to gather information on futile medications used by them. Futile medications were defined as unnecessary (when no short-term benefit to patients with respect to survival, quality of life, or symptom control was anticipated) or duplicate (two or more drugs from the same pharmacological class). Summary statistics were used to describe the results. Results From November 2005 to July 2006, 82 (22%) of 372 patients were taking at least one futile medication before consultation; after initial consultation, this proportion dropped to 20% (78): 70 patients were taking unnecessary medications, while eight were on duplicate medications. The most frequent unnecessary medications used by patients were statins (56%). The most common duplicate medication involved the use of two different benzodiazepines (seven patients). Conclusion About one fifth of cancer outpatients at the end of life take futile medications, most commonly statins. Prospective and population-based studies are warranted to further evaluate the magnitude and consequences of futile medication use in oncology.","DOI":"10.1007/s00520-008-0541-y","ISSN":"0941-4355, 1433-7339","journalAbbreviation":"Support Care Cancer","language":"en","author":[{"family":"Riechelmann","given":"Rachel P."},{"family":"Krzyzanowska","given":"Monika K."},{"family":"Zimmermann","given":"Camilla"}],"issued":{"date-parts":[["2008",11,22]]}}}],"schema":"https://github.com/citation-style-language/schema/raw/master/csl-citation.json"}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57</w:t>
      </w:r>
      <w:r w:rsidRPr="00725D15">
        <w:rPr>
          <w:rFonts w:cs="Arial"/>
          <w:szCs w:val="22"/>
        </w:rPr>
        <w:fldChar w:fldCharType="end"/>
      </w:r>
      <w:r w:rsidRPr="00725D15">
        <w:rPr>
          <w:rFonts w:cs="Arial"/>
          <w:szCs w:val="22"/>
        </w:rPr>
        <w:t xml:space="preserve"> Statins (56%) and multivitamins (30%) made up the majority of unnecessary medications taken by patients prior to consultation. In elderly hospice patients with a diagnosis of failure to thrive or debility, Sera et al. reported several classes of chronic disease medications to be frequently prescribed, including </w:t>
      </w:r>
      <w:r w:rsidRPr="00725D15">
        <w:rPr>
          <w:rFonts w:cs="Arial"/>
          <w:szCs w:val="22"/>
        </w:rPr>
        <w:lastRenderedPageBreak/>
        <w:t>antihypertensives (47.1%), antiplatelet medications (30.0%), cholinesterase inhibitors (12.6%), and lipid-lowering agents (10.6%).</w:t>
      </w:r>
      <w:r w:rsidRPr="00725D15">
        <w:rPr>
          <w:rFonts w:cs="Arial"/>
          <w:szCs w:val="22"/>
        </w:rPr>
        <w:fldChar w:fldCharType="begin"/>
      </w:r>
      <w:r w:rsidR="008A1035">
        <w:rPr>
          <w:rFonts w:cs="Arial"/>
          <w:szCs w:val="22"/>
        </w:rPr>
        <w:instrText xml:space="preserve"> ADDIN ZOTERO_ITEM CSL_CITATION {"citationID":"10hoan6jl9","properties":{"formattedCitation":"\\super 22\\nosupersub{}","plainCitation":"22","noteIndex":0},"citationItems":[{"id":253,"uris":["http://zotero.org/users/2597747/items/D5ZTTA6H"],"uri":["http://zotero.org/users/2597747/items/D5ZTTA6H"],"itemData":{"id":253,"type":"article-journal","title":"Prescribing practices in hospice patients with adult failure to thrive or debility","container-title":"Progress in palliative care","page":"69-74","volume":"22","issue":"2","source":"PubMed Central","abstract":"Objectives\nDespite being a common admitting diagnosis, there is very little published literature on medication management in hospice patients admitted with a diagnosis of failure to thrive or debility. The purpose of this study was to describe medication prescribing practices in hospice patients with either of these primary diagnoses by characterizing prescribed medications by name and by pharmaceutical class, and determining whether the patient or the hospice organization provided each medication.\n\nMethods\nA retrospective review of a patient information database compiled by a national hospice organization was conducted. Patients were included in this retrospective study if they were admitted to hospice care with a primary diagnosis of failure to thrive or debility, and if they were admitted on or after 1 January 2010, and discharged by death on or before 31 December 2010.\n\nResults\nOverall 293 patients and 6181 medication entries were evaluated. The most commonly prescribed drugs were acetaminophen, lorazepam, morphine, atropine, prochlorperazine, haloperidol, docusate, aspirin, and bisacodyl. The most commonly prescribed pharmacological classes were opioid and non-opioid analgesics, anxiolytics, anticholinergics, antihypertensives, laxatives, antidepressants, and supplements. The hospice organization provided over 90% of prescriptions for analgesics, antipsychotics, anticholinergics, and anxiolytics, and these medications were discontinued before death in less than 5% of patients.\n\nConclusion\nRecognized clinical components of failure to thrive syndrome include cognitive impairment, malnutrition, and depression. The hospice organization provided 80% of antidepressants, but infrequently provided appetite stimulants and drugs treating dementia. The most commonly provided drugs were those used for symptoms associated with most end-stage diseases.","DOI":"10.1179/1743291X13Y.0000000068","ISSN":"0969-9260","note":"PMID: 24904199\nPMCID: PMC4041741","journalAbbreviation":"Prog Palliat Care","author":[{"family":"Sera","given":"Leah"},{"family":"Holmes","given":"Holly M."},{"family":"McPherson","given":"Mary Lynn"}],"issued":{"date-parts":[["2014",4,1]]}}}],"schema":"https://github.com/citation-style-language/schema/raw/master/csl-citation.json"}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22</w:t>
      </w:r>
      <w:r w:rsidRPr="00725D15">
        <w:rPr>
          <w:rFonts w:cs="Arial"/>
          <w:szCs w:val="22"/>
        </w:rPr>
        <w:fldChar w:fldCharType="end"/>
      </w:r>
      <w:r w:rsidRPr="00725D15">
        <w:rPr>
          <w:rFonts w:cs="Arial"/>
          <w:szCs w:val="22"/>
        </w:rPr>
        <w:t xml:space="preserve"> </w:t>
      </w:r>
    </w:p>
    <w:p w14:paraId="07483968" w14:textId="4C52197B" w:rsidR="007B40C2" w:rsidRDefault="002835C6" w:rsidP="007B40C2">
      <w:pPr>
        <w:ind w:firstLine="720"/>
        <w:rPr>
          <w:rFonts w:cs="Arial"/>
          <w:szCs w:val="22"/>
        </w:rPr>
      </w:pPr>
      <w:r>
        <w:rPr>
          <w:rFonts w:cs="Arial"/>
          <w:szCs w:val="22"/>
        </w:rPr>
        <w:t>A</w:t>
      </w:r>
      <w:r w:rsidR="0008691F">
        <w:rPr>
          <w:rFonts w:cs="Arial"/>
          <w:szCs w:val="22"/>
        </w:rPr>
        <w:t xml:space="preserve"> study of 4,252 hospice patients</w:t>
      </w:r>
      <w:r>
        <w:rPr>
          <w:rFonts w:cs="Arial"/>
          <w:szCs w:val="22"/>
        </w:rPr>
        <w:t xml:space="preserve"> </w:t>
      </w:r>
      <w:r w:rsidR="0008691F">
        <w:rPr>
          <w:rFonts w:cs="Arial"/>
          <w:szCs w:val="22"/>
        </w:rPr>
        <w:t xml:space="preserve">across 11 states </w:t>
      </w:r>
      <w:r>
        <w:rPr>
          <w:rFonts w:cs="Arial"/>
          <w:szCs w:val="22"/>
        </w:rPr>
        <w:t>reported that</w:t>
      </w:r>
      <w:r w:rsidR="0008691F">
        <w:rPr>
          <w:rFonts w:cs="Arial"/>
          <w:szCs w:val="22"/>
        </w:rPr>
        <w:t xml:space="preserve"> a</w:t>
      </w:r>
      <w:r>
        <w:rPr>
          <w:rFonts w:cs="Arial"/>
          <w:szCs w:val="22"/>
        </w:rPr>
        <w:t xml:space="preserve"> number of medications </w:t>
      </w:r>
      <w:r w:rsidR="0008691F">
        <w:rPr>
          <w:rFonts w:cs="Arial"/>
          <w:szCs w:val="22"/>
        </w:rPr>
        <w:t xml:space="preserve">were prescribed </w:t>
      </w:r>
      <w:r>
        <w:rPr>
          <w:rFonts w:cs="Arial"/>
          <w:szCs w:val="22"/>
        </w:rPr>
        <w:t>that are primarily used for chronic conditions or supplementation</w:t>
      </w:r>
      <w:r w:rsidR="0008691F">
        <w:rPr>
          <w:rFonts w:cs="Arial"/>
          <w:szCs w:val="22"/>
        </w:rPr>
        <w:t>.</w:t>
      </w:r>
      <w:r w:rsidR="0008691F" w:rsidRPr="00725D15">
        <w:rPr>
          <w:rFonts w:cs="Arial"/>
          <w:szCs w:val="22"/>
        </w:rPr>
        <w:fldChar w:fldCharType="begin"/>
      </w:r>
      <w:r w:rsidR="008A1035">
        <w:rPr>
          <w:rFonts w:cs="Arial"/>
          <w:szCs w:val="22"/>
        </w:rPr>
        <w:instrText xml:space="preserve"> ADDIN ZOTERO_ITEM CSL_CITATION {"citationID":"1te5acso62","properties":{"formattedCitation":"\\super 23\\nosupersub{}","plainCitation":"23","noteIndex":0},"citationItems":[{"id":241,"uris":["http://zotero.org/users/2597747/items/J8JVATI3"],"uri":["http://zotero.org/users/2597747/items/J8JVATI3"],"itemData":{"id":241,"type":"article-journal","title":"Commonly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M."}],"issued":{"date-parts":[["2014",3]]}}}],"schema":"https://github.com/citation-style-language/schema/raw/master/csl-citation.json"} </w:instrText>
      </w:r>
      <w:r w:rsidR="0008691F" w:rsidRPr="00725D15">
        <w:rPr>
          <w:rFonts w:cs="Arial"/>
          <w:szCs w:val="22"/>
        </w:rPr>
        <w:fldChar w:fldCharType="separate"/>
      </w:r>
      <w:r w:rsidR="00B55AC2" w:rsidRPr="00B55AC2">
        <w:rPr>
          <w:rFonts w:cs="Arial"/>
          <w:szCs w:val="24"/>
          <w:vertAlign w:val="superscript"/>
        </w:rPr>
        <w:t>23</w:t>
      </w:r>
      <w:r w:rsidR="0008691F" w:rsidRPr="00725D15">
        <w:rPr>
          <w:rFonts w:cs="Arial"/>
          <w:szCs w:val="22"/>
        </w:rPr>
        <w:fldChar w:fldCharType="end"/>
      </w:r>
      <w:r w:rsidR="0008691F">
        <w:rPr>
          <w:rFonts w:cs="Arial"/>
          <w:szCs w:val="22"/>
        </w:rPr>
        <w:t xml:space="preserve"> These included</w:t>
      </w:r>
      <w:r>
        <w:rPr>
          <w:rFonts w:cs="Arial"/>
          <w:szCs w:val="22"/>
        </w:rPr>
        <w:t xml:space="preserve"> omeprazole (14.6%), metoprolol (13.2%), multivitamins (9.5%), </w:t>
      </w:r>
      <w:r w:rsidR="009B5669">
        <w:rPr>
          <w:rFonts w:cs="Arial"/>
          <w:szCs w:val="22"/>
        </w:rPr>
        <w:t>lisinopril (7.3%), amlodipine (6.5%), donepezil (4.9%), simvastatin (4.7%), clopidogrel (3.8%), and memantine (3.5%). S</w:t>
      </w:r>
      <w:r w:rsidR="00FF6D5A" w:rsidRPr="00725D15">
        <w:rPr>
          <w:rFonts w:cs="Arial"/>
          <w:szCs w:val="22"/>
        </w:rPr>
        <w:t xml:space="preserve">ignificant </w:t>
      </w:r>
      <w:r w:rsidR="007B40C2" w:rsidRPr="00725D15">
        <w:rPr>
          <w:rFonts w:cs="Arial"/>
          <w:szCs w:val="22"/>
        </w:rPr>
        <w:t xml:space="preserve">differences in the prevalence of chronic disease medications </w:t>
      </w:r>
      <w:r w:rsidR="0008691F">
        <w:rPr>
          <w:rFonts w:cs="Arial"/>
          <w:szCs w:val="22"/>
        </w:rPr>
        <w:t xml:space="preserve">used </w:t>
      </w:r>
      <w:r w:rsidR="007B40C2" w:rsidRPr="00725D15">
        <w:rPr>
          <w:rFonts w:cs="Arial"/>
          <w:szCs w:val="22"/>
        </w:rPr>
        <w:t xml:space="preserve">among </w:t>
      </w:r>
      <w:r w:rsidR="0008691F">
        <w:rPr>
          <w:rFonts w:cs="Arial"/>
          <w:szCs w:val="22"/>
        </w:rPr>
        <w:t>patients admitted to hospice for cancer, dementia, and lung disease</w:t>
      </w:r>
      <w:r w:rsidR="007B40C2" w:rsidRPr="00725D15">
        <w:rPr>
          <w:rFonts w:cs="Arial"/>
          <w:szCs w:val="22"/>
        </w:rPr>
        <w:t xml:space="preserve"> </w:t>
      </w:r>
      <w:r w:rsidR="009B5669">
        <w:rPr>
          <w:rFonts w:cs="Arial"/>
          <w:szCs w:val="22"/>
        </w:rPr>
        <w:t>were also described</w:t>
      </w:r>
      <w:r w:rsidR="007B40C2" w:rsidRPr="00725D15">
        <w:rPr>
          <w:rFonts w:cs="Arial"/>
          <w:szCs w:val="22"/>
        </w:rPr>
        <w:t>.</w:t>
      </w:r>
      <w:r w:rsidR="00004213">
        <w:rPr>
          <w:rFonts w:cs="Arial"/>
          <w:szCs w:val="22"/>
        </w:rPr>
        <w:t xml:space="preserve"> </w:t>
      </w:r>
      <w:r w:rsidR="007B40C2" w:rsidRPr="00725D15">
        <w:rPr>
          <w:rFonts w:cs="Arial"/>
          <w:szCs w:val="22"/>
        </w:rPr>
        <w:t xml:space="preserve">Based on data from 2,623 hospice patients aged 65 years and older in the 2007 National Home and Hospice Care Survey, multiple </w:t>
      </w:r>
      <w:r w:rsidR="007B40C2">
        <w:rPr>
          <w:rFonts w:cs="Arial"/>
          <w:szCs w:val="22"/>
        </w:rPr>
        <w:t>LBM</w:t>
      </w:r>
      <w:r w:rsidR="007B40C2" w:rsidRPr="00725D15">
        <w:rPr>
          <w:rFonts w:cs="Arial"/>
          <w:szCs w:val="22"/>
        </w:rPr>
        <w:t xml:space="preserve"> classes were found to be taken frequently by patients in the last three days of life, including antihypertensives (49.2%) and anticoagulants (25.2%).</w:t>
      </w:r>
      <w:r w:rsidR="007B40C2" w:rsidRPr="00725D15">
        <w:rPr>
          <w:rFonts w:cs="Arial"/>
          <w:szCs w:val="22"/>
        </w:rPr>
        <w:fldChar w:fldCharType="begin"/>
      </w:r>
      <w:r w:rsidR="008A1035">
        <w:rPr>
          <w:rFonts w:cs="Arial"/>
          <w:szCs w:val="22"/>
        </w:rPr>
        <w:instrText xml:space="preserve"> ADDIN ZOTERO_ITEM CSL_CITATION {"citationID":"dk17s0545","properties":{"formattedCitation":"\\super 21\\nosupersub{}","plainCitation":"21","noteIndex":0},"citationItems":[{"id":351,"uris":["http://zotero.org/users/2597747/items/8326S43N"],"uri":["http://zotero.org/users/2597747/items/8326S43N"],"itemData":{"id":351,"type":"article-journal","title":"Medications That Older Adults in Hospice Care in the United States Take, 2007","container-title":"Journal of the American Geriatrics Society","page":"2282-2289","volume":"63","issue":"11","source":"Wiley Online Library","abstract":"Objectives\n\nTo describe medications that older adults in hospice with cancer, dementia, debility, heart disease, and lung disease take during the last week of life.\n\n\nDesign\n\nRetrospective cross-sectional study.\n\n\nSetting\n\nNationally representative sample of 695 U.S. hospices in the 2007 National Home and Hospice Care Survey.\n\n\nParticipants\n\nIndividuals aged 65 and older with a primary diagnosis of cancer (49%), dementia (12%), debility (14%), heart disease (16%), or lung disease (10%) who received end-of-life care during their last week of life (N = 2,623).\n\n\nMeasurements\n\nMedication data were obtained from hospice staff, who were asked, “What are the names of all the medications and drugs the patient was taking 7 days prior to and on the day of his or her death while in hospice? Please include any standing, routine, or PRN medications.”\n\n\nResults\n\nThe unweighted survey response rate was 71%. The average number of medications taken was 10.2. The most common therapeutic classes were analgesics (98%); antiemetic and antivertigo medications (78%); anxiolytics, sedatives, and hypnotics (76%); anticonvulsants (71%); and laxatives (53%). Approximately one-quarter of the individuals took proton pump inhibitors, anticoagulants, and antidepressants, and fewer than 20% took antacids and antibiotics. A smaller percentage of individuals with dementia and debility than of those with cancer took opioid analgesics. Individuals with heart disease were more likely than individuals in the other clinical cohorts to take diuretics, and those with lung disease were more likely than those in the other clinical cohorts to take bronchodilators. A higher percentage of individuals with dementia and with debility than with cancer and lung disease took antidepressants.\n\n\nConclusion\n\nPeople continue to receive disease-focused therapies at the end of life rather than therapies exclusively for palliation of symptoms, suggesting that treatments may vary according to the person's primary diagnosis.","DOI":"10.1111/jgs.13795","ISSN":"1532-5415","journalAbbreviation":"J Am Geriatr Soc","language":"en","author":[{"family":"Dwyer","given":"Lisa L."},{"family":"Lau","given":"Denys T."},{"family":"Shega","given":"Joseph W."}],"issued":{"date-parts":[["2015",11,1]]}}}],"schema":"https://github.com/citation-style-language/schema/raw/master/csl-citation.json"} </w:instrText>
      </w:r>
      <w:r w:rsidR="007B40C2" w:rsidRPr="00725D15">
        <w:rPr>
          <w:rFonts w:cs="Arial"/>
          <w:szCs w:val="22"/>
        </w:rPr>
        <w:fldChar w:fldCharType="separate"/>
      </w:r>
      <w:r w:rsidR="00B55AC2" w:rsidRPr="00B55AC2">
        <w:rPr>
          <w:rFonts w:cs="Arial"/>
          <w:szCs w:val="24"/>
          <w:vertAlign w:val="superscript"/>
        </w:rPr>
        <w:t>21</w:t>
      </w:r>
      <w:r w:rsidR="007B40C2" w:rsidRPr="00725D15">
        <w:rPr>
          <w:rFonts w:cs="Arial"/>
          <w:szCs w:val="22"/>
        </w:rPr>
        <w:fldChar w:fldCharType="end"/>
      </w:r>
      <w:r w:rsidR="007B40C2" w:rsidRPr="00725D15">
        <w:rPr>
          <w:rFonts w:cs="Arial"/>
          <w:szCs w:val="22"/>
        </w:rPr>
        <w:t xml:space="preserve"> Similar to the study by Sera et al.</w:t>
      </w:r>
      <w:r w:rsidR="007B40C2" w:rsidRPr="00725D15">
        <w:rPr>
          <w:rFonts w:cs="Arial"/>
          <w:szCs w:val="22"/>
        </w:rPr>
        <w:fldChar w:fldCharType="begin"/>
      </w:r>
      <w:r w:rsidR="008A1035">
        <w:rPr>
          <w:rFonts w:cs="Arial"/>
          <w:szCs w:val="22"/>
        </w:rPr>
        <w:instrText xml:space="preserve"> ADDIN ZOTERO_ITEM CSL_CITATION {"citationID":"g1ng74834","properties":{"formattedCitation":"\\super 23\\nosupersub{}","plainCitation":"23","noteIndex":0},"citationItems":[{"id":241,"uris":["http://zotero.org/users/2597747/items/J8JVATI3"],"uri":["http://zotero.org/users/2597747/items/J8JVATI3"],"itemData":{"id":241,"type":"article-journal","title":"Commonly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M."}],"issued":{"date-parts":[["2014",3]]}}}],"schema":"https://github.com/citation-style-language/schema/raw/master/csl-citation.json"} </w:instrText>
      </w:r>
      <w:r w:rsidR="007B40C2" w:rsidRPr="00725D15">
        <w:rPr>
          <w:rFonts w:cs="Arial"/>
          <w:szCs w:val="22"/>
        </w:rPr>
        <w:fldChar w:fldCharType="separate"/>
      </w:r>
      <w:r w:rsidR="00B55AC2" w:rsidRPr="00B55AC2">
        <w:rPr>
          <w:rFonts w:cs="Arial"/>
          <w:szCs w:val="24"/>
          <w:vertAlign w:val="superscript"/>
        </w:rPr>
        <w:t>23</w:t>
      </w:r>
      <w:r w:rsidR="007B40C2" w:rsidRPr="00725D15">
        <w:rPr>
          <w:rFonts w:cs="Arial"/>
          <w:szCs w:val="22"/>
        </w:rPr>
        <w:fldChar w:fldCharType="end"/>
      </w:r>
      <w:r w:rsidR="007B40C2" w:rsidRPr="00725D15">
        <w:rPr>
          <w:rFonts w:cs="Arial"/>
          <w:szCs w:val="22"/>
        </w:rPr>
        <w:t xml:space="preserve">, significant differences in </w:t>
      </w:r>
      <w:r w:rsidR="007B40C2">
        <w:rPr>
          <w:rFonts w:cs="Arial"/>
          <w:szCs w:val="22"/>
        </w:rPr>
        <w:t>LBM</w:t>
      </w:r>
      <w:r w:rsidR="007B40C2" w:rsidRPr="00725D15">
        <w:rPr>
          <w:rFonts w:cs="Arial"/>
          <w:szCs w:val="22"/>
        </w:rPr>
        <w:t xml:space="preserve"> prevalence were apparent according to primary admission diagnosis. In addition to an increased medication burden, </w:t>
      </w:r>
      <w:r w:rsidR="007B40C2">
        <w:rPr>
          <w:rFonts w:cs="Arial"/>
          <w:szCs w:val="22"/>
        </w:rPr>
        <w:t>LBM</w:t>
      </w:r>
      <w:r w:rsidR="007B40C2" w:rsidRPr="00725D15">
        <w:rPr>
          <w:rFonts w:cs="Arial"/>
          <w:szCs w:val="22"/>
        </w:rPr>
        <w:t xml:space="preserve"> continuation in this patient population can result in an increased risk of adverse effects and drug-drug interactions, lower adherence to symptomatic medications, and needlessly high medication costs.</w:t>
      </w:r>
      <w:r w:rsidR="007B40C2" w:rsidRPr="00725D15">
        <w:rPr>
          <w:rFonts w:cs="Arial"/>
          <w:szCs w:val="22"/>
        </w:rPr>
        <w:fldChar w:fldCharType="begin"/>
      </w:r>
      <w:r w:rsidR="00EC3644">
        <w:rPr>
          <w:rFonts w:cs="Arial"/>
          <w:szCs w:val="22"/>
        </w:rPr>
        <w:instrText xml:space="preserve"> ADDIN ZOTERO_ITEM CSL_CITATION {"citationID":"kej1tls61","properties":{"formattedCitation":"\\super 44,45,86\\uc0\\u8211{}88\\nosupersub{}","plainCitation":"44,45,86–88","noteIndex":0},"citationItems":[{"id":2196,"uris":["http://zotero.org/users/2597747/items/G45VG5AC"],"uri":["http://zotero.org/users/2597747/items/G45VG5AC"],"itemData":{"id":2196,"type":"article-journal","title":"Prescribing in Palliative Care as Death Approaches","container-title":"Journal of the American Geriatrics Society","page":"590-595","volume":"55","issue":"4","source":"CrossRef","DOI":"10.1111/j.1532-5415.2007.01124.x","ISSN":"00028614, 15325415","shortTitle":"Prescribing in Palliative Care as Death Approaches","language":"en","author":[{"family":"Currow","given":"David C."},{"family":"Stevenson","given":"James P."},{"family":"Abernethy","given":"Amy P."},{"family":"Plummer","given":"John"},{"family":"Shelby-James","given":"Tania M."}],"issued":{"date-parts":[["2007",4]]}}},{"id":958,"uris":["http://zotero.org/users/2597747/items/I7MH25J4"],"uri":["http://zotero.org/users/2597747/items/I7MH25J4"],"itemData":{"id":958,"type":"article-journal","title":"Preventive medication use among persons with limited life expectancy","container-title":"Progress in Palliative Care","page":"15-21","volume":"19","issue":"1","source":"PubMed Central","abstract":"Persons with limited life expectancy (LLE) – less than 1 year – are significant consumers of health care, are at increased risk of polypharmacy and adverse drug events, and have dynamic health statuses. Therefore, medication use among this population must be appropriate and regularly evaluated. The objective of this review is to assess the current state of knowledge and clinical practice presented in the literature regarding preventive medication use among persons with LLE. We searched Medline, Embase, and CINAHL using Medical Subject Headings. Broad searches were first conducted using the terms ‘terminal care or therapy’ or ‘advanced disease’ and ‘polypharmacy’ or ‘inappropriate medication’ or ‘preventive medicine’, followed by more specific searches using the terms ‘statins’ or ‘anti-hypertensives’ or ‘bisphosphonates’ or ‘laxatives’ and ‘terminal care’. Frameworks to assess appropriate versus inappropriate medications for persons with LLE, and the prevalence of potentially inappropriate medication use among this population, are presented. A considerable proportion of individuals with a known terminal condition continue to take chronic disease preventive medications until death despite questionable benefit. The addition of palliative preventive medications is advised. There is an indication that as death approaches the shift from a curative to palliative goal of care translates into a shift in medication use. This literature review is a first step towards improving medication use and decreasing polypharmacy in persons at the end of life. There is a need to develop consensus criteria to assess appropriate versus inappropriate medication use, specifically for individuals at the end of life.","DOI":"10.1179/174329111X576698","ISSN":"0969-9260","note":"PMID: 21731193\nPMCID: PMC3118532","journalAbbreviation":"Prog Palliat Care","author":[{"family":"Maddison","given":"André R"},{"family":"Fisher","given":"Judith"},{"family":"Johnston","given":"Grace"}],"issued":{"date-parts":[["2011",1]]}}},{"id":60,"uris":["http://zotero.org/users/2597747/items/7AMG4AKA"],"uri":["http://zotero.org/users/2597747/items/7AMG4AKA"],"itemData":{"id":60,"type":"article-journal","title":"Rational Prescribing for Patients With a Reduced Life Expectancy","container-title":"Clinical Pharmacology &amp; Therapeutics","page":"103-107","volume":"85","issue":"1","source":"Wiley Online Library","abstract":"Optimal prescribing for patients who are in late life and have multiple comorbid illnesses remains unclear despite the increasing recognition that chronic diseases should be managed differently in the setting of reduced life expectancy.1 As new diseases are diagnosed and chronic comorbidities worsen with advancing age, more and more medications are added in accordance with disease-specific clinical practice guidelines. The result is often a complex drug regimen that is difficult to manage.2 This occurs regardless of the appreciation that the ongoing benefits and risks of chronic treatments are uncertain as diseases become life-defining or life-limiting.3 Clinical Pharmacology &amp; Therapeutics (2008); 85, 1, 103–107 doi:10.1038/clpt.2008.211","DOI":"10.1038/clpt.2008.211","ISSN":"1532-6535","journalAbbreviation":"Clinical Pharmacology &amp; Therapeutics","language":"en","author":[{"family":"Holmes","given":"Hm"}],"issued":{"date-parts":[["2009",1,1]]}}},{"id":1068,"uris":["http://zotero.org/users/2597747/items/8QZ8JP9J"],"uri":["http://zotero.org/users/2597747/items/8QZ8JP9J"],"itemData":{"id":1068,"type":"article-journal","title":"Routine deprescribing of chronic medications to combat polypharmacy","container-title":"Therapeutic Advances in Drug Safety","page":"212-233","volume":"6","issue":"6","source":"PubMed Central","abstract":"The positive benefit–risk ratio of most drugs is decreasing in correlation to very old age, the extent of comorbidity, dementia, frailty and limited life expectancy (VOCODFLEX). First, we review the extent of inappropriate medication use and polypharmacy (IMUP) globally and highlight its negative medical, nursing, social and economic consequences. Second, we expose the main clinical/practical and perceptual obstacles that combine to create the negative vicious circle that eventually makes us feel frustrated and hopeless in treating VOCODFLEX in general, and in our ‘war against IMUP’ in particular. Third, we summarize the main international approaches/methods suggested and tried in different countries in an attempt to improve the ominous clinical and economic outcomes of IMUP; these include a variety of clinical, pharmacological, computer-assisted and educational programs. Lastly, we suggest a new comprehensive perception for providing good medical practice to VOCODFLEX in the 21st century. This includes new principles for research, education and clinical practice guidelines completely different from the ‘single disease model’ research and clinical rules we were raised upon and somehow ‘fanatically’ adopted in the 20th century. This new perception, based on palliative, geriatric and ethical principle, may provide fresh tools for treating VOCODFLEX in general and reducing IMUP in particular.","DOI":"10.1177/2042098615613984","ISSN":"2042-0986","note":"PMID: 26668713\nPMCID: PMC4667766","journalAbbreviation":"Ther Adv Drug Saf","author":[{"family":"Garfinkel","given":"Doron"},{"family":"Ilhan","given":"Birkan"},{"family":"Bahat","given":"Gulistan"}],"issued":{"date-parts":[["2015",12]]}}},{"id":2290,"uris":["http://zotero.org/users/2597747/items/8MCKKJBN"],"uri":["http://zotero.org/users/2597747/items/8MCKKJBN"],"itemData":{"id":2290,"type":"article-journal","title":"Reducing potentially inappropriate medications in palliative cancer patients: evidence to support deprescribing approaches","container-title":"Supportive Care in Cancer","page":"1113-1119","volume":"22","issue":"4","source":"link.springer.com","abstract":"ObjectivesCancer patients who have transitioned from curative intent chemotherapy or radiotherapy to palliative therapy have limited life expectancies. Due to this, medications for primary and secondary prevention or those with no short-term benefit are potentially inappropriate medicines in this patient group. These medications often have potentially harmful profiles, increasing the patient’s adverse drug events, pill burden, and medication costs. This review evaluates the most current evidence to assess the outcomes and potential methods used for identifying and ceasing potentially inappropriate medications (PIMs) in palliative cancer patients.MethodsA systematic review of the literature was conducted using the databases Ovid MEDLINE, PubMed, EMBASE, IPA, and CINAHL.ResultsOf the 51 articles examined in detail, three studies relating to cancer have been evaluated. In these retrospective and cross-sectional studies, the incidence of PIMs was shown in approximately 20 % of patients, although the studies were inconsistent. In addition, six studies were identified that demonstrated the evidence in other population groups; these studies have been selected to establish the evidence in large-scale retrospective studies, prospective cross-sectional studies, both demonstrating the prevalence of PIMs, as well as the outcomes of ceasing PIMs.ConclusionThere is evidence that PIMs are commonly prescribed in palliative care patients. There are no studies that have identified the impact of ceasing PIMS in this setting. Published tools and implemented strategies have focused on the elderly populations. Further research is warranted in establishing clear guidelines for the identification of PIMs in palliative cancer patients as well as interventional studies assessing the outcomes of ceasing PIMs in these patients.","DOI":"10.1007/s00520-013-2098-7","ISSN":"0941-4355, 1433-7339","shortTitle":"Reducing potentially inappropriate medications in palliative cancer patients","journalAbbreviation":"Support Care Cancer","language":"en","author":[{"family":"Lindsay","given":"Julian"},{"family":"Dooley","given":"Michael"},{"family":"Martin","given":"Jennifer"},{"family":"Fay","given":"Michael"},{"family":"Kearney","given":"Alison"},{"family":"Barras","given":"Michael"}],"issued":{"date-parts":[["2013",12,21]]}}}],"schema":"https://github.com/citation-style-language/schema/raw/master/csl-citation.json"} </w:instrText>
      </w:r>
      <w:r w:rsidR="007B40C2" w:rsidRPr="00725D15">
        <w:rPr>
          <w:rFonts w:cs="Arial"/>
          <w:szCs w:val="22"/>
        </w:rPr>
        <w:fldChar w:fldCharType="separate"/>
      </w:r>
      <w:r w:rsidR="00B55AC2" w:rsidRPr="00B55AC2">
        <w:rPr>
          <w:rFonts w:cs="Arial"/>
          <w:szCs w:val="24"/>
          <w:vertAlign w:val="superscript"/>
        </w:rPr>
        <w:t>44,45,86–88</w:t>
      </w:r>
      <w:r w:rsidR="007B40C2" w:rsidRPr="00725D15">
        <w:rPr>
          <w:rFonts w:cs="Arial"/>
          <w:szCs w:val="22"/>
        </w:rPr>
        <w:fldChar w:fldCharType="end"/>
      </w:r>
      <w:r w:rsidR="007B40C2" w:rsidRPr="00725D15">
        <w:rPr>
          <w:rFonts w:cs="Arial"/>
          <w:szCs w:val="22"/>
        </w:rPr>
        <w:t xml:space="preserve"> </w:t>
      </w:r>
    </w:p>
    <w:p w14:paraId="7D911E5E" w14:textId="77777777" w:rsidR="00C02916" w:rsidRPr="00725D15" w:rsidRDefault="00C02916" w:rsidP="00C02916">
      <w:pPr>
        <w:pStyle w:val="Style2"/>
        <w:spacing w:before="0" w:line="480" w:lineRule="auto"/>
      </w:pPr>
      <w:bookmarkStart w:id="55" w:name="_Toc506036787"/>
      <w:bookmarkStart w:id="56" w:name="_Toc507326040"/>
      <w:bookmarkStart w:id="57" w:name="_Toc506036788"/>
      <w:r w:rsidRPr="00725D15">
        <w:t>1.6 Research Gaps</w:t>
      </w:r>
      <w:bookmarkEnd w:id="55"/>
      <w:bookmarkEnd w:id="56"/>
    </w:p>
    <w:p w14:paraId="4346F203" w14:textId="094855EF" w:rsidR="00C02916" w:rsidRDefault="00C02916" w:rsidP="00C02916">
      <w:pPr>
        <w:ind w:firstLine="720"/>
        <w:rPr>
          <w:rFonts w:cs="Arial"/>
          <w:szCs w:val="22"/>
        </w:rPr>
        <w:sectPr w:rsidR="00C02916" w:rsidSect="00AB5A76">
          <w:headerReference w:type="default" r:id="rId9"/>
          <w:footerReference w:type="default" r:id="rId10"/>
          <w:type w:val="continuous"/>
          <w:pgSz w:w="12240" w:h="15840" w:code="1"/>
          <w:pgMar w:top="1440" w:right="1440" w:bottom="1440" w:left="1440" w:header="720" w:footer="432" w:gutter="0"/>
          <w:pgNumType w:start="1"/>
          <w:cols w:space="720"/>
          <w:docGrid w:linePitch="360"/>
        </w:sectPr>
      </w:pPr>
      <w:r w:rsidRPr="00725D15">
        <w:rPr>
          <w:rFonts w:cs="Arial"/>
          <w:szCs w:val="22"/>
        </w:rPr>
        <w:t xml:space="preserve">There has been increased interest in research on appropriate medication prescribing in the EOL population in recent years. Research on medication use patterns specifically in the hospice population has begun to emerge; however, it is primarily descriptive data reporting the </w:t>
      </w:r>
      <w:r w:rsidR="00AB1D3B">
        <w:rPr>
          <w:rFonts w:cs="Arial"/>
          <w:szCs w:val="22"/>
        </w:rPr>
        <w:t>most common</w:t>
      </w:r>
      <w:r w:rsidR="00E83E28">
        <w:rPr>
          <w:rFonts w:cs="Arial"/>
          <w:szCs w:val="22"/>
        </w:rPr>
        <w:t>ly</w:t>
      </w:r>
      <w:r w:rsidR="00AB1D3B">
        <w:rPr>
          <w:rFonts w:cs="Arial"/>
          <w:szCs w:val="22"/>
        </w:rPr>
        <w:t xml:space="preserve"> medications used in hospice overall (including palliative medications) or use of </w:t>
      </w:r>
      <w:r w:rsidRPr="00725D15">
        <w:rPr>
          <w:rFonts w:cs="Arial"/>
          <w:szCs w:val="22"/>
        </w:rPr>
        <w:t xml:space="preserve">a particular </w:t>
      </w:r>
      <w:r w:rsidR="00AB1D3B">
        <w:rPr>
          <w:rFonts w:cs="Arial"/>
          <w:szCs w:val="22"/>
        </w:rPr>
        <w:t>medication class</w:t>
      </w:r>
      <w:r w:rsidRPr="00725D15">
        <w:rPr>
          <w:rFonts w:cs="Arial"/>
          <w:szCs w:val="22"/>
        </w:rPr>
        <w:t>.</w:t>
      </w:r>
      <w:r w:rsidR="003A7558">
        <w:rPr>
          <w:rFonts w:cs="Arial"/>
          <w:szCs w:val="22"/>
        </w:rPr>
        <w:t xml:space="preserve"> No studies have been conducted which</w:t>
      </w:r>
      <w:r w:rsidR="00AB1D3B">
        <w:rPr>
          <w:rFonts w:cs="Arial"/>
          <w:szCs w:val="22"/>
        </w:rPr>
        <w:t xml:space="preserve"> specifically examine medication use through the Medicare Part D benefit </w:t>
      </w:r>
      <w:r w:rsidR="00E83E28">
        <w:rPr>
          <w:rFonts w:cs="Arial"/>
          <w:szCs w:val="22"/>
        </w:rPr>
        <w:t>after patients are admitted to hospice</w:t>
      </w:r>
      <w:r w:rsidR="00AB1D3B">
        <w:rPr>
          <w:rFonts w:cs="Arial"/>
          <w:szCs w:val="22"/>
        </w:rPr>
        <w:t>.</w:t>
      </w:r>
      <w:r w:rsidR="003A7558">
        <w:rPr>
          <w:rFonts w:cs="Arial"/>
          <w:szCs w:val="22"/>
        </w:rPr>
        <w:t xml:space="preserve"> </w:t>
      </w:r>
      <w:r w:rsidRPr="00725D15">
        <w:rPr>
          <w:rFonts w:cs="Arial"/>
          <w:szCs w:val="22"/>
        </w:rPr>
        <w:t xml:space="preserve"> </w:t>
      </w:r>
      <w:r w:rsidR="00AB1D3B">
        <w:rPr>
          <w:rFonts w:cs="Arial"/>
          <w:szCs w:val="22"/>
        </w:rPr>
        <w:t>Further, l</w:t>
      </w:r>
      <w:r w:rsidRPr="00725D15">
        <w:rPr>
          <w:rFonts w:cs="Arial"/>
          <w:szCs w:val="22"/>
        </w:rPr>
        <w:t xml:space="preserve">ittle data are available describing </w:t>
      </w:r>
      <w:r>
        <w:rPr>
          <w:rFonts w:cs="Arial"/>
          <w:szCs w:val="22"/>
        </w:rPr>
        <w:t>LBM</w:t>
      </w:r>
      <w:r w:rsidRPr="00725D15">
        <w:rPr>
          <w:rFonts w:cs="Arial"/>
          <w:szCs w:val="22"/>
        </w:rPr>
        <w:t xml:space="preserve"> use before admissi</w:t>
      </w:r>
      <w:r>
        <w:rPr>
          <w:rFonts w:cs="Arial"/>
          <w:szCs w:val="22"/>
        </w:rPr>
        <w:t xml:space="preserve">on to hospice and </w:t>
      </w:r>
      <w:r>
        <w:rPr>
          <w:rFonts w:cs="Arial"/>
          <w:szCs w:val="22"/>
        </w:rPr>
        <w:lastRenderedPageBreak/>
        <w:t xml:space="preserve">subsequent </w:t>
      </w:r>
      <w:r w:rsidR="00E83E28">
        <w:rPr>
          <w:rFonts w:cs="Arial"/>
          <w:szCs w:val="22"/>
        </w:rPr>
        <w:t xml:space="preserve">use and </w:t>
      </w:r>
      <w:r w:rsidRPr="00725D15">
        <w:rPr>
          <w:rFonts w:cs="Arial"/>
          <w:szCs w:val="22"/>
        </w:rPr>
        <w:t>continuation</w:t>
      </w:r>
      <w:r w:rsidR="00E83E28">
        <w:rPr>
          <w:rFonts w:cs="Arial"/>
          <w:szCs w:val="22"/>
        </w:rPr>
        <w:t xml:space="preserve"> of these medications</w:t>
      </w:r>
      <w:r w:rsidRPr="00725D15">
        <w:rPr>
          <w:rFonts w:cs="Arial"/>
          <w:szCs w:val="22"/>
        </w:rPr>
        <w:t xml:space="preserve"> after the transition to hospice care. </w:t>
      </w:r>
      <w:r w:rsidR="00E83E28">
        <w:rPr>
          <w:rFonts w:cs="Arial"/>
          <w:szCs w:val="22"/>
        </w:rPr>
        <w:t xml:space="preserve">No research has </w:t>
      </w:r>
      <w:r w:rsidRPr="00725D15">
        <w:rPr>
          <w:rFonts w:cs="Arial"/>
          <w:szCs w:val="22"/>
        </w:rPr>
        <w:t>been conducted which examine</w:t>
      </w:r>
      <w:r w:rsidR="00E83E28">
        <w:rPr>
          <w:rFonts w:cs="Arial"/>
          <w:szCs w:val="22"/>
        </w:rPr>
        <w:t>s</w:t>
      </w:r>
      <w:r w:rsidRPr="00725D15">
        <w:rPr>
          <w:rFonts w:cs="Arial"/>
          <w:szCs w:val="22"/>
        </w:rPr>
        <w:t xml:space="preserve"> the factors associated with </w:t>
      </w:r>
      <w:r>
        <w:rPr>
          <w:rFonts w:cs="Arial"/>
          <w:szCs w:val="22"/>
        </w:rPr>
        <w:t xml:space="preserve">LBM </w:t>
      </w:r>
      <w:r w:rsidRPr="00725D15">
        <w:rPr>
          <w:rFonts w:cs="Arial"/>
          <w:szCs w:val="22"/>
        </w:rPr>
        <w:t xml:space="preserve">continuation among hospice patients, such as patients’ sociodemographic characteristics and pre-hospice healthcare utilization, comorbidities, primary hospice admission diagnosis and care setting, and </w:t>
      </w:r>
      <w:r w:rsidR="00E83E28">
        <w:rPr>
          <w:rFonts w:cs="Arial"/>
          <w:szCs w:val="22"/>
        </w:rPr>
        <w:t>hospice length of stay</w:t>
      </w:r>
      <w:r w:rsidRPr="00725D15">
        <w:rPr>
          <w:rFonts w:cs="Arial"/>
          <w:szCs w:val="22"/>
        </w:rPr>
        <w:t xml:space="preserve">. It is also unknown whether healthcare transitions to non-hospice settings after hospice admission result in increased </w:t>
      </w:r>
      <w:r>
        <w:rPr>
          <w:rFonts w:cs="Arial"/>
          <w:szCs w:val="22"/>
        </w:rPr>
        <w:t>LBM</w:t>
      </w:r>
      <w:r w:rsidRPr="00725D15">
        <w:rPr>
          <w:rFonts w:cs="Arial"/>
          <w:szCs w:val="22"/>
        </w:rPr>
        <w:t xml:space="preserve"> use due to poor care coordination between hospice and non-hospice providers. Many of these factors have been shown to significantly influence treatment intensity in the EOL care setting</w:t>
      </w:r>
      <w:r w:rsidR="003810E8">
        <w:rPr>
          <w:rFonts w:cs="Arial"/>
          <w:szCs w:val="22"/>
        </w:rPr>
        <w:t>,</w:t>
      </w:r>
      <w:r w:rsidRPr="00725D15">
        <w:rPr>
          <w:rFonts w:cs="Arial"/>
          <w:szCs w:val="22"/>
        </w:rPr>
        <w:t xml:space="preserve"> and further knowledge of their association with </w:t>
      </w:r>
      <w:r>
        <w:rPr>
          <w:rFonts w:cs="Arial"/>
          <w:szCs w:val="22"/>
        </w:rPr>
        <w:t>LBM</w:t>
      </w:r>
      <w:r w:rsidRPr="00725D15">
        <w:rPr>
          <w:rFonts w:cs="Arial"/>
          <w:szCs w:val="22"/>
        </w:rPr>
        <w:t xml:space="preserve"> </w:t>
      </w:r>
      <w:r>
        <w:rPr>
          <w:rFonts w:cs="Arial"/>
          <w:szCs w:val="22"/>
        </w:rPr>
        <w:t>continuation</w:t>
      </w:r>
      <w:r w:rsidRPr="00725D15">
        <w:rPr>
          <w:rFonts w:cs="Arial"/>
          <w:szCs w:val="22"/>
        </w:rPr>
        <w:t xml:space="preserve"> in the hospice setting may aid in tailoring interventions targeted at hospice providers and patients.</w:t>
      </w:r>
      <w:r w:rsidRPr="00725D15">
        <w:rPr>
          <w:rFonts w:cs="Arial"/>
          <w:szCs w:val="22"/>
        </w:rPr>
        <w:fldChar w:fldCharType="begin"/>
      </w:r>
      <w:r w:rsidR="00EC3644">
        <w:rPr>
          <w:rFonts w:cs="Arial"/>
          <w:szCs w:val="22"/>
        </w:rPr>
        <w:instrText xml:space="preserve"> ADDIN ZOTERO_ITEM CSL_CITATION {"citationID":"tp9tvidgq","properties":{"formattedCitation":"\\super 89\\uc0\\u8211{}93\\nosupersub{}","plainCitation":"89–93","noteIndex":0},"citationItems":[{"id":1156,"uris":["http://zotero.org/users/2597747/items/E96IAW84"],"uri":["http://zotero.org/users/2597747/items/E96IAW84"],"itemData":{"id":1156,"type":"article-journal","title":"Determinants of Treatment Intensity for Patients with Serious Illness: A New Conceptual Framework","container-title":"Journal of Palliative Medicine","page":"807-813","volume":"13","issue":"7","source":"online.liebertpub.com.proxy.cc.uic.edu (Atypon)","abstract":"Background: Research during the past few decades has greatly advanced our understanding of the cost, quality, and variability of medical care at the end of life. The current health-care policy debate has focused considerable attention on the unsustainable rate of spending and wide regional variation associated with medical treatments in the last year of life. New initiatives aim to standardize quality and reduce over-utilization at the end of life. We argue, however, that focusing exclusively on medical treatment at the end of life is not likely to lead to effective health-care policy reform or reduce costs. Specifically, end-of-life policy initiatives face the challenges of political feasibility, inaccurate prognostication, and gaps in the existing literature. Objectives: With the ultimate aim of improving the quality and efficiency of care, we propose a research and policy agenda guided by a new conceptual framework of factors associated with treatment intensity for patients with serious and complicated medical illness. This model not only expands the population of interest to include all adults with serious illness, but also provides a blueprint for the thorough investigation of the diverse and interconnected determinants of treatment intensity. Conclusions: The new conceptual framework presented in this paper can be used to develop future research and policy initiatives designed to improve the quality and efficiency of care for adults with serious illness.","DOI":"10.1089/jpm.2010.0007","ISSN":"1096-6218","shortTitle":"Determinants of Treatment Intensity for Patients with Serious Illness","journalAbbreviation":"Journal of Palliative Medicine","author":[{"family":"Kelley","given":"Amy S."},{"family":"Morrison","given":"R. Sean"},{"family":"Wenger","given":"Neil S."},{"family":"Ettner","given":"Susan L."},{"family":"Sarkisian","given":"Catherine A."}],"issued":{"date-parts":[["2010",7,1]]}}},{"id":1153,"uris":["http://zotero.org/users/2597747/items/9URD7HF4"],"uri":["http://zotero.org/users/2597747/items/9URD7HF4"],"itemData":{"id":1153,"type":"article-journal","title":"Determinants of Treatment Intensity in the Last 6 Months of Life: The Importance of Patient Characteristics","container-title":"Annals of internal medicine","page":"235-242","volume":"154","issue":"4","source":"PubMed Central","abstract":"Background\nEnd-of-life medical expenditures exceed costs during other periods, vary across regions, and are likely to be unsustainable. Identifying determinants of expenditure variation may reveal opportunities for reducing costs.\n\nObjectives\nTo 1) identify patient-level determinants of Medicare expenditures at end-of-life and 2) determine these factors’ contributions to expenditure variation while accounting for regional characteristics. We hypothesized that race/ethnicity, social support and functional status are independently associated with treatment intensity, controlling for regional characteristics, and that individual characteristics account for a substantial proportion of expenditure variation.\n\nDesign\nUsing Health and Retirement Study (HRS), Medicare claims and Dartmouth Atlas of Health Care data, we modeled relationships between expenditures and patient and regional characteristics.\n\nParticipants and Setting\nHRS decedents 65.5 years or older (n=2394), 2000–2006.\n\nMeasurement\nMedicare expenditures in last 6 months of life were estimated in a series of 2-level multivariable regression models including 1) patient, 2) regional, and 3) patient and regional characteristics.\n\nResults\nDecline in function (rate ratio 1.64, 95%CI 1.46–1.83), Hispanic ethnicity (1.50, 1.22–1.85), African American race (1.43, 1.25–1.64), and certain chronic diseases including diabetes (1.16, 1.06–1.27), were associated with higher expenditures. Nearby family (0.90, 0.82–0.98) and dementia (0.78, 0.71–0.87) were associated with lower expenditures and advance care planning had no association. Regional characteristics, including end-of-life practice patterns (1.09, 1.06–1.14) and hospitals beds per capita (1.01, 1.00–1.02), were associated with higher expenditures. Patient characteristics explained 10% of overall variance and retained statistically significant relationships with expenditures after controlling for regional characteristics.\n\nLimitations\nDecedent sample, proxy informants, large proportion of variation remains unexplained.\n\nConclusions\nPatient characteristics: functional decline, race/ethnicity, chronic disease, and nearby family, are important determinants of expenditures at end-of-life, independent of regional characteristics.","DOI":"10.7326/0003-4819-154-4-201102150-00004","ISSN":"0003-4819","note":"PMID: 21320939\nPMCID: PMC4126809","shortTitle":"Determinants of Treatment Intensity in the Last 6 Months of Life","journalAbbreviation":"Ann Intern Med","author":[{"family":"Kelley","given":"Amy S."},{"family":"Ettner","given":"Susan L."},{"family":"Morrison","given":"R. Sean"},{"family":"Du","given":"Qingling"},{"family":"Wenger","given":"Neil S."},{"family":"Sarkisian","given":"Catherine A."}],"issued":{"date-parts":[["2011",2,15]]}}},{"id":1149,"uris":["http://zotero.org/users/2597747/items/ZGDX6R4X"],"uri":["http://zotero.org/users/2597747/items/ZGDX6R4X"],"itemData":{"id":1149,"type":"article-journal","title":"Trends in the Aggressiveness of Cancer Care Near the End of Life","container-title":"Journal of Clinical Oncology","page":"315-321","volume":"22","issue":"2","source":"jco.ascopubs.org.proxy.cc.uic.edu","abstract":"Purpose To characterize the aggressiveness of end-of-life cancer treatment for older adults on Medicare, and its relationship to the availability of healthcare resources.\nPatients and Methods We analyzed Medicare claims of 28,777 patients 65 years and older who died within 1 year of a diagnosis of lung, breast, colorectal, or other gastrointestinal cancer between 1993 and 1996 while living in one of 11 US regions monitored by the Surveillance, Epidemiology, and End Results Program.\nResults Rates of treatment with chemotherapy increased from 27.9% in 1993 to 29.5% in 1996 (P = .02). Among those who received chemotherapy, 15.7% were still receiving treatment within 2 weeks of death, increasing from 13.8% in 1993 to 18.5% in 1996 (P &lt; .001). From 1993 to 1996, increasing proportions of patients had more than one emergency department visit (7.2% v 9.2%; P &lt; .001), hospitalization (7.8% v 9.1%; P = .008), or were admitted to an intensive care unit (7.1% v 9.4%; P = .009) in the last month of life. Although fewer patients died in acute-care hospitals (32.9% v 29.5%; P &lt; .001) and more used hospice services (28.3% v 38.8%; P &lt; .001), an increasing proportion of patients who received hospice care initiated this service only within the last 3 days of life (14.3% v 17.0%; P = .004). Black patients were more likely than white patients to experience aggressive intervention in nonteaching hospitals but not in teaching hospitals. Greater local availability of hospices was associated with less aggressive treatment near death on multivariate analysis.\nConclusion The treatment of cancer patients near death is becoming increasingly aggressive over time.","DOI":"10.1200/JCO.2004.08.136","ISSN":"0732-183X, 1527-7755","note":"PMID: 14722041","journalAbbreviation":"JCO","language":"en","author":[{"family":"Earle","given":"Craig C."},{"family":"Neville","given":"Bridget A."},{"family":"Landrum","given":"Mary Beth"},{"family":"Ayanian","given":"John Z."},{"family":"Block","given":"Susan D."},{"family":"Weeks","given":"Jane C."}],"issued":{"date-parts":[["2004",1,15]]}}},{"id":1146,"uris":["http://zotero.org/users/2597747/items/NUBAQA97"],"uri":["http://zotero.org/users/2597747/items/NUBAQA97"],"itemData":{"id":1146,"type":"article-journal","title":"Aggressiveness of Cancer Care Near the End of Life: Is It a Quality-of-Care Issue?","container-title":"Journal of Clinical Oncology","page":"3860-3866","volume":"26","issue":"23","source":"PubMed Central","abstract":"The purpose of this article is to review the literature and update analyses pertaining to the aggressiveness of cancer care near the end of life. Specifically, we will discuss trends and factors responsible for chemotherapy overuse very near death and underutilization of hospice services. Whether the concept of overly aggressive treatment represents a quality-of-care issue that is acceptable to all involved stakeholders is an open question.","DOI":"10.1200/JCO.2007.15.8253","ISSN":"0732-183X","note":"PMID: 18688053\nPMCID: PMC2654813","shortTitle":"Aggressiveness of Cancer Care Near the End of Life","journalAbbreviation":"J Clin Oncol","author":[{"family":"Earle","given":"Craig C."},{"family":"Landrum","given":"Mary Beth"},{"family":"Souza","given":"Jeffrey M."},{"family":"Neville","given":"Bridget A."},{"family":"Weeks","given":"Jane C."},{"family":"Ayanian","given":"John Z."}],"issued":{"date-parts":[["2008",8,10]]}}},{"id":2537,"uris":["http://zotero.org/users/2597747/items/43WPRMS6"],"uri":["http://zotero.org/users/2597747/items/43WPRMS6"],"itemData":{"id":2537,"type":"article-journal","title":"Decreasing Variation in the Use of Hospice among Older Adults with Breast, Colorectal, Lung, and Prostate Cancer","container-title":"Medical Care","page":"116-122","volume":"42","issue":"2","source":"JSTOR","abstract":"Background: Utilization of hospice services has been shown to vary by place of residence and patient characteristics. Objectives. The purpose of this study was to examine whether such variation has changed over time. Hospice utilization is examined as a function of sociodemographic characteristics, geographic location, type of insurance, and year of death. Research Design: This study used a retrospective cohort design. Subjects. We used data from the linked Surveillance, Epidemiology and End Results (SEER)-Medicare database to study hospice utilization in subjects aged 67 and older diagnosed with breast, colorectal, lung, or prostate cancer from 1991 to 1996 and who died between 1991 and 1999. Results: Of the 170,136 subjects aged 67 and older who died from 1991 through 1999, 51,345 (30.2%) were enrolled in hospice before they died. Hospice utilization varied significantly by patient characteristics, including type of insurance, age, marital status, race and ethnicity, gender, urban versus rural residence, type of cancer, income level, and education level. This variation, however, decreased over time for subgroups defined by type of insurance, marital status, urban residence, and income. Variation in hospice use increased over time as a function of age and type of cancer. There was no change in variation in use in blacks compared with non-Hispanic whites over time. Conclusions: The variation in hospice use by several patient characteristics is decreasing over time, a finding consistent with the manner in which new medical technologies diffuse.","ISSN":"0025-7079","journalAbbreviation":"Medical Care","author":[{"family":"Lackan","given":"Nuha A."},{"family":"Ostir","given":"Glenn V."},{"family":"Freeman","given":"Jean L."},{"family":"Mahnken","given":"Jonathan D."},{"family":"Goodwin","given":"James S."}],"issued":{"date-parts":[["2004"]]}}}],"schema":"https://github.com/citation-style-language/schema/raw/master/csl-citation.json"}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89–93</w:t>
      </w:r>
      <w:r w:rsidRPr="00725D15">
        <w:rPr>
          <w:rFonts w:cs="Arial"/>
          <w:szCs w:val="22"/>
        </w:rPr>
        <w:fldChar w:fldCharType="end"/>
      </w:r>
      <w:r w:rsidR="003810E8">
        <w:rPr>
          <w:rFonts w:cs="Arial"/>
          <w:szCs w:val="22"/>
        </w:rPr>
        <w:t xml:space="preserve"> </w:t>
      </w:r>
    </w:p>
    <w:p w14:paraId="037315BF" w14:textId="77777777" w:rsidR="0034626A" w:rsidRPr="00725D15" w:rsidRDefault="0034626A" w:rsidP="00DF3833">
      <w:pPr>
        <w:pStyle w:val="Style2"/>
        <w:spacing w:before="0" w:line="480" w:lineRule="auto"/>
      </w:pPr>
      <w:bookmarkStart w:id="58" w:name="_Toc507326041"/>
      <w:r w:rsidRPr="00725D15">
        <w:t>1.7 Dissertation Objective</w:t>
      </w:r>
      <w:bookmarkEnd w:id="57"/>
      <w:bookmarkEnd w:id="58"/>
    </w:p>
    <w:p w14:paraId="4A0D13B9" w14:textId="77777777" w:rsidR="00034640" w:rsidRDefault="001E0543" w:rsidP="001E0543">
      <w:pPr>
        <w:ind w:firstLine="720"/>
        <w:rPr>
          <w:rFonts w:cs="Arial"/>
          <w:szCs w:val="22"/>
        </w:rPr>
      </w:pPr>
      <w:r w:rsidRPr="00725D15">
        <w:rPr>
          <w:rFonts w:cs="Arial"/>
          <w:szCs w:val="22"/>
        </w:rPr>
        <w:t xml:space="preserve">The purpose of this research </w:t>
      </w:r>
      <w:r w:rsidR="00801322">
        <w:rPr>
          <w:rFonts w:cs="Arial"/>
          <w:szCs w:val="22"/>
        </w:rPr>
        <w:t>was</w:t>
      </w:r>
      <w:r w:rsidRPr="00725D15">
        <w:rPr>
          <w:rFonts w:cs="Arial"/>
          <w:szCs w:val="22"/>
        </w:rPr>
        <w:t xml:space="preserve"> to help fill the identified gaps in the evidence by rigorously characterizing </w:t>
      </w:r>
      <w:r w:rsidR="0041297F" w:rsidRPr="00725D15">
        <w:rPr>
          <w:rFonts w:cs="Arial"/>
          <w:szCs w:val="22"/>
        </w:rPr>
        <w:t xml:space="preserve">LBM use and </w:t>
      </w:r>
      <w:r w:rsidRPr="00725D15">
        <w:rPr>
          <w:rFonts w:cs="Arial"/>
          <w:szCs w:val="22"/>
        </w:rPr>
        <w:t xml:space="preserve">continuation in a population of elderly Medicare beneficiaries who transition to hospice care. This </w:t>
      </w:r>
      <w:r w:rsidR="00801322">
        <w:rPr>
          <w:rFonts w:cs="Arial"/>
          <w:szCs w:val="22"/>
        </w:rPr>
        <w:t>was</w:t>
      </w:r>
      <w:r w:rsidRPr="00725D15">
        <w:rPr>
          <w:rFonts w:cs="Arial"/>
          <w:szCs w:val="22"/>
        </w:rPr>
        <w:t xml:space="preserve"> accomplished through a series of studies which examine</w:t>
      </w:r>
      <w:r w:rsidR="00801322">
        <w:rPr>
          <w:rFonts w:cs="Arial"/>
          <w:szCs w:val="22"/>
        </w:rPr>
        <w:t xml:space="preserve">d medication use through Medicare Part D after hospice enrollment </w:t>
      </w:r>
      <w:r w:rsidRPr="00725D15">
        <w:rPr>
          <w:rFonts w:cs="Arial"/>
          <w:szCs w:val="22"/>
        </w:rPr>
        <w:t xml:space="preserve">(Aim 1), </w:t>
      </w:r>
      <w:r w:rsidR="00801322">
        <w:rPr>
          <w:rFonts w:cs="Arial"/>
          <w:szCs w:val="22"/>
        </w:rPr>
        <w:t xml:space="preserve">the prevalence of and factors associated </w:t>
      </w:r>
      <w:r w:rsidR="003C667C">
        <w:rPr>
          <w:rFonts w:cs="Arial"/>
          <w:szCs w:val="22"/>
        </w:rPr>
        <w:t>LBM</w:t>
      </w:r>
      <w:r w:rsidRPr="00725D15">
        <w:rPr>
          <w:rFonts w:cs="Arial"/>
          <w:szCs w:val="22"/>
        </w:rPr>
        <w:t xml:space="preserve"> </w:t>
      </w:r>
      <w:r w:rsidR="003C667C">
        <w:rPr>
          <w:rFonts w:cs="Arial"/>
          <w:szCs w:val="22"/>
        </w:rPr>
        <w:t>continuation</w:t>
      </w:r>
      <w:r w:rsidRPr="00725D15">
        <w:rPr>
          <w:rFonts w:cs="Arial"/>
          <w:szCs w:val="22"/>
        </w:rPr>
        <w:t xml:space="preserve"> </w:t>
      </w:r>
      <w:r w:rsidR="006F1D5E">
        <w:rPr>
          <w:rFonts w:cs="Arial"/>
          <w:szCs w:val="22"/>
        </w:rPr>
        <w:t>in hospice patients</w:t>
      </w:r>
      <w:r w:rsidR="00801322">
        <w:rPr>
          <w:rFonts w:cs="Arial"/>
          <w:szCs w:val="22"/>
        </w:rPr>
        <w:t xml:space="preserve"> </w:t>
      </w:r>
      <w:r w:rsidRPr="00725D15">
        <w:rPr>
          <w:rFonts w:cs="Arial"/>
          <w:szCs w:val="22"/>
        </w:rPr>
        <w:t xml:space="preserve">(Aim 2), and the impact of </w:t>
      </w:r>
      <w:r w:rsidR="006F1D5E">
        <w:rPr>
          <w:rFonts w:cs="Arial"/>
          <w:szCs w:val="22"/>
        </w:rPr>
        <w:t>post-hospice admission burdensome</w:t>
      </w:r>
      <w:r w:rsidRPr="00725D15">
        <w:rPr>
          <w:rFonts w:cs="Arial"/>
          <w:szCs w:val="22"/>
        </w:rPr>
        <w:t xml:space="preserve"> health</w:t>
      </w:r>
      <w:r w:rsidR="006F1D5E">
        <w:rPr>
          <w:rFonts w:cs="Arial"/>
          <w:szCs w:val="22"/>
        </w:rPr>
        <w:t xml:space="preserve"> </w:t>
      </w:r>
      <w:r w:rsidRPr="00725D15">
        <w:rPr>
          <w:rFonts w:cs="Arial"/>
          <w:szCs w:val="22"/>
        </w:rPr>
        <w:t xml:space="preserve">care transitions and subsequent </w:t>
      </w:r>
      <w:r w:rsidR="003C667C">
        <w:rPr>
          <w:rFonts w:cs="Arial"/>
          <w:szCs w:val="22"/>
        </w:rPr>
        <w:t>LBM</w:t>
      </w:r>
      <w:r w:rsidRPr="00725D15">
        <w:rPr>
          <w:rFonts w:cs="Arial"/>
          <w:szCs w:val="22"/>
        </w:rPr>
        <w:t xml:space="preserve"> use (Aim 3). </w:t>
      </w:r>
      <w:r w:rsidR="00A56E0A">
        <w:rPr>
          <w:rFonts w:cs="Arial"/>
          <w:szCs w:val="22"/>
        </w:rPr>
        <w:t xml:space="preserve">A particular emphasis is placed on identifying differences according to primary hospice admission diagnosis, especially cancer versus non-cancer diagnoses, which are hypothesized to be present </w:t>
      </w:r>
      <w:r w:rsidR="00A56E0A">
        <w:t>due to the more rapid and predictable pattern of decline</w:t>
      </w:r>
      <w:r w:rsidR="00A56E0A" w:rsidRPr="00D0469E">
        <w:t xml:space="preserve"> </w:t>
      </w:r>
      <w:r w:rsidR="00A56E0A">
        <w:t xml:space="preserve">in hospice patients with terminal cancer compared to other non-cancer terminal illnesses; this may impact clinicians’ ability to predict survival and in turn affect health care delivery and medication treatment decisions. </w:t>
      </w:r>
      <w:r w:rsidRPr="00725D15">
        <w:rPr>
          <w:rFonts w:cs="Arial"/>
          <w:szCs w:val="22"/>
        </w:rPr>
        <w:t>The</w:t>
      </w:r>
      <w:r w:rsidR="00084D85">
        <w:rPr>
          <w:rFonts w:cs="Arial"/>
          <w:szCs w:val="22"/>
        </w:rPr>
        <w:t xml:space="preserve">se studies </w:t>
      </w:r>
      <w:r w:rsidR="006F1D5E">
        <w:rPr>
          <w:rFonts w:cs="Arial"/>
          <w:szCs w:val="22"/>
        </w:rPr>
        <w:t xml:space="preserve">are intended to help clinicians and policy makers understand the scope of LBM use </w:t>
      </w:r>
      <w:r w:rsidRPr="00725D15">
        <w:rPr>
          <w:rFonts w:cs="Arial"/>
          <w:szCs w:val="22"/>
        </w:rPr>
        <w:t>in hospice patients</w:t>
      </w:r>
      <w:r w:rsidR="00084D85">
        <w:rPr>
          <w:rFonts w:cs="Arial"/>
          <w:szCs w:val="22"/>
        </w:rPr>
        <w:t xml:space="preserve"> and</w:t>
      </w:r>
      <w:r w:rsidR="006F1D5E">
        <w:rPr>
          <w:rFonts w:cs="Arial"/>
          <w:szCs w:val="22"/>
        </w:rPr>
        <w:t xml:space="preserve"> </w:t>
      </w:r>
      <w:r w:rsidRPr="00725D15">
        <w:rPr>
          <w:rFonts w:cs="Arial"/>
          <w:szCs w:val="22"/>
        </w:rPr>
        <w:t xml:space="preserve">encourage a needed dialog among healthcare </w:t>
      </w:r>
    </w:p>
    <w:p w14:paraId="7115E8EC" w14:textId="72BA6AC2" w:rsidR="001E0543" w:rsidRPr="00725D15" w:rsidRDefault="001E0543" w:rsidP="00034640">
      <w:pPr>
        <w:rPr>
          <w:rFonts w:cs="Arial"/>
          <w:szCs w:val="22"/>
        </w:rPr>
      </w:pPr>
      <w:r w:rsidRPr="00725D15">
        <w:rPr>
          <w:rFonts w:cs="Arial"/>
          <w:szCs w:val="22"/>
        </w:rPr>
        <w:lastRenderedPageBreak/>
        <w:t>providers</w:t>
      </w:r>
      <w:r w:rsidR="00FF6D5A">
        <w:rPr>
          <w:rFonts w:cs="Arial"/>
          <w:szCs w:val="22"/>
        </w:rPr>
        <w:t>,</w:t>
      </w:r>
      <w:r w:rsidRPr="00725D15">
        <w:rPr>
          <w:rFonts w:cs="Arial"/>
          <w:szCs w:val="22"/>
        </w:rPr>
        <w:t xml:space="preserve"> </w:t>
      </w:r>
      <w:r w:rsidR="00FF6D5A">
        <w:rPr>
          <w:rFonts w:cs="Arial"/>
          <w:szCs w:val="22"/>
        </w:rPr>
        <w:t xml:space="preserve">patients, and their </w:t>
      </w:r>
      <w:r w:rsidRPr="00725D15">
        <w:rPr>
          <w:rFonts w:cs="Arial"/>
          <w:szCs w:val="22"/>
        </w:rPr>
        <w:t>families concerning medication management strategies that minimize burden without impacting quality of life</w:t>
      </w:r>
      <w:bookmarkStart w:id="59" w:name="_Toc506036789"/>
      <w:r w:rsidR="00084D85">
        <w:rPr>
          <w:rFonts w:cs="Arial"/>
          <w:szCs w:val="22"/>
        </w:rPr>
        <w:t xml:space="preserve"> at the EOL.</w:t>
      </w:r>
    </w:p>
    <w:p w14:paraId="709589D6" w14:textId="77777777" w:rsidR="0034626A" w:rsidRPr="00725D15" w:rsidRDefault="0034626A" w:rsidP="001E0543">
      <w:pPr>
        <w:pStyle w:val="Style2"/>
      </w:pPr>
      <w:bookmarkStart w:id="60" w:name="_Toc507326042"/>
      <w:r w:rsidRPr="00725D15">
        <w:t>1.8 Conceptual Framework</w:t>
      </w:r>
      <w:bookmarkEnd w:id="59"/>
      <w:bookmarkEnd w:id="60"/>
    </w:p>
    <w:p w14:paraId="128AB659" w14:textId="77777777" w:rsidR="00E4422E" w:rsidRPr="00725D15" w:rsidRDefault="00E4422E" w:rsidP="00E4422E">
      <w:pPr>
        <w:ind w:firstLine="720"/>
        <w:rPr>
          <w:rFonts w:cs="Arial"/>
          <w:szCs w:val="22"/>
        </w:rPr>
      </w:pPr>
      <w:r w:rsidRPr="00725D15">
        <w:rPr>
          <w:rFonts w:cs="Arial"/>
          <w:szCs w:val="22"/>
        </w:rPr>
        <w:t xml:space="preserve">Previously published frameworks have largely focused on the general EOL population. While informative, they may not be sufficient to describe terminally ill patients who utilize hospice services, a setting where treatment modalities and philosophy may differ substantially from the general EOL care setting. Moreover, no frameworks have been developed specifically relating to </w:t>
      </w:r>
      <w:r>
        <w:rPr>
          <w:rFonts w:cs="Arial"/>
          <w:szCs w:val="22"/>
        </w:rPr>
        <w:t>LBM</w:t>
      </w:r>
      <w:r w:rsidRPr="00725D15">
        <w:rPr>
          <w:rFonts w:cs="Arial"/>
          <w:szCs w:val="22"/>
        </w:rPr>
        <w:t xml:space="preserve"> use and </w:t>
      </w:r>
      <w:r>
        <w:rPr>
          <w:rFonts w:cs="Arial"/>
          <w:szCs w:val="22"/>
        </w:rPr>
        <w:t>continuation</w:t>
      </w:r>
      <w:r w:rsidRPr="00725D15">
        <w:rPr>
          <w:rFonts w:cs="Arial"/>
          <w:szCs w:val="22"/>
        </w:rPr>
        <w:t xml:space="preserve"> in this population.</w:t>
      </w:r>
    </w:p>
    <w:p w14:paraId="7E391D43" w14:textId="666BD07D" w:rsidR="00E4422E" w:rsidRDefault="001E0543" w:rsidP="00E22D56">
      <w:pPr>
        <w:ind w:firstLine="720"/>
        <w:rPr>
          <w:rFonts w:cs="Arial"/>
          <w:szCs w:val="22"/>
        </w:rPr>
      </w:pPr>
      <w:r w:rsidRPr="00725D15">
        <w:rPr>
          <w:rFonts w:cs="Arial"/>
          <w:szCs w:val="22"/>
        </w:rPr>
        <w:t xml:space="preserve">The conceptual framework for </w:t>
      </w:r>
      <w:r w:rsidR="00E4422E">
        <w:rPr>
          <w:rFonts w:cs="Arial"/>
          <w:szCs w:val="22"/>
        </w:rPr>
        <w:t>this dissertation</w:t>
      </w:r>
      <w:r w:rsidRPr="00725D15">
        <w:rPr>
          <w:rFonts w:cs="Arial"/>
          <w:szCs w:val="22"/>
        </w:rPr>
        <w:t xml:space="preserve"> is presented in </w:t>
      </w:r>
      <w:r w:rsidRPr="00725D15">
        <w:rPr>
          <w:rFonts w:cs="Arial"/>
          <w:b/>
          <w:szCs w:val="22"/>
        </w:rPr>
        <w:t>FIGURE 1</w:t>
      </w:r>
      <w:r w:rsidRPr="00725D15">
        <w:rPr>
          <w:rFonts w:cs="Arial"/>
          <w:szCs w:val="22"/>
        </w:rPr>
        <w:t>. The framework takes into account the underlying concepts from the model developed by Holmes and colleagues, and is based on the assumption that as the patient’s condition p</w:t>
      </w:r>
      <w:r w:rsidR="00E4422E">
        <w:rPr>
          <w:rFonts w:cs="Arial"/>
          <w:szCs w:val="22"/>
        </w:rPr>
        <w:t xml:space="preserve">rogresses to the point where he or </w:t>
      </w:r>
      <w:r w:rsidRPr="00725D15">
        <w:rPr>
          <w:rFonts w:cs="Arial"/>
          <w:szCs w:val="22"/>
        </w:rPr>
        <w:t>she elects hospice care, the pool of appropriate medications for that patient significantly decreases.</w:t>
      </w:r>
      <w:r w:rsidRPr="00725D15">
        <w:rPr>
          <w:rFonts w:cs="Arial"/>
          <w:szCs w:val="22"/>
        </w:rPr>
        <w:fldChar w:fldCharType="begin"/>
      </w:r>
      <w:r w:rsidR="00434675">
        <w:rPr>
          <w:rFonts w:cs="Arial"/>
          <w:szCs w:val="22"/>
        </w:rPr>
        <w:instrText xml:space="preserve"> ADDIN ZOTERO_ITEM CSL_CITATION {"citationID":"16l962ml09","properties":{"formattedCitation":"\\super 49\\nosupersub{}","plainCitation":"49","noteIndex":0},"citationItems":[{"id":212,"uris":["http://zotero.org/users/2597747/items/HGWGX7CP"],"uri":["http://zotero.org/users/2597747/items/HGWGX7CP"],"itemData":{"id":212,"type":"article-journal","title":"Reconsidering medication appropriateness for patients late in life","container-title":"Archives of Internal Medicine","page":"605-609","volume":"166","issue":"6","source":"Silverchair","abstract":"Providing guideline-adherent care for many medical conditions increasingly means the addition of more medications to reach disease-specific targets.1 When might it be best to withhold or discontinue medications that are otherwise appropriate on the basis of guidelines? Receiving facsimiles from the pharmacy serving a local nursing home encouraging us to prescribe statins for residents there symbolizes the issues. Most of these patients had a limited life expectancy, were older than 90 years, or had advanced dementia. Similar situations occur in patients with functional impairments, frailty, or diseases like emphysema, congestive heart failure, or coronary artery disease in their advanced stages, for whom starting or continuing many recommended drugs does not seem the best way to optimize care.","DOI":"10.1001/archinte.166.6.605","ISSN":"0003-9926","journalAbbreviation":"Arch Intern Med","author":[{"literal":"Holmes HM"},{"literal":"Hayley D"},{"literal":"Alexander G"},{"literal":"Sachs GA"}],"issued":{"date-parts":[["2006",3,27]]}}}],"schema":"https://github.com/citation-style-language/schema/raw/master/csl-citation.json"}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49</w:t>
      </w:r>
      <w:r w:rsidRPr="00725D15">
        <w:rPr>
          <w:rFonts w:cs="Arial"/>
          <w:szCs w:val="22"/>
        </w:rPr>
        <w:fldChar w:fldCharType="end"/>
      </w:r>
      <w:r w:rsidRPr="00725D15">
        <w:rPr>
          <w:rFonts w:cs="Arial"/>
          <w:szCs w:val="22"/>
        </w:rPr>
        <w:t xml:space="preserve"> The proposed conceptual framework also incorporates elements from a previously published framework by Kelley and colleagues for factors affecting treatment intensity in patients with serious illness.</w:t>
      </w:r>
      <w:r w:rsidRPr="00725D15">
        <w:rPr>
          <w:rFonts w:cs="Arial"/>
          <w:szCs w:val="22"/>
        </w:rPr>
        <w:fldChar w:fldCharType="begin"/>
      </w:r>
      <w:r w:rsidR="00EC3644">
        <w:rPr>
          <w:rFonts w:cs="Arial"/>
          <w:szCs w:val="22"/>
        </w:rPr>
        <w:instrText xml:space="preserve"> ADDIN ZOTERO_ITEM CSL_CITATION {"citationID":"q14thatje","properties":{"formattedCitation":"\\super 89\\nosupersub{}","plainCitation":"89","noteIndex":0},"citationItems":[{"id":1156,"uris":["http://zotero.org/users/2597747/items/E96IAW84"],"uri":["http://zotero.org/users/2597747/items/E96IAW84"],"itemData":{"id":1156,"type":"article-journal","title":"Determinants of Treatment Intensity for Patients with Serious Illness: A New Conceptual Framework","container-title":"Journal of Palliative Medicine","page":"807-813","volume":"13","issue":"7","source":"online.liebertpub.com.proxy.cc.uic.edu (Atypon)","abstract":"Background: Research during the past few decades has greatly advanced our understanding of the cost, quality, and variability of medical care at the end of life. The current health-care policy debate has focused considerable attention on the unsustainable rate of spending and wide regional variation associated with medical treatments in the last year of life. New initiatives aim to standardize quality and reduce over-utilization at the end of life. We argue, however, that focusing exclusively on medical treatment at the end of life is not likely to lead to effective health-care policy reform or reduce costs. Specifically, end-of-life policy initiatives face the challenges of political feasibility, inaccurate prognostication, and gaps in the existing literature. Objectives: With the ultimate aim of improving the quality and efficiency of care, we propose a research and policy agenda guided by a new conceptual framework of factors associated with treatment intensity for patients with serious and complicated medical illness. This model not only expands the population of interest to include all adults with serious illness, but also provides a blueprint for the thorough investigation of the diverse and interconnected determinants of treatment intensity. Conclusions: The new conceptual framework presented in this paper can be used to develop future research and policy initiatives designed to improve the quality and efficiency of care for adults with serious illness.","DOI":"10.1089/jpm.2010.0007","ISSN":"1096-6218","shortTitle":"Determinants of Treatment Intensity for Patients with Serious Illness","journalAbbreviation":"Journal of Palliative Medicine","author":[{"family":"Kelley","given":"Amy S."},{"family":"Morrison","given":"R. Sean"},{"family":"Wenger","given":"Neil S."},{"family":"Ettner","given":"Susan L."},{"family":"Sarkisian","given":"Catherine A."}],"issued":{"date-parts":[["2010",7,1]]}}}],"schema":"https://github.com/citation-style-language/schema/raw/master/csl-citation.json"}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89</w:t>
      </w:r>
      <w:r w:rsidRPr="00725D15">
        <w:rPr>
          <w:rFonts w:cs="Arial"/>
          <w:szCs w:val="22"/>
        </w:rPr>
        <w:fldChar w:fldCharType="end"/>
      </w:r>
      <w:r w:rsidRPr="00725D15">
        <w:rPr>
          <w:rFonts w:cs="Arial"/>
          <w:szCs w:val="22"/>
        </w:rPr>
        <w:t xml:space="preserve"> T</w:t>
      </w:r>
      <w:r w:rsidR="006C3829">
        <w:rPr>
          <w:rFonts w:cs="Arial"/>
          <w:szCs w:val="22"/>
        </w:rPr>
        <w:t>he Kelley</w:t>
      </w:r>
      <w:r w:rsidRPr="00725D15">
        <w:rPr>
          <w:rFonts w:cs="Arial"/>
          <w:szCs w:val="22"/>
        </w:rPr>
        <w:t xml:space="preserve"> framework separates predictors of treatment intensity into patient &amp; family determinants and region &amp; physician determinants. The patient and family factors are centered on financial access to care and treatment preferences while the region and physician factors focus on practice patterns and regional supply of resources. </w:t>
      </w:r>
    </w:p>
    <w:p w14:paraId="2CF19AB5" w14:textId="1382F44E" w:rsidR="00E22D56" w:rsidRDefault="00E22D56" w:rsidP="00E22D56">
      <w:pPr>
        <w:ind w:firstLine="720"/>
        <w:rPr>
          <w:rFonts w:cs="Arial"/>
          <w:szCs w:val="22"/>
        </w:rPr>
      </w:pPr>
      <w:r w:rsidRPr="00725D15">
        <w:rPr>
          <w:rFonts w:cs="Arial"/>
          <w:szCs w:val="22"/>
        </w:rPr>
        <w:t xml:space="preserve">As depicted in the left section of </w:t>
      </w:r>
      <w:r>
        <w:rPr>
          <w:rFonts w:cs="Arial"/>
          <w:b/>
          <w:szCs w:val="22"/>
        </w:rPr>
        <w:t>FIGURE 1</w:t>
      </w:r>
      <w:r w:rsidRPr="00725D15">
        <w:rPr>
          <w:rFonts w:cs="Arial"/>
          <w:szCs w:val="22"/>
        </w:rPr>
        <w:t xml:space="preserve">, the </w:t>
      </w:r>
      <w:r>
        <w:rPr>
          <w:rFonts w:cs="Arial"/>
          <w:szCs w:val="22"/>
        </w:rPr>
        <w:t xml:space="preserve">proposed process leading to LBM </w:t>
      </w:r>
      <w:r w:rsidRPr="00725D15">
        <w:rPr>
          <w:rFonts w:cs="Arial"/>
          <w:szCs w:val="22"/>
        </w:rPr>
        <w:t xml:space="preserve">continuation in the hospice setting begins when patients are diagnosed with a terminal illness which progresses to the point that they elect hospice care. Especially in the elderly population, these patients often have multiple chronic comorbid conditions and are using multiple medications to prevent long-term disease complications. By its nature, the election of hospice </w:t>
      </w:r>
      <w:r w:rsidRPr="00725D15">
        <w:rPr>
          <w:rFonts w:cs="Arial"/>
          <w:szCs w:val="22"/>
        </w:rPr>
        <w:lastRenderedPageBreak/>
        <w:t xml:space="preserve">signals a change in treatment philosophy and goals of care, and thus many of the medications used to treat chronic conditions pre-hospice admission may no longer provide a patient benefit and would therefore be considered </w:t>
      </w:r>
      <w:r>
        <w:rPr>
          <w:rFonts w:cs="Arial"/>
          <w:szCs w:val="22"/>
        </w:rPr>
        <w:t>LBM</w:t>
      </w:r>
      <w:r w:rsidRPr="00725D15">
        <w:rPr>
          <w:rFonts w:cs="Arial"/>
          <w:szCs w:val="22"/>
        </w:rPr>
        <w:t>s. Aim 1 of th</w:t>
      </w:r>
      <w:r>
        <w:rPr>
          <w:rFonts w:cs="Arial"/>
          <w:szCs w:val="22"/>
        </w:rPr>
        <w:t>is research was to b</w:t>
      </w:r>
      <w:r w:rsidRPr="00E204C2">
        <w:rPr>
          <w:rFonts w:cs="Arial"/>
          <w:szCs w:val="22"/>
        </w:rPr>
        <w:t xml:space="preserve">roadly describe medication use through Medicare Part D after admission to hospice, with a focus on </w:t>
      </w:r>
      <w:r>
        <w:rPr>
          <w:rFonts w:cs="Arial"/>
          <w:szCs w:val="22"/>
        </w:rPr>
        <w:t xml:space="preserve">use of </w:t>
      </w:r>
      <w:r w:rsidRPr="00E204C2">
        <w:rPr>
          <w:rFonts w:cs="Arial"/>
          <w:szCs w:val="22"/>
        </w:rPr>
        <w:t>LBMs</w:t>
      </w:r>
      <w:r>
        <w:rPr>
          <w:rFonts w:cs="Arial"/>
          <w:szCs w:val="22"/>
        </w:rPr>
        <w:t xml:space="preserve"> and differences in medication use by primary hospice admission diagnosis.</w:t>
      </w:r>
    </w:p>
    <w:p w14:paraId="41CB99C2" w14:textId="311DF44B" w:rsidR="00E22D56" w:rsidRDefault="00E22D56" w:rsidP="00A56E0A">
      <w:pPr>
        <w:ind w:firstLine="720"/>
        <w:rPr>
          <w:rFonts w:cs="Arial"/>
          <w:szCs w:val="22"/>
        </w:rPr>
      </w:pPr>
      <w:r w:rsidRPr="00725D15">
        <w:rPr>
          <w:rFonts w:cs="Arial"/>
          <w:szCs w:val="22"/>
        </w:rPr>
        <w:t xml:space="preserve">A number of patient and clinical factors are anticipated to impact the magnitude of </w:t>
      </w:r>
      <w:r>
        <w:rPr>
          <w:rFonts w:cs="Arial"/>
          <w:szCs w:val="22"/>
        </w:rPr>
        <w:t>LBM</w:t>
      </w:r>
      <w:r w:rsidRPr="00725D15">
        <w:rPr>
          <w:rFonts w:cs="Arial"/>
          <w:szCs w:val="22"/>
        </w:rPr>
        <w:t xml:space="preserve"> use </w:t>
      </w:r>
      <w:r>
        <w:rPr>
          <w:rFonts w:cs="Arial"/>
          <w:szCs w:val="22"/>
        </w:rPr>
        <w:t xml:space="preserve">and continuation </w:t>
      </w:r>
      <w:r w:rsidRPr="00725D15">
        <w:rPr>
          <w:rFonts w:cs="Arial"/>
          <w:szCs w:val="22"/>
        </w:rPr>
        <w:t>in the hospice setting. These are depicted along the path between “Terminal Illness” and “</w:t>
      </w:r>
      <w:r>
        <w:rPr>
          <w:rFonts w:cs="Arial"/>
          <w:szCs w:val="22"/>
        </w:rPr>
        <w:t>LBM</w:t>
      </w:r>
      <w:r w:rsidRPr="00725D15">
        <w:rPr>
          <w:rFonts w:cs="Arial"/>
          <w:szCs w:val="22"/>
        </w:rPr>
        <w:t xml:space="preserve"> Continuation” in </w:t>
      </w:r>
      <w:r>
        <w:rPr>
          <w:rFonts w:cs="Arial"/>
          <w:b/>
          <w:szCs w:val="22"/>
        </w:rPr>
        <w:t>FIGURE 1</w:t>
      </w:r>
      <w:r w:rsidRPr="00725D15">
        <w:rPr>
          <w:rFonts w:cs="Arial"/>
          <w:szCs w:val="22"/>
        </w:rPr>
        <w:t xml:space="preserve"> and form the basis of Aim 2. Specifically, </w:t>
      </w:r>
      <w:r>
        <w:rPr>
          <w:rFonts w:cs="Arial"/>
          <w:szCs w:val="22"/>
        </w:rPr>
        <w:t>this was a cohort study which d</w:t>
      </w:r>
      <w:r w:rsidRPr="00E204C2">
        <w:rPr>
          <w:rFonts w:cs="Arial"/>
          <w:szCs w:val="22"/>
        </w:rPr>
        <w:t>escribe</w:t>
      </w:r>
      <w:r>
        <w:rPr>
          <w:rFonts w:cs="Arial"/>
          <w:szCs w:val="22"/>
        </w:rPr>
        <w:t>d the</w:t>
      </w:r>
      <w:r w:rsidRPr="00E204C2">
        <w:rPr>
          <w:rFonts w:cs="Arial"/>
          <w:szCs w:val="22"/>
        </w:rPr>
        <w:t xml:space="preserve"> prevalence of LBM continuation after hospice admission and evaluate</w:t>
      </w:r>
      <w:r>
        <w:rPr>
          <w:rFonts w:cs="Arial"/>
          <w:szCs w:val="22"/>
        </w:rPr>
        <w:t>d</w:t>
      </w:r>
      <w:r w:rsidRPr="00E204C2">
        <w:rPr>
          <w:rFonts w:cs="Arial"/>
          <w:szCs w:val="22"/>
        </w:rPr>
        <w:t xml:space="preserve"> factors associated with LBM continuation</w:t>
      </w:r>
      <w:r>
        <w:rPr>
          <w:rFonts w:cs="Arial"/>
          <w:szCs w:val="22"/>
        </w:rPr>
        <w:t xml:space="preserve"> </w:t>
      </w:r>
      <w:r w:rsidR="00A56E0A">
        <w:rPr>
          <w:rFonts w:cs="Arial"/>
          <w:szCs w:val="22"/>
        </w:rPr>
        <w:t xml:space="preserve">such as </w:t>
      </w:r>
      <w:r w:rsidRPr="00725D15">
        <w:rPr>
          <w:rFonts w:cs="Arial"/>
          <w:szCs w:val="22"/>
        </w:rPr>
        <w:t>sociodemographic characteristics, hospice admission diagnosis, hospice care setting, comorbidities, and pre-hospice healthcare utilization intensity.</w:t>
      </w:r>
    </w:p>
    <w:p w14:paraId="2AD7830F" w14:textId="77777777" w:rsidR="00C41A45" w:rsidRDefault="00C41A45" w:rsidP="00C41A45">
      <w:pPr>
        <w:ind w:firstLine="720"/>
        <w:rPr>
          <w:rFonts w:cs="Arial"/>
          <w:szCs w:val="22"/>
        </w:rPr>
      </w:pPr>
      <w:r w:rsidRPr="00725D15">
        <w:rPr>
          <w:rFonts w:cs="Arial"/>
          <w:szCs w:val="22"/>
        </w:rPr>
        <w:t xml:space="preserve">In the general patient population, </w:t>
      </w:r>
      <w:r>
        <w:rPr>
          <w:rFonts w:cs="Arial"/>
          <w:szCs w:val="22"/>
        </w:rPr>
        <w:t>health c</w:t>
      </w:r>
      <w:r w:rsidRPr="00725D15">
        <w:rPr>
          <w:rFonts w:cs="Arial"/>
          <w:szCs w:val="22"/>
        </w:rPr>
        <w:t xml:space="preserve">are fragmentation is known to result in an increased risk of medication-related errors due to generally poor medication reconciliation and documentation practices. This may be amplified in hospice patients due to the fact that medication regimens frequently change after admission to hospice. </w:t>
      </w:r>
      <w:r>
        <w:rPr>
          <w:rFonts w:cs="Arial"/>
          <w:szCs w:val="22"/>
        </w:rPr>
        <w:t>Further, t</w:t>
      </w:r>
      <w:r w:rsidRPr="00725D15">
        <w:rPr>
          <w:rFonts w:cs="Arial"/>
          <w:szCs w:val="22"/>
        </w:rPr>
        <w:t xml:space="preserve">here may be poor communication between hospice and non-hospice providers. </w:t>
      </w:r>
      <w:r>
        <w:rPr>
          <w:rFonts w:cs="Arial"/>
          <w:szCs w:val="22"/>
        </w:rPr>
        <w:t>The objective of a</w:t>
      </w:r>
      <w:r w:rsidRPr="00725D15">
        <w:rPr>
          <w:rFonts w:cs="Arial"/>
          <w:szCs w:val="22"/>
        </w:rPr>
        <w:t xml:space="preserve">im 3 </w:t>
      </w:r>
      <w:r>
        <w:rPr>
          <w:rFonts w:cs="Arial"/>
          <w:szCs w:val="22"/>
        </w:rPr>
        <w:t>of this dissertation was to estimate the a</w:t>
      </w:r>
      <w:r w:rsidRPr="00E204C2">
        <w:rPr>
          <w:rFonts w:cs="Arial"/>
          <w:szCs w:val="22"/>
        </w:rPr>
        <w:t>ssociation between burdensome health care transitions and subsequent LBM use</w:t>
      </w:r>
      <w:r>
        <w:rPr>
          <w:rFonts w:cs="Arial"/>
          <w:szCs w:val="22"/>
        </w:rPr>
        <w:t xml:space="preserve"> after hospice enrollment.</w:t>
      </w:r>
    </w:p>
    <w:p w14:paraId="19674BE6" w14:textId="77777777" w:rsidR="00C41A45" w:rsidRDefault="00C41A45" w:rsidP="00FC6AAA">
      <w:pPr>
        <w:ind w:firstLine="720"/>
        <w:rPr>
          <w:rFonts w:cs="Arial"/>
          <w:szCs w:val="22"/>
        </w:rPr>
        <w:sectPr w:rsidR="00C41A45" w:rsidSect="00E4422E">
          <w:footerReference w:type="default" r:id="rId11"/>
          <w:type w:val="continuous"/>
          <w:pgSz w:w="12240" w:h="15840" w:code="1"/>
          <w:pgMar w:top="1440" w:right="1440" w:bottom="1440" w:left="1440" w:header="720" w:footer="432" w:gutter="0"/>
          <w:cols w:space="720"/>
          <w:docGrid w:linePitch="360"/>
        </w:sectPr>
      </w:pPr>
    </w:p>
    <w:p w14:paraId="48A6D3F8" w14:textId="3BF94548" w:rsidR="00F446F9" w:rsidRDefault="00866745" w:rsidP="00866745">
      <w:pPr>
        <w:ind w:firstLine="720"/>
        <w:rPr>
          <w:rFonts w:cs="Arial"/>
          <w:szCs w:val="22"/>
        </w:rPr>
      </w:pPr>
      <w:r>
        <w:rPr>
          <w:noProof/>
        </w:rPr>
        <w:lastRenderedPageBreak/>
        <w:drawing>
          <wp:inline distT="0" distB="0" distL="0" distR="0" wp14:anchorId="79692517" wp14:editId="2D5711E9">
            <wp:extent cx="7826428" cy="3457880"/>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42852" cy="3465137"/>
                    </a:xfrm>
                    <a:prstGeom prst="rect">
                      <a:avLst/>
                    </a:prstGeom>
                  </pic:spPr>
                </pic:pic>
              </a:graphicData>
            </a:graphic>
          </wp:inline>
        </w:drawing>
      </w:r>
    </w:p>
    <w:p w14:paraId="6525F973" w14:textId="26230F98" w:rsidR="00FC6AAA" w:rsidRPr="00B609D9" w:rsidRDefault="00FC6AAA" w:rsidP="007D6B74">
      <w:pPr>
        <w:pStyle w:val="Caption"/>
        <w:jc w:val="left"/>
        <w:rPr>
          <w:rFonts w:cs="Arial"/>
          <w:szCs w:val="22"/>
        </w:rPr>
      </w:pPr>
      <w:bookmarkStart w:id="61" w:name="_Toc506108611"/>
      <w:bookmarkStart w:id="62" w:name="_Toc507332048"/>
      <w:r w:rsidRPr="00B609D9">
        <w:rPr>
          <w:rFonts w:cs="Arial"/>
          <w:b/>
          <w:szCs w:val="22"/>
        </w:rPr>
        <w:t xml:space="preserve">FIGURE </w:t>
      </w:r>
      <w:r w:rsidRPr="00B609D9">
        <w:rPr>
          <w:rFonts w:cs="Arial"/>
          <w:b/>
          <w:szCs w:val="22"/>
        </w:rPr>
        <w:fldChar w:fldCharType="begin"/>
      </w:r>
      <w:r w:rsidRPr="00B609D9">
        <w:rPr>
          <w:rFonts w:cs="Arial"/>
          <w:b/>
          <w:szCs w:val="22"/>
        </w:rPr>
        <w:instrText xml:space="preserve"> SEQ Figure \* ARABIC </w:instrText>
      </w:r>
      <w:r w:rsidRPr="00B609D9">
        <w:rPr>
          <w:rFonts w:cs="Arial"/>
          <w:b/>
          <w:szCs w:val="22"/>
        </w:rPr>
        <w:fldChar w:fldCharType="separate"/>
      </w:r>
      <w:r w:rsidR="00AE2269">
        <w:rPr>
          <w:rFonts w:cs="Arial"/>
          <w:b/>
          <w:noProof/>
          <w:szCs w:val="22"/>
        </w:rPr>
        <w:t>1</w:t>
      </w:r>
      <w:r w:rsidRPr="00B609D9">
        <w:rPr>
          <w:rFonts w:cs="Arial"/>
          <w:b/>
          <w:szCs w:val="22"/>
        </w:rPr>
        <w:fldChar w:fldCharType="end"/>
      </w:r>
      <w:r w:rsidRPr="00B609D9">
        <w:rPr>
          <w:rFonts w:cs="Arial"/>
          <w:b/>
          <w:szCs w:val="22"/>
        </w:rPr>
        <w:t>.</w:t>
      </w:r>
      <w:r w:rsidRPr="00AE2269">
        <w:rPr>
          <w:rFonts w:cs="Arial"/>
          <w:caps w:val="0"/>
          <w:szCs w:val="22"/>
        </w:rPr>
        <w:t xml:space="preserve"> </w:t>
      </w:r>
      <w:bookmarkEnd w:id="61"/>
      <w:r w:rsidR="007D6B74" w:rsidRPr="00AE2269">
        <w:rPr>
          <w:caps w:val="0"/>
        </w:rPr>
        <w:t>Conceptual framework for LBM use in patients receiving hospice care</w:t>
      </w:r>
      <w:bookmarkEnd w:id="62"/>
    </w:p>
    <w:p w14:paraId="1AF15B62" w14:textId="77777777" w:rsidR="00F446F9" w:rsidRDefault="00F446F9" w:rsidP="00FC6AAA">
      <w:pPr>
        <w:ind w:firstLine="720"/>
        <w:rPr>
          <w:rFonts w:cs="Arial"/>
          <w:szCs w:val="22"/>
        </w:rPr>
        <w:sectPr w:rsidR="00F446F9" w:rsidSect="00866745">
          <w:headerReference w:type="default" r:id="rId13"/>
          <w:pgSz w:w="15840" w:h="12240" w:orient="landscape" w:code="1"/>
          <w:pgMar w:top="1440" w:right="1440" w:bottom="1440" w:left="1440" w:header="720" w:footer="432" w:gutter="0"/>
          <w:cols w:space="720"/>
          <w:docGrid w:linePitch="360"/>
        </w:sectPr>
      </w:pPr>
    </w:p>
    <w:p w14:paraId="35B98E0D" w14:textId="77777777" w:rsidR="0034626A" w:rsidRPr="00725D15" w:rsidRDefault="0034626A" w:rsidP="00C41A45">
      <w:pPr>
        <w:pStyle w:val="Style1"/>
        <w:spacing w:before="0" w:line="480" w:lineRule="auto"/>
        <w:jc w:val="center"/>
      </w:pPr>
      <w:bookmarkStart w:id="63" w:name="_Toc506036790"/>
      <w:bookmarkStart w:id="64" w:name="_Toc507326043"/>
      <w:r w:rsidRPr="00725D15">
        <w:lastRenderedPageBreak/>
        <w:t xml:space="preserve">II. </w:t>
      </w:r>
      <w:r w:rsidR="00B856C9" w:rsidRPr="00725D15">
        <w:t>MEDICARE PART D USE AMONG OLDER MEDICARE BENEFICIARIES ADMITTED TO HOSPICE</w:t>
      </w:r>
      <w:bookmarkEnd w:id="63"/>
      <w:bookmarkEnd w:id="64"/>
    </w:p>
    <w:p w14:paraId="2A8B6A22" w14:textId="77777777" w:rsidR="00B856C9" w:rsidRPr="00725D15" w:rsidRDefault="00B856C9" w:rsidP="00DF3833">
      <w:pPr>
        <w:pStyle w:val="Style2"/>
        <w:spacing w:before="0" w:line="480" w:lineRule="auto"/>
      </w:pPr>
      <w:bookmarkStart w:id="65" w:name="_Toc506036791"/>
      <w:bookmarkStart w:id="66" w:name="_Toc507326044"/>
      <w:r w:rsidRPr="00725D15">
        <w:t>2.1 Preface</w:t>
      </w:r>
      <w:bookmarkEnd w:id="65"/>
      <w:bookmarkEnd w:id="66"/>
    </w:p>
    <w:p w14:paraId="2F60563B" w14:textId="689A67DD" w:rsidR="006473EB" w:rsidRPr="00E504E0" w:rsidRDefault="00E504E0" w:rsidP="00E504E0">
      <w:pPr>
        <w:pStyle w:val="HTMLPreformatted"/>
        <w:spacing w:line="480" w:lineRule="auto"/>
        <w:rPr>
          <w:rFonts w:ascii="Arial" w:hAnsi="Arial" w:cs="Arial"/>
          <w:color w:val="000000"/>
          <w:sz w:val="22"/>
          <w:szCs w:val="22"/>
        </w:rPr>
      </w:pPr>
      <w:r>
        <w:rPr>
          <w:rFonts w:ascii="Arial" w:hAnsi="Arial" w:cs="Arial"/>
          <w:sz w:val="22"/>
          <w:szCs w:val="22"/>
        </w:rPr>
        <w:tab/>
      </w:r>
      <w:r w:rsidR="002E7544" w:rsidRPr="00E504E0">
        <w:rPr>
          <w:rFonts w:ascii="Arial" w:hAnsi="Arial" w:cs="Arial"/>
          <w:sz w:val="22"/>
          <w:szCs w:val="22"/>
        </w:rPr>
        <w:t>This</w:t>
      </w:r>
      <w:r w:rsidR="00D739E7" w:rsidRPr="00E504E0">
        <w:rPr>
          <w:rFonts w:ascii="Arial" w:hAnsi="Arial" w:cs="Arial"/>
          <w:sz w:val="22"/>
          <w:szCs w:val="22"/>
        </w:rPr>
        <w:t xml:space="preserve"> chapter addresses Aim 1 of the</w:t>
      </w:r>
      <w:r w:rsidR="002E7544" w:rsidRPr="00E504E0">
        <w:rPr>
          <w:rFonts w:ascii="Arial" w:hAnsi="Arial" w:cs="Arial"/>
          <w:sz w:val="22"/>
          <w:szCs w:val="22"/>
        </w:rPr>
        <w:t xml:space="preserve"> dissertation</w:t>
      </w:r>
      <w:r w:rsidR="006303D2">
        <w:rPr>
          <w:rFonts w:ascii="Arial" w:hAnsi="Arial" w:cs="Arial"/>
          <w:sz w:val="22"/>
          <w:szCs w:val="22"/>
        </w:rPr>
        <w:t xml:space="preserve"> and </w:t>
      </w:r>
      <w:r w:rsidR="00C153AF" w:rsidRPr="00E504E0">
        <w:rPr>
          <w:rFonts w:ascii="Arial" w:hAnsi="Arial" w:cs="Arial"/>
          <w:sz w:val="22"/>
          <w:szCs w:val="22"/>
        </w:rPr>
        <w:t xml:space="preserve">has been published online (ahead of print) in the </w:t>
      </w:r>
      <w:r w:rsidR="006473EB" w:rsidRPr="00E504E0">
        <w:rPr>
          <w:rFonts w:ascii="Arial" w:hAnsi="Arial" w:cs="Arial"/>
          <w:i/>
          <w:sz w:val="22"/>
          <w:szCs w:val="22"/>
        </w:rPr>
        <w:t>Journal of the American Geriatrics Society</w:t>
      </w:r>
      <w:r w:rsidR="006473EB" w:rsidRPr="00E504E0">
        <w:rPr>
          <w:rFonts w:ascii="Arial" w:hAnsi="Arial" w:cs="Arial"/>
          <w:sz w:val="22"/>
          <w:szCs w:val="22"/>
        </w:rPr>
        <w:t xml:space="preserve"> as</w:t>
      </w:r>
      <w:r w:rsidRPr="00E504E0">
        <w:rPr>
          <w:rFonts w:ascii="Arial" w:hAnsi="Arial" w:cs="Arial"/>
          <w:sz w:val="22"/>
          <w:szCs w:val="22"/>
        </w:rPr>
        <w:t xml:space="preserve">: </w:t>
      </w:r>
      <w:r w:rsidRPr="00E504E0">
        <w:rPr>
          <w:rFonts w:ascii="Arial" w:hAnsi="Arial" w:cs="Arial"/>
          <w:color w:val="000000"/>
          <w:sz w:val="22"/>
          <w:szCs w:val="22"/>
        </w:rPr>
        <w:t>Zueger PM, Holmes HM, Calip GS, Qato DM, Pickard AS, Lee TA. Medicare Part D</w:t>
      </w:r>
      <w:r>
        <w:rPr>
          <w:rFonts w:ascii="Arial" w:hAnsi="Arial" w:cs="Arial"/>
          <w:color w:val="000000"/>
          <w:sz w:val="22"/>
          <w:szCs w:val="22"/>
        </w:rPr>
        <w:t xml:space="preserve"> </w:t>
      </w:r>
      <w:r w:rsidRPr="00E504E0">
        <w:rPr>
          <w:rFonts w:ascii="Arial" w:hAnsi="Arial" w:cs="Arial"/>
          <w:color w:val="000000"/>
          <w:sz w:val="22"/>
          <w:szCs w:val="22"/>
        </w:rPr>
        <w:t xml:space="preserve">Use of Older Medicare Beneficiaries Admitted to Hospice. J Am Geriatr Soc. 2018 Mar 6. </w:t>
      </w:r>
      <w:r w:rsidRPr="00E504E0">
        <w:rPr>
          <w:rFonts w:ascii="Arial" w:hAnsi="Arial" w:cs="Arial"/>
          <w:sz w:val="22"/>
          <w:szCs w:val="22"/>
        </w:rPr>
        <w:t xml:space="preserve">The pre-publication version is included here. License for reuse from the </w:t>
      </w:r>
      <w:r w:rsidRPr="00E504E0">
        <w:rPr>
          <w:rFonts w:ascii="Arial" w:hAnsi="Arial" w:cs="Arial"/>
          <w:i/>
          <w:sz w:val="22"/>
          <w:szCs w:val="22"/>
        </w:rPr>
        <w:t>Journal</w:t>
      </w:r>
      <w:r w:rsidRPr="00E504E0">
        <w:rPr>
          <w:rFonts w:ascii="Arial" w:hAnsi="Arial" w:cs="Arial"/>
          <w:sz w:val="22"/>
          <w:szCs w:val="22"/>
        </w:rPr>
        <w:t xml:space="preserve"> is provided in the </w:t>
      </w:r>
      <w:r w:rsidRPr="00E504E0">
        <w:rPr>
          <w:rFonts w:ascii="Arial" w:hAnsi="Arial" w:cs="Arial"/>
          <w:b/>
          <w:sz w:val="22"/>
          <w:szCs w:val="22"/>
        </w:rPr>
        <w:t>APPENDIX</w:t>
      </w:r>
      <w:r w:rsidRPr="00E504E0">
        <w:rPr>
          <w:rFonts w:ascii="Arial" w:hAnsi="Arial" w:cs="Arial"/>
          <w:sz w:val="22"/>
          <w:szCs w:val="22"/>
        </w:rPr>
        <w:t xml:space="preserve">.  </w:t>
      </w:r>
    </w:p>
    <w:p w14:paraId="417352EC" w14:textId="77777777" w:rsidR="00B856C9" w:rsidRPr="00725D15" w:rsidRDefault="00B856C9" w:rsidP="00DF3833">
      <w:pPr>
        <w:pStyle w:val="Style2"/>
        <w:spacing w:before="0" w:line="480" w:lineRule="auto"/>
      </w:pPr>
      <w:bookmarkStart w:id="67" w:name="_Toc506036792"/>
      <w:bookmarkStart w:id="68" w:name="_Toc507326045"/>
      <w:r w:rsidRPr="00725D15">
        <w:t>2.2 Introduction</w:t>
      </w:r>
      <w:bookmarkEnd w:id="67"/>
      <w:bookmarkEnd w:id="68"/>
    </w:p>
    <w:p w14:paraId="13823D6F" w14:textId="610A4205" w:rsidR="00D34A21" w:rsidRPr="00AA7377" w:rsidRDefault="008C40DE" w:rsidP="006303D2">
      <w:pPr>
        <w:ind w:firstLine="720"/>
        <w:rPr>
          <w:rFonts w:cs="Arial"/>
          <w:szCs w:val="22"/>
        </w:rPr>
      </w:pPr>
      <w:r w:rsidRPr="00AA7377">
        <w:rPr>
          <w:rFonts w:cs="Arial"/>
          <w:szCs w:val="22"/>
        </w:rPr>
        <w:t>Nearly half of all deaths in the United States now occur under hospice care, with most patients covered by the Medicare Hospice Benefit under Medicare Part A.</w:t>
      </w:r>
      <w:r w:rsidR="00A72013" w:rsidRPr="00AA7377">
        <w:rPr>
          <w:rFonts w:cs="Arial"/>
          <w:szCs w:val="22"/>
        </w:rPr>
        <w:fldChar w:fldCharType="begin"/>
      </w:r>
      <w:r w:rsidR="00EC3644">
        <w:rPr>
          <w:rFonts w:cs="Arial"/>
          <w:szCs w:val="22"/>
        </w:rPr>
        <w:instrText xml:space="preserve"> ADDIN ZOTERO_ITEM CSL_CITATION {"citationID":"a1b2784rhkn","properties":{"formattedCitation":"\\super 2,94\\nosupersub{}","plainCitation":"2,94","noteIndex":0},"citationItems":[{"id":2652,"uris":["http://zotero.org/users/2597747/items/G6VPA5U7"],"uri":["http://zotero.org/users/2597747/items/G6VPA5U7"],"itemData":{"id":2652,"type":"article","title":"NHPCO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id":3940,"uris":["http://zotero.org/users/2597747/items/MPSNTQBI"],"uri":["http://zotero.org/users/2597747/items/MPSNTQBI"],"itemData":{"id":3940,"type":"article-journal","title":"Deaths: Final Data for 2014","container-title":"National Vital Statistics Reports","page":"1-122","volume":"65","issue":"4","source":"PubMed","abstract":"Objectives-This report presents final 2014 data on U.S. deaths, death rates, life expectancy, infant mortality, and trends, by selected characteristics such as age, sex, Hispanic origin, race, state of residence, and cause of death.","ISSN":"1551-8922","note":"PMID: 27378572","shortTitle":"Deaths","journalAbbreviation":"Natl Vital Stat Rep","language":"eng","author":[{"family":"Kochanek","given":"Kenneth D."},{"family":"Murphy","given":"Sherry L."},{"family":"Xu","given":"Jiaquan"},{"family":"Tejada-Vera","given":"Betzaida"}],"issued":{"date-parts":[["2016",6]]}}}],"schema":"https://github.com/citation-style-language/schema/raw/master/csl-citation.json"} </w:instrText>
      </w:r>
      <w:r w:rsidR="00A72013" w:rsidRPr="00AA7377">
        <w:rPr>
          <w:rFonts w:cs="Arial"/>
          <w:szCs w:val="22"/>
        </w:rPr>
        <w:fldChar w:fldCharType="separate"/>
      </w:r>
      <w:r w:rsidR="00B55AC2" w:rsidRPr="00B55AC2">
        <w:rPr>
          <w:rFonts w:cs="Arial"/>
          <w:szCs w:val="24"/>
          <w:vertAlign w:val="superscript"/>
        </w:rPr>
        <w:t>2,94</w:t>
      </w:r>
      <w:r w:rsidR="00A72013" w:rsidRPr="00AA7377">
        <w:rPr>
          <w:rFonts w:cs="Arial"/>
          <w:szCs w:val="22"/>
        </w:rPr>
        <w:fldChar w:fldCharType="end"/>
      </w:r>
      <w:r w:rsidRPr="00AA7377">
        <w:rPr>
          <w:rFonts w:cs="Arial"/>
          <w:szCs w:val="22"/>
        </w:rPr>
        <w:t xml:space="preserve"> For eligible beneficiaries electing hospice, the Medicare Hospice Benefit provides a per-diem payment to the patient’s hospice program intended to cover all palliative care related to the terminal illness, including palliative prescription drugs.</w:t>
      </w:r>
      <w:r w:rsidR="00A72013" w:rsidRPr="00AA7377">
        <w:rPr>
          <w:szCs w:val="22"/>
        </w:rPr>
        <w:fldChar w:fldCharType="begin"/>
      </w:r>
      <w:r w:rsidR="00EC3644">
        <w:rPr>
          <w:szCs w:val="22"/>
        </w:rPr>
        <w:instrText xml:space="preserve"> ADDIN ZOTERO_ITEM CSL_CITATION {"citationID":"fJgx43Xj","properties":{"formattedCitation":"\\super 16,95\\nosupersub{}","plainCitation":"16,95","noteIndex":0},"citationItems":[{"id":3619,"uris":["http://zotero.org/users/2597747/items/Q863W896"],"uri":["http://zotero.org/users/2597747/items/Q863W896"],"itemData":{"id":3619,"type":"article-journal","title":"Palliative Care for the Seriously Ill","container-title":"The New England journal of medicine","page":"747-755","volume":"373","issue":"8","source":"PubMed Central","abstract":"Palliative care is the interdisciplinary specialty focused on improving quality of life for persons with serious illness and their families. Over the past decade, the field has undergone substantial growth and change, including an expanded evidence base, new care-delivery models, innovative payment mechanisms, and increasing public and professional awareness.","DOI":"10.1056/NEJMra1404684","ISSN":"0028-4793","note":"PMID: 26287850\nPMCID: PMC4671283","journalAbbreviation":"N Engl J Med","author":[{"family":"Kelley","given":"Amy S."},{"family":"Morrison","given":"R. Sean"}],"issued":{"date-parts":[["2015",8,20]]}}},{"id":3278,"uris":["http://zotero.org/users/2597747/items/NRQWEB4C"],"uri":["http://zotero.org/users/2597747/items/NRQWEB4C"],"itemData":{"id":3278,"type":"report","title":"Medicare Hospice Benefits","publisher":"Centers for Medicare and Medicaid Services","publisher-place":"Baltimore, MD","event-place":"Baltimore, MD","URL":"https://www.medicare.gov/Pubs/pdf/02154-Medicare-Hospice-Benefits.PDF","issued":{"date-parts":[["2016"]]}}}],"schema":"https://github.com/citation-style-language/schema/raw/master/csl-citation.json"} </w:instrText>
      </w:r>
      <w:r w:rsidR="00A72013" w:rsidRPr="00AA7377">
        <w:rPr>
          <w:szCs w:val="22"/>
        </w:rPr>
        <w:fldChar w:fldCharType="separate"/>
      </w:r>
      <w:r w:rsidR="00B55AC2" w:rsidRPr="00B55AC2">
        <w:rPr>
          <w:rFonts w:cs="Arial"/>
          <w:szCs w:val="24"/>
          <w:vertAlign w:val="superscript"/>
        </w:rPr>
        <w:t>16,95</w:t>
      </w:r>
      <w:r w:rsidR="00A72013" w:rsidRPr="00AA7377">
        <w:rPr>
          <w:szCs w:val="22"/>
        </w:rPr>
        <w:fldChar w:fldCharType="end"/>
      </w:r>
      <w:r w:rsidRPr="00AA7377">
        <w:rPr>
          <w:rFonts w:cs="Arial"/>
          <w:szCs w:val="22"/>
        </w:rPr>
        <w:t xml:space="preserve"> After hospice admission, the Medicare Part D Prescription Drug Benefit may continue to cover medications for conditions unrelat</w:t>
      </w:r>
      <w:r w:rsidR="00D51FEC">
        <w:rPr>
          <w:rFonts w:cs="Arial"/>
          <w:szCs w:val="22"/>
        </w:rPr>
        <w:t>ed to the terminal illness. CMS</w:t>
      </w:r>
      <w:r w:rsidRPr="00AA7377">
        <w:rPr>
          <w:rFonts w:cs="Arial"/>
          <w:szCs w:val="22"/>
        </w:rPr>
        <w:t xml:space="preserve"> has stated that because hospice programs are expected to provide nearly all medications that beneficiaries may need, payment for medications under Part D should be “extremely rare.”</w:t>
      </w:r>
      <w:r w:rsidR="00A72013" w:rsidRPr="00AA7377">
        <w:rPr>
          <w:szCs w:val="22"/>
        </w:rPr>
        <w:fldChar w:fldCharType="begin"/>
      </w:r>
      <w:r w:rsidR="00DB32BA">
        <w:rPr>
          <w:szCs w:val="22"/>
        </w:rPr>
        <w:instrText xml:space="preserve"> ADDIN ZOTERO_ITEM CSL_CITATION {"citationID":"ee93fad9h","properties":{"formattedCitation":"\\super 17\\nosupersub{}","plainCitation":"17","noteIndex":0},"citationItems":[{"id":3281,"uris":["http://zotero.org/users/2597747/items/QXQK3EQW"],"uri":["http://zotero.org/users/2597747/items/QXQK3EQW"],"itemData":{"id":3281,"type":"report","title":"Part D Payment for Drugs for Beneficiaries Enrolled in Hospice—Request for Comments [Memorandum]","publisher":"Centers for Medicare and Medicaid Services","publisher-place":"Baltimore, MD","event-place":"Baltimore, MD","author":[{"family":"Tudor","given":"CG"},{"family":"Wilson","given":"L"},{"family":"Majestic","given":"M"}],"issued":{"date-parts":[["2013",12,6]]}}}],"schema":"https://github.com/citation-style-language/schema/raw/master/csl-citation.json"} </w:instrText>
      </w:r>
      <w:r w:rsidR="00A72013" w:rsidRPr="00AA7377">
        <w:rPr>
          <w:szCs w:val="22"/>
        </w:rPr>
        <w:fldChar w:fldCharType="separate"/>
      </w:r>
      <w:r w:rsidR="00B55AC2" w:rsidRPr="00B55AC2">
        <w:rPr>
          <w:rFonts w:cs="Arial"/>
          <w:szCs w:val="24"/>
          <w:vertAlign w:val="superscript"/>
        </w:rPr>
        <w:t>17</w:t>
      </w:r>
      <w:r w:rsidR="00A72013" w:rsidRPr="00AA7377">
        <w:rPr>
          <w:szCs w:val="22"/>
          <w:vertAlign w:val="superscript"/>
        </w:rPr>
        <w:fldChar w:fldCharType="end"/>
      </w:r>
      <w:r w:rsidRPr="00AA7377">
        <w:rPr>
          <w:rFonts w:cs="Arial"/>
          <w:szCs w:val="22"/>
        </w:rPr>
        <w:t xml:space="preserve"> However, a 2016 Medicare Payment Advisory Commission report revealed that Part D payments for hospice patients total $340 million annually.</w:t>
      </w:r>
      <w:r w:rsidR="00A72013" w:rsidRPr="00AA7377">
        <w:rPr>
          <w:color w:val="FF0000"/>
          <w:szCs w:val="22"/>
        </w:rPr>
        <w:fldChar w:fldCharType="begin"/>
      </w:r>
      <w:r w:rsidR="00AB0F6E">
        <w:rPr>
          <w:color w:val="FF0000"/>
          <w:szCs w:val="22"/>
        </w:rPr>
        <w:instrText xml:space="preserve"> ADDIN ZOTERO_ITEM CSL_CITATION {"citationID":"Fe2uYJ03","properties":{"formattedCitation":"\\super 5\\nosupersub{}","plainCitation":"5","noteIndex":0},"citationItems":[{"id":3275,"uris":["http://zotero.org/users/2597747/items/553E3ZIJ"],"uri":["http://zotero.org/users/2597747/items/553E3ZIJ"],"itemData":{"id":3275,"type":"report","title":"Hospice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00A72013" w:rsidRPr="00AA7377">
        <w:rPr>
          <w:color w:val="FF0000"/>
          <w:szCs w:val="22"/>
        </w:rPr>
        <w:fldChar w:fldCharType="separate"/>
      </w:r>
      <w:r w:rsidR="00B55AC2" w:rsidRPr="00B55AC2">
        <w:rPr>
          <w:rFonts w:cs="Arial"/>
          <w:szCs w:val="24"/>
          <w:vertAlign w:val="superscript"/>
        </w:rPr>
        <w:t>5</w:t>
      </w:r>
      <w:r w:rsidR="00A72013" w:rsidRPr="00AA7377">
        <w:rPr>
          <w:color w:val="FF0000"/>
          <w:szCs w:val="22"/>
        </w:rPr>
        <w:fldChar w:fldCharType="end"/>
      </w:r>
      <w:r w:rsidRPr="00AA7377">
        <w:rPr>
          <w:rFonts w:cs="Arial"/>
          <w:szCs w:val="22"/>
        </w:rPr>
        <w:t xml:space="preserve"> Further, a recent CMS communication reported that approximately 63% of hospice patients filled at least one maintenance drug through Part D in 2016.</w:t>
      </w:r>
      <w:r w:rsidR="0067236F" w:rsidRPr="00AA7377">
        <w:rPr>
          <w:szCs w:val="22"/>
        </w:rPr>
        <w:fldChar w:fldCharType="begin"/>
      </w:r>
      <w:r w:rsidR="00EC3644">
        <w:rPr>
          <w:szCs w:val="22"/>
        </w:rPr>
        <w:instrText xml:space="preserve"> ADDIN ZOTERO_ITEM CSL_CITATION {"citationID":"a3eor692fl","properties":{"formattedCitation":"\\super 96\\nosupersub{}","plainCitation":"96","noteIndex":0},"citationItems":[{"id":3903,"uris":["http://zotero.org/users/2597747/items/Q5ICD8CT"],"uri":["http://zotero.org/users/2597747/items/Q5ICD8CT"],"itemData":{"id":3903,"type":"report","title":"Update on Part D Payment Responsibility for Drugs for Beneficiaries Enrolled in Medicare Hospice [Memorandum]","publisher":"Centers for Medicare and Medicaid Services","publisher-place":"Baltimore, MD","event-place":"Baltimore, MD","author":[{"family":"Chavez-Valdez","given":"AL"},{"family":"Wilson","given":"L"}],"issued":{"date-parts":[["2016",11,15]]},"accessed":{"date-parts":[["2017",8,1]]}}}],"schema":"https://github.com/citation-style-language/schema/raw/master/csl-citation.json"} </w:instrText>
      </w:r>
      <w:r w:rsidR="0067236F" w:rsidRPr="00AA7377">
        <w:rPr>
          <w:szCs w:val="22"/>
        </w:rPr>
        <w:fldChar w:fldCharType="separate"/>
      </w:r>
      <w:r w:rsidR="00B55AC2" w:rsidRPr="00B55AC2">
        <w:rPr>
          <w:rFonts w:cs="Arial"/>
          <w:szCs w:val="24"/>
          <w:vertAlign w:val="superscript"/>
        </w:rPr>
        <w:t>96</w:t>
      </w:r>
      <w:r w:rsidR="0067236F" w:rsidRPr="00AA7377">
        <w:rPr>
          <w:szCs w:val="22"/>
        </w:rPr>
        <w:fldChar w:fldCharType="end"/>
      </w:r>
      <w:r w:rsidRPr="00AA7377">
        <w:rPr>
          <w:rFonts w:cs="Arial"/>
          <w:color w:val="FF0000"/>
          <w:szCs w:val="22"/>
        </w:rPr>
        <w:t xml:space="preserve"> </w:t>
      </w:r>
      <w:r w:rsidRPr="00AA7377">
        <w:rPr>
          <w:rFonts w:cs="Arial"/>
          <w:szCs w:val="22"/>
        </w:rPr>
        <w:t>Despite these reports, the specific medications driving utilization of the Part D benefit are not well understood.</w:t>
      </w:r>
    </w:p>
    <w:p w14:paraId="37574F11" w14:textId="14EA0A37" w:rsidR="008C40DE" w:rsidRPr="00725D15" w:rsidRDefault="008C40DE" w:rsidP="00FC7B75">
      <w:pPr>
        <w:ind w:firstLine="720"/>
        <w:rPr>
          <w:rFonts w:cs="Arial"/>
          <w:szCs w:val="22"/>
        </w:rPr>
      </w:pPr>
      <w:r w:rsidRPr="00AA7377">
        <w:rPr>
          <w:rFonts w:cs="Arial"/>
          <w:szCs w:val="22"/>
        </w:rPr>
        <w:t xml:space="preserve">The concurrent coverage of medications under the Medicare Hospice Benefit and Part D allows for medication use that may be inconsistent with both care goals and Medicare payment </w:t>
      </w:r>
      <w:r w:rsidRPr="00AA7377">
        <w:rPr>
          <w:rFonts w:cs="Arial"/>
          <w:szCs w:val="22"/>
        </w:rPr>
        <w:lastRenderedPageBreak/>
        <w:t>policies for hospice patients. For patients with a life-limiting illness and whose primary care objective is comfort and symptom control, medications used for long-term prevention are largely unnecessary and under most circumstances can be discontinued.</w:t>
      </w:r>
      <w:r w:rsidR="0067236F" w:rsidRPr="00AA7377">
        <w:rPr>
          <w:szCs w:val="22"/>
        </w:rPr>
        <w:fldChar w:fldCharType="begin"/>
      </w:r>
      <w:r w:rsidR="00EC3644">
        <w:rPr>
          <w:szCs w:val="22"/>
        </w:rPr>
        <w:instrText xml:space="preserve"> ADDIN ZOTERO_ITEM CSL_CITATION {"citationID":"CgPtr60H","properties":{"formattedCitation":"\\super 51,53,97,98\\nosupersub{}","plainCitation":"51,53,97,98","noteIndex":0},"citationItems":[{"id":1064,"uris":["http://zotero.org/users/2597747/items/8DPUGW69"],"uri":["http://zotero.org/users/2597747/items/8DPUGW69"],"itemData":{"id":1064,"type":"article-journal","title":"Discontinuation of unnecessary medications in older adults","page":"845-854","volume":"26","issue":"11","source":"PubMed","abstract":"OBJECTIVE: Identifying and managing the use of medications that may be discontinued is a daunting task for the health care team, especially for the consultant pharmacist. This article discusses a framework to evaluate the risks and benefits of medications. A case-based approach will be employed to demonstrate the application of evidence-based medicine and the challenges that pharmacists face in attempting to discontinue medications in older adults.\nDATA SOURCES: Medline and Micromedex were used as resources for primary literature as well as drug information.\nSTUDY SELECTION: Studies were identified based on their relevance to the case to demonstrate the importance of applying emerging literature and evidence-based medicine.\nDATA EXTRACTION: Guidelines on managing osteoporosis as well as diabetes in older adults were used for this case.\nDATA SYNTHESIS: A structured framework was applied to demonstrate considerations when tackling challenging medication regimens.\nCONCLUSION: Patient-centered, individualized medication regimens need to be developed and updated based on the needs of the patient as well as the wishes of the family and caregivers. This is a dynamic process that benefits from the consultant pharmacist, who understands the complexity of the medications and is essential to addressing the use of unnecessary medications.","DOI":"10.4140/TCP.n.2011.845","ISSN":"0888-5109","note":"PMID: 22079794","journalAbbreviation":"Consult Pharm","language":"eng","author":[{"family":"Brandt","given":"Nicole J."},{"family":"Stefanacci","given":"Richard G."}],"issued":{"date-parts":[["2011",11]]}}},{"id":1464,"uris":["http://zotero.org/users/2597747/items/5S3ADZTR"],"uri":["http://zotero.org/users/2597747/items/5S3ADZTR"],"itemData":{"id":1464,"type":"article-journal","title":"Therapeutic futility in cancer patients at the time of palliative care transition: An analysis with a modified version of the Medication Appropriateness Index","container-title":"Palliative Medicine","page":"643-651","volume":"29","issue":"7","source":"PubMed","abstract":"BACKGROUND: Palliative Care professionals are often confronted with therapeutic futility, consisting in inappropriate strategies that do not add any advantage to the patient and may actually increase adverse events. Scientific literature concerning this issue is lacking. This article is one of the first to study therapeutic futility specifically at the time of transition to the palliative care setting.\nAIM: To study the phenomenon of pharmacologic therapeutic futility at the time of transition of a cancer patient to palliative care.\nDESIGN: The pharmacological prescriptions at the time of the first appointment at an oncological palliative care unit during a time period of 2 months were prospectively collected and characterized using the Medication Appropriateness Index.\nPARTICIPANTS: The sample comprised 71 patients with a mean age of 68.2 years.\nRESULTS: The most common pharmacological groups were analgesics (n = 121; 19.2%), psychoactive drugs (n = 89; 14.1%), and antihypertensives (n = 51; 8.1%). A total of 61 patients (85.9%) consumed 5 drugs or more at the time of the first appointment. The mean number of daily medications decreased significantly after the palliative care team intervention, from 7.15 to 5.73 (p &lt; 0.05). The principal causes of inappropriateness were absence of indication for the drug (23.0% \"inappropriate\"), the drugs' adverse interactions (11.1%), and inadequate dosage (9.9%). After the first consultation in the palliative care setting, 28.2% of the drugs were suspended.\nCONCLUSION: This article tried to evaluate the main causes of therapeutic futility at the palliative care transition. The principal causes of inappropriateness were absence of clinical indication, clinically significant drug-disease/comorbidity interactions, and incorrect dosage/posology.","DOI":"10.1177/0269216315573687","ISSN":"1477-030X","note":"PMID: 25701662","shortTitle":"Therapeutic futility in cancer patients at the time of palliative care transition","journalAbbreviation":"Palliat Med","language":"eng","author":[{"family":"Domingues","given":"Duarte"},{"family":"Carneiro","given":"Rui"},{"family":"Costa","given":"Isabel"},{"family":"Monteiro","given":"Carolina"},{"family":"Shvetz","given":"Yulyia"},{"family":"Barbosa","given":"Ana C."},{"family":"Azevedo","given":"Pedro"}],"issued":{"date-parts":[["2015",7]]}}},{"id":2288,"uris":["http://zotero.org/users/2597747/items/237SQ4Z7"],"uri":["http://zotero.org/users/2597747/items/237SQ4Z7"],"itemData":{"id":2288,"type":"article-journal","title":"End-of-life medications draw more attention, greater scrutiny","container-title":"JAMA","page":"231-233","volume":"313","issue":"3","source":"Silverchair","abstract":"It wasn’t a popular idea at the outset. Amy Abernethy, MD, PhD, and her colleagues suggested a decade ago that patients nearing the end of life could stop at least some of their medications. But their attempts to publish material on the subject initially met with resistance. “There was great angst among reviewers about medication discontinuation of any kind,” she said of a commentary they eventually published in BMJ (Stevenson J et al. BMJ. 2004;329[7471]:909-912). “They felt it would be equivalent to saying to a patient, ‘You’re not worthy to be on this medication.’”","DOI":"10.1001/jama.2014.17360","ISSN":"0098-7484","journalAbbreviation":"JAMA","author":[{"literal":"Graham J"}],"issued":{"date-parts":[["2015",1,20]]}}},{"id":2346,"uris":["http://zotero.org/users/2597747/items/JT5FWMVD"],"uri":["http://zotero.org/users/2597747/items/JT5FWMVD"],"itemData":{"id":2346,"type":"article-journal","title":"Improving Diabetes Care for Hospice Patients","container-title":"American Journal of Hospice and Palliative Medicine","page":"517-519","volume":"33","issue":"6","source":"ajh.sagepub.com","abstract":"Although type 2 diabetes guidelines recommend less aggressive glycemic control for patients with limited life expectancy, many hospice patients continue their glucose-lowering medications, resulting in an increased risk of hypoglycemia. Three common reasons for overly tight glycemic control in hospice patients include (1) discussions about reducing or stopping chronic medications are uncomfortable; (2) many patients and families believe that mild hyperglycemia can cause symptoms; and (3) until 2014, Healthcare Information and Data Information Set (HEDIS) quality indicators for glycemic control included hospice patients. To address these issues, we recommend (1) providers discuss with patients and families upon hospice enrollment that diabetes medications can be reduced or discontinued as their life-limiting disease progresses; (2) keeping blood glucose levels between 200 and 300 mg/dL; and (3) educate providers that HEDIS measures now exclude hospice patients. Implementing these recommendations should decrease the risk of hypoglycemia in hospice patients and improve their quality of life.","DOI":"10.1177/1049909115578386","ISSN":"1049-9091, 1938-2715","note":"PMID: 25852204","journalAbbreviation":"AM J HOSP PALLIAT CARE","language":"en","author":[{"family":"Lee","given":"Sei J."},{"family":"Jacobson","given":"Margaret A."},{"family":"Johnston","given":"C. Bree"}],"issued":{"date-parts":[["2016",7,1]]}}}],"schema":"https://github.com/citation-style-language/schema/raw/master/csl-citation.json"} </w:instrText>
      </w:r>
      <w:r w:rsidR="0067236F" w:rsidRPr="00AA7377">
        <w:rPr>
          <w:szCs w:val="22"/>
        </w:rPr>
        <w:fldChar w:fldCharType="separate"/>
      </w:r>
      <w:r w:rsidR="00B55AC2" w:rsidRPr="00B55AC2">
        <w:rPr>
          <w:rFonts w:cs="Arial"/>
          <w:szCs w:val="24"/>
          <w:vertAlign w:val="superscript"/>
        </w:rPr>
        <w:t>51,53,97,98</w:t>
      </w:r>
      <w:r w:rsidR="0067236F" w:rsidRPr="00AA7377">
        <w:rPr>
          <w:szCs w:val="22"/>
        </w:rPr>
        <w:fldChar w:fldCharType="end"/>
      </w:r>
      <w:r w:rsidRPr="00AA7377">
        <w:rPr>
          <w:rFonts w:cs="Arial"/>
          <w:szCs w:val="22"/>
        </w:rPr>
        <w:t xml:space="preserve"> Prior studies in hospice patients have found substantial use of medications which largely are not symptom-directed.</w:t>
      </w:r>
      <w:r w:rsidR="0067236F" w:rsidRPr="00AA7377">
        <w:rPr>
          <w:szCs w:val="22"/>
        </w:rPr>
        <w:fldChar w:fldCharType="begin"/>
      </w:r>
      <w:r w:rsidR="008A1035">
        <w:rPr>
          <w:szCs w:val="22"/>
        </w:rPr>
        <w:instrText xml:space="preserve"> ADDIN ZOTERO_ITEM CSL_CITATION {"citationID":"KsuJPzSI","properties":{"formattedCitation":"\\super 21\\uc0\\u8211{}23\\nosupersub{}","plainCitation":"21–23","noteIndex":0},"citationItems":[{"id":351,"uris":["http://zotero.org/users/2597747/items/8326S43N"],"uri":["http://zotero.org/users/2597747/items/8326S43N"],"itemData":{"id":351,"type":"article-journal","title":"Medications That Older Adults in Hospice Care in the United States Take, 2007","container-title":"Journal of the American Geriatrics Society","page":"2282-2289","volume":"63","issue":"11","source":"Wiley Online Library","abstract":"Objectives\n\nTo describe medications that older adults in hospice with cancer, dementia, debility, heart disease, and lung disease take during the last week of life.\n\n\nDesign\n\nRetrospective cross-sectional study.\n\n\nSetting\n\nNationally representative sample of 695 U.S. hospices in the 2007 National Home and Hospice Care Survey.\n\n\nParticipants\n\nIndividuals aged 65 and older with a primary diagnosis of cancer (49%), dementia (12%), debility (14%), heart disease (16%), or lung disease (10%) who received end-of-life care during their last week of life (N = 2,623).\n\n\nMeasurements\n\nMedication data were obtained from hospice staff, who were asked, “What are the names of all the medications and drugs the patient was taking 7 days prior to and on the day of his or her death while in hospice? Please include any standing, routine, or PRN medications.”\n\n\nResults\n\nThe unweighted survey response rate was 71%. The average number of medications taken was 10.2. The most common therapeutic classes were analgesics (98%); antiemetic and antivertigo medications (78%); anxiolytics, sedatives, and hypnotics (76%); anticonvulsants (71%); and laxatives (53%). Approximately one-quarter of the individuals took proton pump inhibitors, anticoagulants, and antidepressants, and fewer than 20% took antacids and antibiotics. A smaller percentage of individuals with dementia and debility than of those with cancer took opioid analgesics. Individuals with heart disease were more likely than individuals in the other clinical cohorts to take diuretics, and those with lung disease were more likely than those in the other clinical cohorts to take bronchodilators. A higher percentage of individuals with dementia and with debility than with cancer and lung disease took antidepressants.\n\n\nConclusion\n\nPeople continue to receive disease-focused therapies at the end of life rather than therapies exclusively for palliation of symptoms, suggesting that treatments may vary according to the person's primary diagnosis.","DOI":"10.1111/jgs.13795","ISSN":"1532-5415","journalAbbreviation":"J Am Geriatr Soc","language":"en","author":[{"family":"Dwyer","given":"Lisa L."},{"family":"Lau","given":"Denys T."},{"family":"Shega","given":"Joseph W."}],"issued":{"date-parts":[["2015",11,1]]}}},{"id":253,"uris":["http://zotero.org/users/2597747/items/D5ZTTA6H"],"uri":["http://zotero.org/users/2597747/items/D5ZTTA6H"],"itemData":{"id":253,"type":"article-journal","title":"Prescribing practices in hospice patients with adult failure to thrive or debility","container-title":"Progress in palliative care","page":"69-74","volume":"22","issue":"2","source":"PubMed Central","abstract":"Objectives\nDespite being a common admitting diagnosis, there is very little published literature on medication management in hospice patients admitted with a diagnosis of failure to thrive or debility. The purpose of this study was to describe medication prescribing practices in hospice patients with either of these primary diagnoses by characterizing prescribed medications by name and by pharmaceutical class, and determining whether the patient or the hospice organization provided each medication.\n\nMethods\nA retrospective review of a patient information database compiled by a national hospice organization was conducted. Patients were included in this retrospective study if they were admitted to hospice care with a primary diagnosis of failure to thrive or debility, and if they were admitted on or after 1 January 2010, and discharged by death on or before 31 December 2010.\n\nResults\nOverall 293 patients and 6181 medication entries were evaluated. The most commonly prescribed drugs were acetaminophen, lorazepam, morphine, atropine, prochlorperazine, haloperidol, docusate, aspirin, and bisacodyl. The most commonly prescribed pharmacological classes were opioid and non-opioid analgesics, anxiolytics, anticholinergics, antihypertensives, laxatives, antidepressants, and supplements. The hospice organization provided over 90% of prescriptions for analgesics, antipsychotics, anticholinergics, and anxiolytics, and these medications were discontinued before death in less than 5% of patients.\n\nConclusion\nRecognized clinical components of failure to thrive syndrome include cognitive impairment, malnutrition, and depression. The hospice organization provided 80% of antidepressants, but infrequently provided appetite stimulants and drugs treating dementia. The most commonly provided drugs were those used for symptoms associated with most end-stage diseases.","DOI":"10.1179/1743291X13Y.0000000068","ISSN":"0969-9260","note":"PMID: 24904199\nPMCID: PMC4041741","journalAbbreviation":"Prog Palliat Care","author":[{"family":"Sera","given":"Leah"},{"family":"Holmes","given":"Holly M."},{"family":"McPherson","given":"Mary Lynn"}],"issued":{"date-parts":[["2014",4,1]]}}},{"id":241,"uris":["http://zotero.org/users/2597747/items/J8JVATI3"],"uri":["http://zotero.org/users/2597747/items/J8JVATI3"],"itemData":{"id":241,"type":"article-journal","title":"Commonly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M."}],"issued":{"date-parts":[["2014",3]]}}}],"schema":"https://github.com/citation-style-language/schema/raw/master/csl-citation.json"} </w:instrText>
      </w:r>
      <w:r w:rsidR="0067236F" w:rsidRPr="00AA7377">
        <w:rPr>
          <w:szCs w:val="22"/>
        </w:rPr>
        <w:fldChar w:fldCharType="separate"/>
      </w:r>
      <w:r w:rsidR="00B55AC2" w:rsidRPr="00B55AC2">
        <w:rPr>
          <w:rFonts w:cs="Arial"/>
          <w:szCs w:val="24"/>
          <w:vertAlign w:val="superscript"/>
        </w:rPr>
        <w:t>21–23</w:t>
      </w:r>
      <w:r w:rsidR="0067236F" w:rsidRPr="00AA7377">
        <w:rPr>
          <w:szCs w:val="22"/>
        </w:rPr>
        <w:fldChar w:fldCharType="end"/>
      </w:r>
      <w:r w:rsidRPr="00AA7377">
        <w:rPr>
          <w:rFonts w:cs="Arial"/>
          <w:szCs w:val="22"/>
        </w:rPr>
        <w:t xml:space="preserve"> However, the payer source (e.g., hospice/Part A, Part D, self-pay) and whether new medication supplies continued to be obtained after hospice enrollment are unclear. These studies also demonstrated some variation in medication utilization among patients admitted to hospice for cancer and non-cancer causes, which may be partly explained by differences in comorbidity burden and greater difficulty in predicting patterns of decline for non-cancer terminal conditions.</w:t>
      </w:r>
      <w:r w:rsidR="00AA7377" w:rsidRPr="00AA7377">
        <w:rPr>
          <w:rFonts w:cs="Arial"/>
          <w:szCs w:val="22"/>
        </w:rPr>
        <w:fldChar w:fldCharType="begin"/>
      </w:r>
      <w:r w:rsidR="00EC3644">
        <w:rPr>
          <w:rFonts w:cs="Arial"/>
          <w:szCs w:val="22"/>
        </w:rPr>
        <w:instrText xml:space="preserve"> ADDIN ZOTERO_ITEM CSL_CITATION {"citationID":"anf49fjbun","properties":{"formattedCitation":"\\super 99,100\\nosupersub{}","plainCitation":"99,100","noteIndex":0},"citationItems":[{"id":3949,"uris":["http://zotero.org/users/2597747/items/SMPIA2BH"],"uri":["http://zotero.org/users/2597747/items/SMPIA2BH"],"itemData":{"id":3949,"type":"article-journal","title":"Illness trajectories and palliative care","container-title":"BMJ : British Medical Journal","page":"1007-1011","volume":"330","issue":"7498","source":"PubMed Central","ISSN":"0959-8138","note":"PMID: 15860828\nPMCID: PMC557152","journalAbbreviation":"BMJ","author":[{"family":"Murray","given":"Scott A"},{"family":"Kendall","given":"Marilyn"},{"family":"Boyd","given":"Kirsty"},{"family":"Sheikh","given":"Aziz"}],"issued":{"date-parts":[["2005",4,30]]}}},{"id":3962,"uris":["http://zotero.org/users/2597747/items/KZ2WPG9W"],"uri":["http://zotero.org/users/2597747/items/KZ2WPG9W"],"itemData":{"id":3962,"type":"article-journal","title":"Profiles of Older Medicare Decedents","container-title":"Journal of the American Geriatrics Society","page":"1108-1112","volume":"50","issue":"6","source":"Wiley Online Library","abstract":"OBJECTIVES: To evaluate the usefulness of a clinical scheme to classify older decedents to better understand the issues associated with healthcare use and costs in the last year of life. DESIGN: We analyzed Medicare claims data for a random sample of 0.1% of all Medicare beneficiaries with expenditures between 1993 and 1998. This sample yielded 7,966 deaths. SETTING: Medicare claims data. PARTICIPANTS: Medicare beneficiaries. MEASUREMENTS: We classified decedents into groups representing four trajectories at the end of life: sudden death, terminal illness, organ failure, and frailty. RESULTS: Ninety-two percent of decedents were captured by the profiling strategy. The four trajectory groups had distinct patterns of demographics, care delivery, and Medicare expenditures. Frailty was a dominant pattern, with 47% of all decedents, whereas sudden death claimed only 7%; cancer claimed 22%, and organ system failure, 16%. CONCLUSIONS: The clinical scheme to classify decedents appears to fit most decedents and to form groups with substantial clinical differences. Acknowledging the differences among these groups may be a fruitful way to evaluate expenditures and develop strategies to improve care at the end of life.","DOI":"10.1046/j.1532-5415.2002.50268.x","ISSN":"1532-5415","journalAbbreviation":"Journal of the American Geriatrics Society","language":"en","author":[{"family":"Lunney","given":"June R."},{"family":"Lynn","given":"Joanne"},{"family":"Hogan","given":"Christopher"}],"issued":{"date-parts":[["2002",6,1]]}}}],"schema":"https://github.com/citation-style-language/schema/raw/master/csl-citation.json"} </w:instrText>
      </w:r>
      <w:r w:rsidR="00AA7377" w:rsidRPr="00AA7377">
        <w:rPr>
          <w:rFonts w:cs="Arial"/>
          <w:szCs w:val="22"/>
        </w:rPr>
        <w:fldChar w:fldCharType="separate"/>
      </w:r>
      <w:r w:rsidR="00B55AC2" w:rsidRPr="00B55AC2">
        <w:rPr>
          <w:rFonts w:cs="Arial"/>
          <w:szCs w:val="24"/>
          <w:vertAlign w:val="superscript"/>
        </w:rPr>
        <w:t>99,100</w:t>
      </w:r>
      <w:r w:rsidR="00AA7377" w:rsidRPr="00AA7377">
        <w:rPr>
          <w:rFonts w:cs="Arial"/>
          <w:szCs w:val="22"/>
        </w:rPr>
        <w:fldChar w:fldCharType="end"/>
      </w:r>
      <w:r w:rsidRPr="00AA7377">
        <w:rPr>
          <w:rFonts w:cs="Arial"/>
          <w:szCs w:val="22"/>
        </w:rPr>
        <w:t xml:space="preserve"> Further, Medicare’</w:t>
      </w:r>
      <w:r w:rsidRPr="00725D15">
        <w:rPr>
          <w:rFonts w:cs="Arial"/>
          <w:szCs w:val="22"/>
        </w:rPr>
        <w:t xml:space="preserve">s payment model requires that medications be intended for the palliation of the patient’s terminal illness in order to be covered by the hospice benefit. For cancer, these relationships may be apparent, as pain and symptom-relieving medications are more clearly related to a terminal cancer diagnosis. For non-cancer conditions, the distinction between what is covered by hospice and what should be covered by Part D may be more difficult. In conditions such as heart failure and </w:t>
      </w:r>
      <w:r w:rsidR="00D51FEC">
        <w:rPr>
          <w:rFonts w:cs="Arial"/>
          <w:szCs w:val="22"/>
        </w:rPr>
        <w:t>chronic obstructive pulmonary disease</w:t>
      </w:r>
      <w:r w:rsidRPr="00725D15">
        <w:rPr>
          <w:rFonts w:cs="Arial"/>
          <w:szCs w:val="22"/>
        </w:rPr>
        <w:t>, medications commonly used to prevent long-term disease outcomes may also provide varying levels of short-term symptomatic benefit, complicating coverage determinations.</w:t>
      </w:r>
    </w:p>
    <w:p w14:paraId="223BB71F" w14:textId="6701321C" w:rsidR="009C117A" w:rsidRDefault="008C40DE" w:rsidP="006303D2">
      <w:pPr>
        <w:ind w:firstLine="720"/>
        <w:rPr>
          <w:rFonts w:cs="Arial"/>
          <w:szCs w:val="22"/>
        </w:rPr>
      </w:pPr>
      <w:r w:rsidRPr="00725D15">
        <w:rPr>
          <w:rFonts w:cs="Arial"/>
          <w:szCs w:val="22"/>
        </w:rPr>
        <w:t>The goal of this study was to describe the medications received through the Medicare Part D benefit in older adults admitted to hospice. We identify the most common medications obtained through Part D and characterize medication class-specific dispensing patterns and trends for patients admitted to hospice fo</w:t>
      </w:r>
      <w:r w:rsidR="0056032E">
        <w:rPr>
          <w:rFonts w:cs="Arial"/>
          <w:szCs w:val="22"/>
        </w:rPr>
        <w:t>r cancer and non-cancer causes.</w:t>
      </w:r>
    </w:p>
    <w:p w14:paraId="2AEFFD99" w14:textId="77777777" w:rsidR="009E24FD" w:rsidRDefault="009E24FD" w:rsidP="006303D2">
      <w:pPr>
        <w:ind w:firstLine="720"/>
        <w:rPr>
          <w:rFonts w:cs="Arial"/>
          <w:szCs w:val="22"/>
        </w:rPr>
      </w:pPr>
    </w:p>
    <w:p w14:paraId="53E09944" w14:textId="77777777" w:rsidR="009E24FD" w:rsidRPr="00725D15" w:rsidRDefault="009E24FD" w:rsidP="006303D2">
      <w:pPr>
        <w:ind w:firstLine="720"/>
        <w:rPr>
          <w:rFonts w:cs="Arial"/>
          <w:szCs w:val="22"/>
        </w:rPr>
      </w:pPr>
    </w:p>
    <w:p w14:paraId="004106E6" w14:textId="77777777" w:rsidR="00BD660F" w:rsidRPr="00725D15" w:rsidRDefault="00B856C9" w:rsidP="00DF3833">
      <w:pPr>
        <w:pStyle w:val="Style2"/>
        <w:spacing w:before="0" w:line="480" w:lineRule="auto"/>
      </w:pPr>
      <w:bookmarkStart w:id="69" w:name="_Toc506036793"/>
      <w:bookmarkStart w:id="70" w:name="_Toc507326046"/>
      <w:r w:rsidRPr="00725D15">
        <w:lastRenderedPageBreak/>
        <w:t>2.3 Methods</w:t>
      </w:r>
      <w:bookmarkEnd w:id="69"/>
      <w:bookmarkEnd w:id="70"/>
    </w:p>
    <w:p w14:paraId="59B24CE4" w14:textId="77777777" w:rsidR="004A6502" w:rsidRPr="00725D15" w:rsidRDefault="00DB1A50" w:rsidP="00DF3833">
      <w:pPr>
        <w:pStyle w:val="Style3"/>
      </w:pPr>
      <w:bookmarkStart w:id="71" w:name="_Toc507326047"/>
      <w:r w:rsidRPr="00725D15">
        <w:t>2.3.1 Data Source and Study Population</w:t>
      </w:r>
      <w:bookmarkEnd w:id="71"/>
    </w:p>
    <w:p w14:paraId="68B4A3DF" w14:textId="00E8872B" w:rsidR="008C40DE" w:rsidRPr="00725D15" w:rsidRDefault="008C40DE" w:rsidP="00FC7B75">
      <w:pPr>
        <w:ind w:firstLine="720"/>
        <w:rPr>
          <w:rFonts w:cs="Arial"/>
          <w:szCs w:val="22"/>
        </w:rPr>
      </w:pPr>
      <w:r w:rsidRPr="00725D15">
        <w:rPr>
          <w:rFonts w:cs="Arial"/>
          <w:szCs w:val="22"/>
        </w:rPr>
        <w:t xml:space="preserve">The </w:t>
      </w:r>
      <w:r w:rsidR="00592035">
        <w:rPr>
          <w:rFonts w:cs="Arial"/>
          <w:szCs w:val="22"/>
        </w:rPr>
        <w:t>SEER</w:t>
      </w:r>
      <w:r w:rsidRPr="00725D15">
        <w:rPr>
          <w:rFonts w:cs="Arial"/>
          <w:szCs w:val="22"/>
        </w:rPr>
        <w:t xml:space="preserve"> Program and Medicare linked database was used to identify patients who were admitted to hospice and died while under hospice care between January 1, 2008 and December 31, 2013. The nationally-representative, population-based SEER cancer registries cover approximately 28% of the United States population and contain more than 95% of all Medicare-eligible individuals diagnosed with a first primary cancer within the registry regions. The SEER-Medicare linked database also includes a random 5% sample of fee-for-service Medicare beneficiaries residing in the SEER registry regions and not diagnosed with cancer. We included a SEER registry-derived cohort of Medicare beneficiaries diagnosed with a first primary lung, breast, colorectal, pancreatic cancer or lymphoma between January 1, 2001 and December 31, 2011. These cancer sites represent the most common cancer-related hospice admission diagnoses among Medicare beneficiaries.</w:t>
      </w:r>
      <w:r w:rsidR="00AA7377">
        <w:rPr>
          <w:rFonts w:cs="Arial"/>
          <w:szCs w:val="22"/>
        </w:rPr>
        <w:fldChar w:fldCharType="begin"/>
      </w:r>
      <w:r w:rsidR="00EC3644">
        <w:rPr>
          <w:rFonts w:cs="Arial"/>
          <w:szCs w:val="22"/>
        </w:rPr>
        <w:instrText xml:space="preserve"> ADDIN ZOTERO_ITEM CSL_CITATION {"citationID":"am0a6fo5a2","properties":{"formattedCitation":"\\super 101\\nosupersub{}","plainCitation":"101","noteIndex":0},"citationItems":[{"id":3444,"uris":["http://zotero.org/users/2597747/items/UVT72JFU"],"uri":["http://zotero.org/users/2597747/items/UVT72JFU"],"itemData":{"id":3444,"type":"report","title":"Medicare Hospice Data Trends: 1998-2009 [Data File]. 2012. Available from: https://www.cms.gov/Medicare/Medicare-Fee-for-Service-Payment/Hospice/Medicare_Hospice_Data.html","abstract":"This page will house Medicare Hospice Data trends.","author":[{"family":"","given":"Centers for Medicare and Medicaid Services"}]}}],"schema":"https://github.com/citation-style-language/schema/raw/master/csl-citation.json"} </w:instrText>
      </w:r>
      <w:r w:rsidR="00AA7377">
        <w:rPr>
          <w:rFonts w:cs="Arial"/>
          <w:szCs w:val="22"/>
        </w:rPr>
        <w:fldChar w:fldCharType="separate"/>
      </w:r>
      <w:r w:rsidR="00B55AC2" w:rsidRPr="00B55AC2">
        <w:rPr>
          <w:rFonts w:cs="Arial"/>
          <w:szCs w:val="24"/>
          <w:vertAlign w:val="superscript"/>
        </w:rPr>
        <w:t>101</w:t>
      </w:r>
      <w:r w:rsidR="00AA7377">
        <w:rPr>
          <w:rFonts w:cs="Arial"/>
          <w:szCs w:val="22"/>
        </w:rPr>
        <w:fldChar w:fldCharType="end"/>
      </w:r>
      <w:r w:rsidRPr="00725D15">
        <w:rPr>
          <w:rFonts w:cs="Arial"/>
          <w:szCs w:val="22"/>
        </w:rPr>
        <w:t xml:space="preserve"> The random 5% non-cancer sample was used to identify non-cancer patients residing in the registry regions during the same time frame.  Linked Medicare claims were available through December 31, 2013. </w:t>
      </w:r>
    </w:p>
    <w:p w14:paraId="51F04A04" w14:textId="0D6D3B60" w:rsidR="00C02916" w:rsidRPr="00725D15" w:rsidRDefault="008C40DE" w:rsidP="009C117A">
      <w:pPr>
        <w:ind w:firstLine="720"/>
        <w:rPr>
          <w:rFonts w:cs="Arial"/>
          <w:szCs w:val="22"/>
        </w:rPr>
      </w:pPr>
      <w:r w:rsidRPr="00725D15">
        <w:rPr>
          <w:rFonts w:cs="Arial"/>
          <w:szCs w:val="22"/>
        </w:rPr>
        <w:t xml:space="preserve">Patients were at least 66 years of age at hospice admission, were continuously enrolled in Medicare Parts A, B and D without managed care plan enrollment starting 12 months prior to hospice admission, and had at least one Part D prescription claim in the 12-month pre-admission period. After initial admission, patients with any hospice enrollment gaps (i.e., discharges) lasting greater than 30 days were excluded. Hospice admission diagnosis was identified via the primary </w:t>
      </w:r>
      <w:r w:rsidRPr="00725D15">
        <w:rPr>
          <w:rFonts w:cs="Arial"/>
          <w:i/>
          <w:iCs/>
          <w:szCs w:val="22"/>
        </w:rPr>
        <w:t xml:space="preserve">International Classification of Diseases, Ninth Revision </w:t>
      </w:r>
      <w:r w:rsidRPr="00725D15">
        <w:rPr>
          <w:rFonts w:cs="Arial"/>
          <w:szCs w:val="22"/>
        </w:rPr>
        <w:t>(</w:t>
      </w:r>
      <w:r w:rsidRPr="00725D15">
        <w:rPr>
          <w:rFonts w:cs="Arial"/>
          <w:iCs/>
          <w:szCs w:val="22"/>
        </w:rPr>
        <w:t>ICD-9</w:t>
      </w:r>
      <w:r w:rsidRPr="00725D15">
        <w:rPr>
          <w:rFonts w:cs="Arial"/>
          <w:szCs w:val="22"/>
        </w:rPr>
        <w:t xml:space="preserve">) diagnostic code recorded on the first hospice claim for each patient and used to define patients as a cancer or non-cancer hospice admission. Those admitted for a non-cancer cause were further subdivided into distinct groups based on the most prevalent hospice admission diagnoses reported nationally: debility/failure to thrive, dementia, heart disease, lung disease, </w:t>
      </w:r>
      <w:r w:rsidRPr="00725D15">
        <w:rPr>
          <w:rFonts w:cs="Arial"/>
          <w:szCs w:val="22"/>
        </w:rPr>
        <w:lastRenderedPageBreak/>
        <w:t>renal disease, and ischemic stroke.</w:t>
      </w:r>
      <w:r w:rsidR="00AA7377">
        <w:rPr>
          <w:rFonts w:cs="Arial"/>
          <w:szCs w:val="22"/>
        </w:rPr>
        <w:fldChar w:fldCharType="begin"/>
      </w:r>
      <w:r w:rsidR="00EC3644">
        <w:rPr>
          <w:rFonts w:cs="Arial"/>
          <w:szCs w:val="22"/>
        </w:rPr>
        <w:instrText xml:space="preserve"> ADDIN ZOTERO_ITEM CSL_CITATION {"citationID":"a10vlsqbfkq","properties":{"formattedCitation":"\\super 2,101\\nosupersub{}","plainCitation":"2,101","noteIndex":0},"citationItems":[{"id":2652,"uris":["http://zotero.org/users/2597747/items/G6VPA5U7"],"uri":["http://zotero.org/users/2597747/items/G6VPA5U7"],"itemData":{"id":2652,"type":"article","title":"NHPCO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id":3444,"uris":["http://zotero.org/users/2597747/items/UVT72JFU"],"uri":["http://zotero.org/users/2597747/items/UVT72JFU"],"itemData":{"id":3444,"type":"report","title":"Medicare Hospice Data Trends: 1998-2009 [Data File]. 2012. Available from: https://www.cms.gov/Medicare/Medicare-Fee-for-Service-Payment/Hospice/Medicare_Hospice_Data.html","abstract":"This page will house Medicare Hospice Data trends.","author":[{"family":"","given":"Centers for Medicare and Medicaid Services"}]}}],"schema":"https://github.com/citation-style-language/schema/raw/master/csl-citation.json"} </w:instrText>
      </w:r>
      <w:r w:rsidR="00AA7377">
        <w:rPr>
          <w:rFonts w:cs="Arial"/>
          <w:szCs w:val="22"/>
        </w:rPr>
        <w:fldChar w:fldCharType="separate"/>
      </w:r>
      <w:r w:rsidR="00B55AC2" w:rsidRPr="00B55AC2">
        <w:rPr>
          <w:rFonts w:cs="Arial"/>
          <w:szCs w:val="24"/>
          <w:vertAlign w:val="superscript"/>
        </w:rPr>
        <w:t>2,101</w:t>
      </w:r>
      <w:r w:rsidR="00AA7377">
        <w:rPr>
          <w:rFonts w:cs="Arial"/>
          <w:szCs w:val="22"/>
        </w:rPr>
        <w:fldChar w:fldCharType="end"/>
      </w:r>
      <w:r w:rsidRPr="00725D15">
        <w:rPr>
          <w:rFonts w:cs="Arial"/>
          <w:szCs w:val="22"/>
        </w:rPr>
        <w:t xml:space="preserve"> Patients with other non-cancer admission diagnoses were not grouped and analyzed as a distinct cohort, but were included when analyzing hospice patients admitted for a non-cancer cause as a whole. As not all patients diagnosed with cancer ultimately die from or enter hospice for cancer, the SEER registry-derived cohort was also used to identify patients who were previously diagnosed with cancer and later entered hospice for a non-cancer cause.</w:t>
      </w:r>
    </w:p>
    <w:p w14:paraId="283CAE88" w14:textId="3E762C5D" w:rsidR="00DB1A50" w:rsidRPr="00725D15" w:rsidRDefault="00DB1A50" w:rsidP="00DF3833">
      <w:pPr>
        <w:pStyle w:val="Style3"/>
      </w:pPr>
      <w:bookmarkStart w:id="72" w:name="_Toc507326048"/>
      <w:r w:rsidRPr="00725D15">
        <w:t xml:space="preserve">2.3.2 Medications Dispensed Through </w:t>
      </w:r>
      <w:r w:rsidR="00492435">
        <w:t xml:space="preserve">Medicare </w:t>
      </w:r>
      <w:r w:rsidRPr="00725D15">
        <w:t>Part D</w:t>
      </w:r>
      <w:bookmarkEnd w:id="72"/>
    </w:p>
    <w:p w14:paraId="459F7438" w14:textId="7506B019" w:rsidR="00FC7B75" w:rsidRPr="00725D15" w:rsidRDefault="00FC7B75" w:rsidP="00FC7B75">
      <w:pPr>
        <w:ind w:firstLine="720"/>
        <w:rPr>
          <w:rFonts w:cs="Arial"/>
          <w:szCs w:val="22"/>
        </w:rPr>
      </w:pPr>
      <w:r w:rsidRPr="00725D15">
        <w:rPr>
          <w:rFonts w:cs="Arial"/>
          <w:szCs w:val="22"/>
        </w:rPr>
        <w:t xml:space="preserve">We analyzed all fully adjudicated Part D claims occurring between the date of hospice admission and date of death. The 25 most common medications obtained through Part D by hospice patients were determined along with the prevalence of post-admission receipt of opioid analgesics, preventative medications, and at least one Part D medication. Dispensing patterns were evaluated for the overall cohort and stratified by the admission diagnosis groups described above. The preventative therapeutic and drug classes assessed are provided in </w:t>
      </w:r>
      <w:r w:rsidR="00492435">
        <w:rPr>
          <w:rFonts w:cs="Arial"/>
          <w:b/>
          <w:szCs w:val="22"/>
        </w:rPr>
        <w:t xml:space="preserve">TABLE </w:t>
      </w:r>
      <w:r w:rsidR="00C35635">
        <w:rPr>
          <w:rFonts w:cs="Arial"/>
          <w:b/>
          <w:szCs w:val="22"/>
        </w:rPr>
        <w:t>I</w:t>
      </w:r>
      <w:r w:rsidR="00492435">
        <w:rPr>
          <w:rFonts w:cs="Arial"/>
          <w:b/>
          <w:szCs w:val="22"/>
        </w:rPr>
        <w:t>V</w:t>
      </w:r>
      <w:r w:rsidRPr="00725D15">
        <w:rPr>
          <w:rFonts w:cs="Arial"/>
          <w:szCs w:val="22"/>
        </w:rPr>
        <w:t>. These classes were chosen as representative examples of medications with potentially limited benefit in the setting of limited life expectancy based on the literature.</w:t>
      </w:r>
      <w:r w:rsidR="009130BD">
        <w:rPr>
          <w:rFonts w:cs="Arial"/>
          <w:szCs w:val="22"/>
        </w:rPr>
        <w:fldChar w:fldCharType="begin"/>
      </w:r>
      <w:r w:rsidR="00EC3644">
        <w:rPr>
          <w:rFonts w:cs="Arial"/>
          <w:szCs w:val="22"/>
        </w:rPr>
        <w:instrText xml:space="preserve"> ADDIN ZOTERO_ITEM CSL_CITATION {"citationID":"crY4tUwh","properties":{"formattedCitation":"\\super 41,52,56\\uc0\\u8211{}61,63,66,102\\uc0\\u8211{}104\\nosupersub{}","plainCitation":"41,52,56–61,63,66,102–104","noteIndex":0},"citationItems":[{"id":947,"uris":["http://zotero.org/users/2597747/items/WEERGWMN"],"uri":["http://zotero.org/users/2597747/items/WEERGWMN"],"itemData":{"id":947,"type":"article-journal","title":"Use of unnecessary medications by patients with advanced cancer: cross-sectional survey","container-title":"Supportive Care in Cancer","page":"1313-1318","volume":"19","issue":"9","source":"link.springer.com.proxy.cc.uic.edu","abstract":"Background Cancer patients at the end of life take numerous medications. However, it has not been assessed what proportion of patients take unnecessary medications and which patients are at risk for doing so. Methods Cross-sectional survey of medications utilized by terminally ill ambulatory cancer patients, with the aim of identifying medications considered unnecessary as per explicit criteria. The criteria took into account whether drugs could benefit patients with terminal cancer. Results Among 87 patients, 21 (24%, 95% confidence interval [CI] 15.6–34.5%) were taking at least one unnecessary medication, the most common being gastric protectors. In multivariable analyses, patients with Charlson Comobidity Index ≤ 1 (OR: 4.49, CI95% 1.32–15.26; p = 0.01) or whose medication list had not been reconciled by physicians (OR: 6.38, CI95% 1.21–33.40; p = 0.02) were more likely to use an unnecessary medication. Conclusion Patients with advanced cancer take many medications considered unnecessary. Medication reconciliation should be performed routinely for these patients.","DOI":"10.1007/s00520-010-0947-1","ISSN":"0941-4355, 1433-7339","shortTitle":"Use of unnecessary medications by patients with advanced cancer","journalAbbreviation":"Support Care Cancer","language":"en","author":[{"family":"Fede","given":"Angelo"},{"family":"Miranda","given":"Michele"},{"family":"Antonangelo","given":"Daniella"},{"family":"Trevizan","given":"Ligia"},{"family":"Schaffhausser","given":"Henrique"},{"family":"Hamermesz","given":"Bruno"},{"family":"Zimmermann","given":"Camile"},{"family":"Giglio","given":"Auro Del"},{"family":"Riechelmann","given":"Rachel P."}],"issued":{"date-parts":[["2010",7,21]]}}},{"id":266,"uris":["http://zotero.org/users/2597747/items/E965IK6T"],"uri":["http://zotero.org/users/2597747/items/E965IK6T"],"itemData":{"id":266,"type":"article-journal","title":"Futile medication use in terminally ill cancer patients","container-title":"Supportive Care in Cancer","page":"745-748","volume":"17","issue":"6","source":"link.springer.com.proxy.cc.uic.edu","abstract":"Background Cancer patients usually take many medications. The proportion of patients with advanced cancer who are taking futile drugs is unknown. Materials and methods We retrospectively reviewed the charts of all consecutive ambulatory patients with advanced cancer and who were receiving supportive care exclusively at palliative care clinics, Princess Margaret Hospital, to gather information on futile medications used by them. Futile medications were defined as unnecessary (when no short-term benefit to patients with respect to survival, quality of life, or symptom control was anticipated) or duplicate (two or more drugs from the same pharmacological class). Summary statistics were used to describe the results. Results From November 2005 to July 2006, 82 (22%) of 372 patients were taking at least one futile medication before consultation; after initial consultation, this proportion dropped to 20% (78): 70 patients were taking unnecessary medications, while eight were on duplicate medications. The most frequent unnecessary medications used by patients were statins (56%). The most common duplicate medication involved the use of two different benzodiazepines (seven patients). Conclusion About one fifth of cancer outpatients at the end of life take futile medications, most commonly statins. Prospective and population-based studies are warranted to further evaluate the magnitude and consequences of futile medication use in oncology.","DOI":"10.1007/s00520-008-0541-y","ISSN":"0941-4355, 1433-7339","journalAbbreviation":"Support Care Cancer","language":"en","author":[{"family":"Riechelmann","given":"Rachel P."},{"family":"Krzyzanowska","given":"Monika K."},{"family":"Zimmermann","given":"Camilla"}],"issued":{"date-parts":[["2008",11,22]]}}},{"id":2121,"uris":["http://zotero.org/users/2597747/items/48QSB3DF"],"uri":["http://zotero.org/users/2597747/items/48QSB3DF"],"itemData":{"id":2121,"type":"article-journal","title":"Blood pressure evaluation and review of antihypertensive medication in patients with life limiting illness","container-title":"International Journal of Clinical Pharmacy","page":"1-4","source":"link.springer.com.proxy.cc.uic.edu","abstract":"Background Patients with life limiting illness commonly have multiple co-morbidities that require the use of complex, costly pharmacotherapy. One such example is using medications to treat hypertension in life limiting illness. Objective To: (1) assess the prevalence of previously documented hypertension and associated blood pressure in a cohort of patients with life limiting illness; and, (2) assess the appropriateness of antihypertensive medication in this patient group. Method This was a single centre study at a tertiary, specialist palliative care centre in Northern England. Electronic medical notes were reviewed and data were extracted. Antihypertensive medication was assessed for appropriateness using a conceptual framework. Results A total number of 54 patients were included in the study. Twenty six (48.1 %) had previously documented hypertension: the mean blood pressure of which was 122/65 mmHg (SD 17.0/10.5), while for the normotensive patients it was 122/73 mmHg (SD 21.0/11.6). Of the 26 patients using antihypertensive medication, 25 were assessed as using the medication inappropriately. Conclusions The blood pressure for patients with previously documented hypertension who access specialist palliative care day services is commonly below the NICE target threshold. The majority of these patients are prescribed antihypertensive medications inappropriately.","DOI":"10.1007/s11096-016-0327-0","ISSN":"2210-7703, 2210-7711","journalAbbreviation":"Int J Clin Pharm","language":"en","author":[{"family":"Dewhurst","given":"Felicity"},{"family":"Baker","given":"Lisa"},{"family":"Andrew","given":"Inga"},{"family":"Todd","given":"Adam"}],"issued":{"date-parts":[["2016",6,24]]}}},{"id":940,"uris":["http://zotero.org/users/2597747/items/767KC4EI"],"uri":["http://zotero.org/users/2597747/items/767KC4EI"],"itemData":{"id":940,"type":"article-journal","title":"Evaluation of Prescribing Medications for Terminal Cancer Patients near Death: Essential or Futile","container-title":"Cancer Research and Treatment","page":"220-225","volume":"45","issue":"3","source":"PubMed Central","abstract":"Purpose\nThe purpose of this study is to evaluate the prescription of essential or futile medications for terminal cancer patients during their final admission.\n\nMaterials and Methods\nWe conducted a retrospective review of the medical charts of terminally ill cancer patients admitted to the Hemato-oncology Department of two teaching hospitals from March 1, 2007 to December 31, 2009. Essential medications were based on the drugs listed by the International Association for Hospice and Palliative Care, while futile medications were defined when short-term benefit to patients with respect to survival, quality of life, or symptom control was not anticipated.\n\nResults\nA total of 196 patients were included. Among essential medications, strong opioids were the most frequently prescribed drugs during the last admission (62.2% fentanyl, 44.3% morphine), followed by megestrol (46.0%), and metoclopramide (37.2%); 51% of gastric protectors were prescribed with potential futility. Anti-hypertensive and antiglycemic agents were administered to those who experienced arterial blood pressure below 90 mm Hg (47.3%) or presented with a single measurement of fasting glucose below 50 mg/dL (10.7%), respectively. Statins were prescribed to 6.1% (12/196) of patients, and 75% of those prescriptions were regarded as futile.\n\nConclusion\nOur data suggest that effective prescription of essential medications and withdrawal from futile medications should be actively reconciled for improvement of a patient's end-of-life care.","DOI":"10.4143/crt.2013.45.3.220","ISSN":"1598-2998","note":"PMID: 24155681\nPMCID: PMC3804734","shortTitle":"Evaluation of Prescribing Medications for Terminal Cancer Patients near Death","journalAbbreviation":"Cancer Res Treat","author":[{"family":"Lee","given":"Hye Ran"},{"family":"Yi","given":"Seong Yoon"},{"family":"Kim","given":"Do Yeun"}],"issued":{"date-parts":[["2013",9]]}}},{"id":794,"uris":["http://zotero.org/users/2597747/items/5X4MX3IZ"],"uri":["http://zotero.org/users/2597747/items/5X4MX3IZ"],"itemData":{"id":794,"type":"article-journal","title":"Integrating Palliative Medicine into the Care of Persons with Advanced Dementia: Identifying Appropriate Medication Use","container-title":"Journal of the American Geriatrics Society","page":"1306-1311","volume":"56","issue":"7","source":"CrossRef","DOI":"10.1111/j.1532-5415.2008.01741.x","ISSN":"00028614, 15325415","shortTitle":"Integrating Palliative Medicine into the Care of Persons with Advanced Dementia","language":"en","author":[{"family":"Holmes","given":"Holly M."},{"family":"Sachs","given":"Greg A."},{"family":"Shega","given":"Joseph W."},{"family":"Hougham","given":"Gavin W."},{"family":"Cox Hayley","given":"Deon"},{"family":"Dale","given":"William"}],"issued":{"date-parts":[["2008",7]]}}},{"id":1080,"uris":["http://zotero.org/users/2597747/items/GEQ6SQPH"],"uri":["http://zotero.org/users/2597747/items/GEQ6SQPH"],"itemData":{"id":1080,"type":"article-journal","title":"The development and evaluation of an oncological palliative care deprescribing guideline: the ‘OncPal deprescribing guideline’","container-title":"Supportive Care in Cancer","page":"71-78","volume":"23","issue":"1","source":"link.springer.com.proxy.cc.uic.edu","abstract":"Purpose Current data suggests that potentially inappropriate medicines (PIMs) are common in palliative cancer patients; however, there is a lack of criteria to assist clinicians in identifying PIMs in these patients. The aims of this study were to design and validate a deprescribing guideline for palliative cancer patients and to undertake a descriptive analysis of the identified PIMs. Methods This prospective, non-interventional cohort study consisted of four major stages: developing an ‘OncPal Deprescribing Guideline’ from current evidence, the prospective recruitment of consecutive palliative cancer inpatients with an estimated &lt;6-month prognosis, the assessment of all medications to identify PIMs using both a panel of medical experts without access to the guideline as well as a Clinical Pharmacist independently using the OncPal Deprescribing Guideline and the evaluation of the guideline by testing concordance. Descriptive data on the incidence of PIMs identified were also assessed. Results A total of 61 patients were recruited. The OncPal Deprescribing Guideline matched 94 % of 617 medicines to the expert panel with a Kappa value of 0.83 [95 % CI (0.76, 0.89)] demonstrating an ‘outstanding’ concordance. Forty-three (70 %) patients were taking at least one PIM, with 21.4 % of the total medicines assessed identified as PIMs. The medication-associated cost per patient/month was AUD$26.71. Conclusion A guideline to assist in the de-escalation of inappropriate medications in palliative cancer patients was developed from current literature. The OncPal Deprescribing Guideline was successfully validated, demonstrating statistically significant concordance with an expert panel. We found that the incidence of PIMs was high in our patient group, demonstrating the potential benefits for the OncPal Deprescribing Guideline in clinical practice.","DOI":"10.1007/s00520-014-2322-0","ISSN":"0941-4355, 1433-7339","shortTitle":"The development and evaluation of an oncological palliative care deprescribing guideline","journalAbbreviation":"Support Care Cancer","language":"en","author":[{"family":"Lindsay","given":"Julian"},{"family":"Dooley","given":"Michael"},{"family":"Martin","given":"Jennifer"},{"family":"Fay","given":"Michael"},{"family":"Kearney","given":"Alison"},{"family":"Khatun","given":"Mohsina"},{"family":"Barras","given":"Michael"}],"issued":{"date-parts":[["2014",7,1]]}}},{"id":2291,"uris":["http://zotero.org/users/2597747/items/94XG3AWI"],"uri":["http://zotero.org/users/2597747/items/94XG3AWI"],"itemData":{"id":2291,"type":"article-journal","title":"Decision Making About Change of Medication for Comorbid Disease at the End of Life: An Integrative Review","container-title":"Drugs &amp; Aging","page":"501-512","volume":"31","issue":"7","source":"EBSCOhost","abstract":"The main goal of palliative care is to improve quality of life by treating symptoms in patients with life-threatening illnesses. Most patients suffer from more than five severe comorbidities in the last 6 months of life. However, for patients receiving palliative care, interventions to prevent possible long-term complications of these comorbidities are no longer the primary aim of care. This paper aimed to review the literature regarding decision making about medication for comorbid disease at the end of life, defined as a life expectancy &lt;3 months, and to formulate preliminary recommendations based on the existing literature. An integrative review approach was used. We searched the MEDLINE, EMBASE, and CINAHL databases. Papers were included if they had been published in the English language between 1 January 1995 and 31 December 2013, with an abstract. Additional studies were identified by searching bibliographies. Factors to consider when systematically reviewing medications are the goals of care, remaining life expectancy, treatment targets, time until benefit, number needed to treat, number needed to harm, and adverse drug reactions. Existing research focuses particularly on the use of certain drug classes during end-of-life care, including statins, antihypertensive agents, anticoagulants, antihyperglycaemic agents and antibiotics. Based on the results of this review, we made preliminary recommendations for these medication groups. Medication that does not benefit the patient in any way should be avoided. The aim of medication at the end of life should be symptom control. There is a need for prospective trials to give further insight into the decision-making process of medication management at the end of life.","DOI":"10.1007/s40266-014-0182-4","ISSN":"1170-229X","shortTitle":"Decision Making About Change of Medication for Comorbid Disease at the End of Life","journalAbbreviation":"Drugs &amp; Aging","author":[{"family":"Nordennen","given":"Ronald"},{"family":"Lavrijsen","given":"Jan"},{"family":"Vissers","given":"Kris"},{"family":"Koopmans","given":"Raymond"}],"issued":{"date-parts":[["2014",7]]}}},{"id":1136,"uris":["http://zotero.org/users/2597747/items/XJSFCK97"],"uri":["http://zotero.org/users/2597747/items/XJSFCK97"],"itemData":{"id":1136,"type":"article-journal","title":"Variation in medication use in cancer patients at the end of life: a cross-sectional analysis","container-title":"Supportive Care in Cancer","page":"1003-1011","volume":"21","issue":"4","source":"PubMed","abstract":"PURPOSE: Despite advances in cancer treatment, patients still die with unnecessary suffering. Therefore, high-quality end-of-life care is needed. Variations in medication use at the end of life may suggest areas for improvement. This study aims to describe the use of medications during the last days of life of cancer patients and to explore the possibility of using it as a quality measure.\nMETHODS: We conducted an international survey on experts' opinions regarding potentially inappropriate medications for dying patients. Subsequently, a chart review of deceased cancer patients was conducted, which assessed the current medication use in different settings.\nRESULTS: The mean number of medications used in the last 3 days of life was 4.8 (SD 2.1). Hospital patients were less likely than hospice patients to receive opioids, midazolam, haloperidol, and drugs for pulmonary secretions or nausea/vomiting. Over 90 % of experts rated 12 medications as unlikely to be appropriate. Hospital patients were more likely than hospice patients to receive these potentially inappropriate medications. Before the implementation of an end-of-life care pathway, hospital patients had a higher probability, than after, to receive potentially inappropriate medication. Moreover, after implementation of such pathway, patients for whom a pathway was not used were more likely to receive potentially inappropriate medications than patients for whom it was used.\nCONCLUSION: Medication use at the end of life varies widely by setting, both for potentially appropriate and inappropriate medications. Combining experts' opinion and current medication use resulted in the identification of 16 medications that might be used to assess the quality of cancer care at the end of life.","DOI":"10.1007/s00520-012-1619-0","ISSN":"1433-7339","note":"PMID: 23064901","shortTitle":"Variation in medication use in cancer patients at the end of life","journalAbbreviation":"Support Care Cancer","language":"eng","author":[{"family":"Raijmakers","given":"N. J. H."},{"family":"Zuylen","given":"L.","non-dropping-particle":"van"},{"family":"Furst","given":"C. J."},{"family":"Beccaro","given":"M."},{"family":"Maiorana","given":"L."},{"family":"Pilastri","given":"P."},{"family":"Rossi","given":"C."},{"family":"Flego","given":"G."},{"family":"Heide","given":"A.","non-dropping-particle":"van der"},{"family":"Costantini","given":"M."}],"issued":{"date-parts":[["2013",4]]}}},{"id":516,"uris":["http://zotero.org/users/2597747/items/BWX6NFA2"],"uri":["http://zotero.org/users/2597747/items/BWX6NFA2"],"itemData":{"id":516,"type":"article-journal","title":"Inappropriate prescribing in patients accessing specialist palliative day care services","container-title":"International Journal of Clinical Pharmacy","page":"535-543","volume":"36","issue":"3","source":"link.springer.com.proxy.cc.uic.edu","abstract":"Background For patients accessing specialist palliative care day services, medication is prescribed routinely to manage acute symptoms, treat long-term conditions or prevent adverse events associated with these conditions. As such, the pharmacotherapeutic burden for these patients is high and polypharmacy is common. Consequently, the risk of these patients developing drug-related toxicities through drug–drug interactions is exacerbated. Medication use in this group should, therefore, be evaluated regularly to align with achievable therapeutic outcomes considering remaining life expectancy. Objective To (1) assess the prevalence of inappropriate medication use; (2) identify potential drug–drug interactions; and, (3) determine how many potential drug–drug interactions could be prevented by discontinuing inappropriate medication. Setting A specialist tertiary care palliative care centre in Northern England serving a population of 330,000. Main outcome measure Prescribing of inappropriate medication. Method Medication histories for patients accessing a specialist palliative day care centre were established and a modified Delphi method was used to reach consensus of medication appropriateness. The Delphi method utilized a framework considering the following factors: remaining life expectancy of the patient, time until benefit of the treatment, goals of care and treatment targets. Potential drug interactions were established using drug interaction recognition software and categorised by their ability to cause harm. Results A total number of 132 patients were assessed during the study period who were prescribed 1,532 (mean = 12/patient) medications; 238 (16 %) were considered inappropriate in the context of limited life expectancy. The most common class of medications considered inappropriate were the statins, observed in 35 (27 %) patients. A total of 267 potential drug–drug interactions were identified; 112 were clinically significant and 155 were not considered clinically significant. Discontinuation of inappropriate medication would reduce the total number of medications taken to 1,294 (mean = 10/patient) and prevent 31 clinically significant potential drug–drug interactions. Conclusion Patients accessing specialist palliative day care services take many inappropriate medications. These medications not only increase the pharmacotherapeutic burden for the patient but they also contribute to potential drug–drug interactions. These patients should have their medication reviewed in the context of life limiting illness aligned with achievable therapeutic outcomes.","DOI":"10.1007/s11096-014-9932-y","ISSN":"2210-7703, 2210-7711","journalAbbreviation":"Int J Clin Pharm","language":"en","author":[{"family":"Todd","given":"A."},{"family":"Nazar","given":"H."},{"family":"Pearson","given":"S."},{"family":"Andrew","given":"I."},{"family":"Baker","given":"L."},{"family":"Husband","given":"A."}],"issued":{"date-parts":[["2014",3,22]]}}},{"id":1097,"uris":["http://zotero.org/users/2597747/items/JQJ8E6C6"],"uri":["http://zotero.org/users/2597747/items/JQJ8E6C6"],"itemData":{"id":1097,"type":"article-journal","title":"Drug Therapy Optimization at the End of Life","container-title":"Drugs &amp; Aging","page":"511-521","volume":"29","issue":"6","source":"EBSCOhost","abstract":"Older people reaching end-of-life status are particularly at risk of adverse effects of drug therapy. Polypharmacy, declining organ function, comorbidity, malnutrition, cachexia and changes in body composition all sum up to increase the risk of many drug-related problems in individuals who receive end-of-life care. End of life is defined by a limited lifespan or advanced disability. Optimal prescribing for end-of-life patients with multimorbidity, especially in those dying from non-cancer conditions, remains mostly unexplored, despite the increasing recognition that the management goals for patients with chronic diseases should be redefined in the setting of reduced life expectancy. Most drugs used for symptom palliation in end-of-life care of older patients are used without solid evidence of their benefits and risks in this particularly frail population. Appropriate dosing or optimal administration routes are in most cases unknown. Avoiding or discontinuing drugs that aim to prolong life or prevent disability is usually common sense in end-of-life care, particularly when the time needed to obtain the expected benefits from the drug is longer than the life expectancy of a particular individual. However, discontinuation of drugs is not standard practice, and prescriptions are usually not adapted to changes in the course of advanced diseases. Careful consideration of remaining life expectancy, time until benefit, goals of care and treatment targets for each drug seems to be a sensible framework for decision making. In this article, some key issues on drug therapy at the end of life are discussed, including principles of decision making about drug treatments, specific aspects of drug therapy in some common geriatric conditions (heart failure and dementia), treatment of acute concurrent problems such as infections, evidence to guide the choice and use of drugs to treat symptoms in palliative care, and avoidance of some long-term therapies in end-of-life care. Solid evidence is lacking to guide optimal pharmacotherapy in most endof-life settings, especially in non-cancer diseases and very old patients. Some open questions for research are suggested.","DOI":"10.2165/11631740-000000000-00000","ISSN":"1170-229X","journalAbbreviation":"Drugs &amp; Aging","author":[{"family":"Cruz-Jentoft","given":"Alfonso J."},{"family":"Boland","given":"Benoit"},{"family":"Rexach","given":"Lourdes"}],"issued":{"date-parts":[["2012",6]]}}},{"id":575,"uris":["http://zotero.org/users/2597747/items/JD6EB6VZ"],"uri":["http://zotero.org/users/2597747/items/JD6EB6VZ"],"itemData":{"id":575,"type":"article-journal","title":"Patients with advanced lung cancer: is there scope to discontinue inappropriate medication?","container-title":"International Journal of Clinical Pharmacy","page":"181-184","volume":"35","issue":"2","source":"link.springer.com.proxy.cc.uic.edu","abstract":"Background Polypharmacy—taking five or medications per day—is common in lung cancer patients. This patient group is prescribed medication to control acute symptoms associated with cancer and also to prevent or treat other long-term conditions. These medications increase the pill burden for the patient and also the probability of developing a drug-related toxicity. Objective To assess the prevalence of inappropriate medication in patients taking erlotinib for the treatment of advanced non-small cell lung cancer. Method This was a multicentre study across three sites in the North of England. Medication histories for patients receiving erlotinib were retrospectively extracted from medical notes and assessed by the clinical team (a consultant pharmacist, nurse specialist and clinical oncologist) to determine if the medication was appropriate or inappropriate. The clinical team considered the following factors when deciding if the medication was appropriate or inappropriate: remaining life expectancy of the patient, time until benefit of the treatment, goals of care and treatment targets. Results Among the 20 patients assessed, 19 (95 %) according to the clinical team were taking medications that were inappropriate. The mean number of medications the patients were taking was 8 (range 1–16) and the most common class of medication used were drugs affecting the Central Nervous System. In addition, there were 11 patients (55 %) who were taking erlotinib in combination with a proton pump inhibitor (PPI)—a clinically significant drug interaction that impairs the absorption of erlotinib. Conclusions Patients taking erlotinib for the treatment of advanced non-small cell lung cancer take many inappropriate medications for the treatment or prevention of long-term conditions. These patients should have their medications reviewed in the context of their original therapeutic goals.","DOI":"10.1007/s11096-012-9731-2","ISSN":"2210-7703, 2210-7711","shortTitle":"Patients with advanced lung cancer","journalAbbreviation":"Int J Clin Pharm","language":"en","author":[{"family":"Todd","given":"Adam"},{"family":"Williamson","given":"Steve"},{"family":"Husband","given":"Andy"},{"family":"Baqir","given":"Wasim"},{"family":"Mahony","given":"Mairead"}],"issued":{"date-parts":[["2012",12,11]]}}},{"id":4020,"uris":["http://zotero.org/users/2597747/items/ZGIQV9AG"],"uri":["http://zotero.org/users/2597747/items/ZGIQV9AG"],"itemData":{"id":4020,"type":"article-journal","title":"STOPPFrail (Screening Tool of Older Persons Prescriptions in Frail adults with limited life expectancy): consensus validation","container-title":"Age and Ageing","page":"600-607","volume":"46","issue":"4","source":"PubMed","abstract":"Objective: to validate STOPPFrail, a list of explicit criteria for potentially inappropriate medication (PIM) use in frail older adults with limited life expectancy.\nDesign: a Delphi consensus survey of an expert panel comprising academic geriatricians, clinical pharmacologists, palliative care physicians, old age psychiatrists, general practitioners and clinical pharmacists.\nSetting: Ireland.\nSubjects: seventeen panellists.\nMethods: STOPPFrail criteria were initially created by the authors based on clinical experience and literature appraisal. Criteria were organised according to the physiological system; each criterion accompanied by an explanation. Using Delphi consensus methodology, panellists ranked their agreement with each criterion on a 5-point Likert scale and provided written feedback. Criteria with a median Likert response of 4/5 (agree/strongly agree) and a 25th centile of ≥4 were included in the final list.\nResults: all panellists completed three Delphi rounds. Thirty criteria were proposed, 27 were accepted. The first two criteria suggest deprescribing medications without indication or where compliance is poor. The remaining 25 criteria include lipid-lowering therapies, alpha-blockers for hypertension, anti-platelets, neuroleptics, memantine, proton-pump inhibitors, H2-receptor antagonists, anti-spasmodic agents, theophylline, leukotriene antagonists, calcium supplements, bone anti-resorptive therapy, selective oestrogen receptor modulators, non-steroidal anti-inflammatories, corticosteroids, 5-alpha-reductase inhibitors, alpha-1-selective blockers, muscarinic antagonists, oral diabetic agents, ACE-inhibitors, angiotensin receptor blockers, systemic oestrogens, multivitamins, nutritional supplements and prophylactic antibiotics. Consensus could not be reached on the inclusion of acetylcholinesterase inhibitors. Full consensus was reached on the exclusion of anticoagulants and antidepressants from the list.\nConclusion: STOPPFrail comprises 27 criteria relating to medications that are potentially inappropriate in frail older patients with limited life expectancy. STOPPFrail may assist physicians in deprescribing medications in these patients.","DOI":"10.1093/ageing/afx005","ISSN":"1468-2834","note":"PMID: 28119312","shortTitle":"STOPPFrail (Screening Tool of Older Persons Prescriptions in Frail adults with limited life expectancy)","journalAbbreviation":"Age Ageing","language":"eng","author":[{"family":"Lavan","given":"Amanda Hanora"},{"family":"Gallagher","given":"Paul"},{"family":"Parsons","given":"Carole"},{"family":"O'Mahony","given":"Denis"}],"issued":{"date-parts":[["2017",7,1]]}}},{"id":4161,"uris":["http://zotero.org/users/2597747/items/4BTLQMZK"],"uri":["http://zotero.org/users/2597747/items/4BTLQMZK"],"itemData":{"id":4161,"type":"article-journal","title":"Inappropriate prescribing of preventative medication in patients with life-limiting illness: a systematic review","container-title":"BMJ supportive &amp; palliative care","page":"113-121","volume":"7","issue":"2","source":"PubMed","abstract":"OBJECTIVES: To systematically review the literature to examine the methods used to identify inappropriate prescribing of preventative medication in patients with life-limiting illness and to detail the nature of medications prescribed.\nMETHODS: A systematic literature search of 4 databases was undertaken (MEDLINE, EMBASE, CINAHL, PsycINFO) from inception to April 2015 to identify peer-reviewed, observational studies assessing inappropriate prescribing of preventative medication in patients with life-limiting illness. Inclusion criteria were: participants had a life-limiting illness; prescribed/dispensed/using preventative medication; medication appropriateness assessed as a specific study aim or outcome.\nRESULTS: We found 19 studies meeting our eligibility criteria. The methods used to assess medication appropriateness included criteria developed for the elderly such as the Beers Criteria, and Screening Tool of Older Persons' potentially inappropriate Prescriptions (STOPP) criteria, Delphi consensus and expert clinical opinion. Lipid-regulating drugs (12 studies), antihypertensive (11 studies) and antidiabetic medications (9 studies) were the most common classes of inappropriate medication identified.\nCONCLUSIONS: Patients with life-limiting illnesses are prescribed preventative medications considered inappropriate in the context of diminished life expectancy. The way in which preventative medication appropriateness is assessed in patients with life-limiting illness varies considerably-with some methodologies utilising criteria previously developed for elderly populations. Given this lack of standardisation, improving the prescribing in this context requires an approach that is specifically designed and validated for populations with life-limiting illness.","DOI":"10.1136/bmjspcare-2015-000941","ISSN":"2045-4368","note":"PMID: 26733578","shortTitle":"Inappropriate prescribing of preventative medication in patients with life-limiting illness","journalAbbreviation":"BMJ Support Palliat Care","language":"eng","author":[{"family":"Todd","given":"Adam"},{"family":"Husband","given":"Andy"},{"family":"Andrew","given":"Inga"},{"family":"Pearson","given":"Sallie-Anne"},{"family":"Lindsey","given":"Laura"},{"family":"Holmes","given":"Holly"}],"issued":{"date-parts":[["2017",6]]}}}],"schema":"https://github.com/citation-style-language/schema/raw/master/csl-citation.json"} </w:instrText>
      </w:r>
      <w:r w:rsidR="009130BD">
        <w:rPr>
          <w:rFonts w:cs="Arial"/>
          <w:szCs w:val="22"/>
        </w:rPr>
        <w:fldChar w:fldCharType="separate"/>
      </w:r>
      <w:r w:rsidR="00B55AC2" w:rsidRPr="00B55AC2">
        <w:rPr>
          <w:rFonts w:cs="Arial"/>
          <w:szCs w:val="24"/>
          <w:vertAlign w:val="superscript"/>
        </w:rPr>
        <w:t>41,52,56–61,63,66,102–104</w:t>
      </w:r>
      <w:r w:rsidR="009130BD">
        <w:rPr>
          <w:rFonts w:cs="Arial"/>
          <w:szCs w:val="22"/>
        </w:rPr>
        <w:fldChar w:fldCharType="end"/>
      </w:r>
      <w:r w:rsidRPr="00725D15">
        <w:rPr>
          <w:rFonts w:cs="Arial"/>
          <w:szCs w:val="22"/>
        </w:rPr>
        <w:t xml:space="preserve"> Conversely, opioid analgesics were chosen to represent medications that are appropriate in the hospice setting, but should overwhelmingly be provided by a patient’s hospice program as opposed to through the Part D benefit. To evaluate temporal trends, the prevalence of receiving the selected drug and therapeutic classes was evaluated by year of hospice admission. </w:t>
      </w:r>
    </w:p>
    <w:p w14:paraId="3B006841" w14:textId="77777777" w:rsidR="00DB1A50" w:rsidRPr="00725D15" w:rsidRDefault="00DB1A50" w:rsidP="00DF3833">
      <w:pPr>
        <w:pStyle w:val="Style3"/>
      </w:pPr>
      <w:bookmarkStart w:id="73" w:name="_Toc507326049"/>
      <w:r w:rsidRPr="00725D15">
        <w:t>2.3.3 Statistical Analysis</w:t>
      </w:r>
      <w:bookmarkEnd w:id="73"/>
    </w:p>
    <w:p w14:paraId="32A4644F" w14:textId="79B89D7C" w:rsidR="000E1166" w:rsidRDefault="00FC7B75" w:rsidP="00C02916">
      <w:pPr>
        <w:spacing w:after="0"/>
        <w:rPr>
          <w:rFonts w:cs="Arial"/>
          <w:szCs w:val="22"/>
        </w:rPr>
      </w:pPr>
      <w:r w:rsidRPr="00725D15">
        <w:rPr>
          <w:rFonts w:cs="Arial"/>
          <w:szCs w:val="22"/>
        </w:rPr>
        <w:t xml:space="preserve">Descriptive statistics were used to describe baseline characteristics and post-hospice admission Part D dispensing. Receipt of individual medications, drug classes, and therapeutic classes through Part D were expressed as the proportion of patients with at least one Part D dispensing for that medication or class after hospice admission. Baseline patient characteristics </w:t>
      </w:r>
      <w:r w:rsidR="000E1166" w:rsidRPr="00725D15">
        <w:rPr>
          <w:rFonts w:cs="Arial"/>
          <w:szCs w:val="22"/>
        </w:rPr>
        <w:t xml:space="preserve">were </w:t>
      </w:r>
      <w:r w:rsidR="000E1166" w:rsidRPr="00725D15">
        <w:rPr>
          <w:rFonts w:cs="Arial"/>
          <w:szCs w:val="22"/>
        </w:rPr>
        <w:lastRenderedPageBreak/>
        <w:t>compared using t-tests and chi-square tests, as appropriate. Absolute differences with 95% confidence intervals</w:t>
      </w:r>
      <w:r w:rsidR="005153F6">
        <w:rPr>
          <w:rFonts w:cs="Arial"/>
          <w:szCs w:val="22"/>
        </w:rPr>
        <w:t xml:space="preserve"> (CIs)</w:t>
      </w:r>
      <w:r w:rsidR="000E1166" w:rsidRPr="00725D15">
        <w:rPr>
          <w:rFonts w:cs="Arial"/>
          <w:szCs w:val="22"/>
        </w:rPr>
        <w:t xml:space="preserve"> were used to describe medication class-specific differences in the prevalence of Part D dispensing between patients whose hospice qualifying diagnosis was a cancer versus non-cancer cause. Statistical tests were two-sided with </w:t>
      </w:r>
      <w:r w:rsidR="000E1166" w:rsidRPr="00725D15">
        <w:rPr>
          <w:rFonts w:cs="Arial"/>
          <w:i/>
          <w:szCs w:val="22"/>
        </w:rPr>
        <w:t>p-</w:t>
      </w:r>
      <w:r w:rsidR="000E1166" w:rsidRPr="00725D15">
        <w:rPr>
          <w:rFonts w:cs="Arial"/>
          <w:szCs w:val="22"/>
        </w:rPr>
        <w:t>values &lt;0.05 considered statistically significant. All analyses were conducted using SAS software, version 9.4 (SAS Institute Inc., Cary, NC). The institutional review board at the University of Illinois at Chicago approved this study.</w:t>
      </w:r>
    </w:p>
    <w:p w14:paraId="722C6921" w14:textId="77777777" w:rsidR="009C117A" w:rsidRDefault="009C117A" w:rsidP="00C02916">
      <w:pPr>
        <w:spacing w:after="0"/>
        <w:rPr>
          <w:rFonts w:cs="Arial"/>
          <w:szCs w:val="22"/>
        </w:rPr>
      </w:pPr>
    </w:p>
    <w:p w14:paraId="72E07B84" w14:textId="77777777" w:rsidR="009C117A" w:rsidRDefault="009C117A" w:rsidP="00C02916">
      <w:pPr>
        <w:spacing w:after="0"/>
        <w:rPr>
          <w:rFonts w:cs="Arial"/>
          <w:szCs w:val="22"/>
        </w:rPr>
      </w:pPr>
    </w:p>
    <w:p w14:paraId="28EF5E22" w14:textId="77777777" w:rsidR="009C117A" w:rsidRDefault="009C117A" w:rsidP="00C02916">
      <w:pPr>
        <w:spacing w:after="0"/>
        <w:rPr>
          <w:rFonts w:cs="Arial"/>
          <w:szCs w:val="22"/>
        </w:rPr>
      </w:pPr>
    </w:p>
    <w:p w14:paraId="01FAF67A" w14:textId="77777777" w:rsidR="009C117A" w:rsidRDefault="009C117A" w:rsidP="00C02916">
      <w:pPr>
        <w:spacing w:after="0"/>
        <w:rPr>
          <w:rFonts w:cs="Arial"/>
          <w:szCs w:val="22"/>
        </w:rPr>
      </w:pPr>
    </w:p>
    <w:p w14:paraId="13CE5BAC" w14:textId="77777777" w:rsidR="009C117A" w:rsidRDefault="009C117A" w:rsidP="00C02916">
      <w:pPr>
        <w:spacing w:after="0"/>
        <w:rPr>
          <w:rFonts w:cs="Arial"/>
          <w:szCs w:val="22"/>
        </w:rPr>
      </w:pPr>
    </w:p>
    <w:p w14:paraId="6E9F958C" w14:textId="77777777" w:rsidR="009C117A" w:rsidRDefault="009C117A" w:rsidP="00C02916">
      <w:pPr>
        <w:spacing w:after="0"/>
        <w:rPr>
          <w:rFonts w:cs="Arial"/>
          <w:szCs w:val="22"/>
        </w:rPr>
      </w:pPr>
    </w:p>
    <w:p w14:paraId="7B391850" w14:textId="77777777" w:rsidR="009C117A" w:rsidRDefault="009C117A" w:rsidP="00C02916">
      <w:pPr>
        <w:spacing w:after="0"/>
        <w:rPr>
          <w:rFonts w:cs="Arial"/>
          <w:szCs w:val="22"/>
        </w:rPr>
      </w:pPr>
    </w:p>
    <w:p w14:paraId="5866AA06" w14:textId="77777777" w:rsidR="009C117A" w:rsidRDefault="009C117A" w:rsidP="00C02916">
      <w:pPr>
        <w:spacing w:after="0"/>
        <w:rPr>
          <w:rFonts w:cs="Arial"/>
          <w:szCs w:val="22"/>
        </w:rPr>
      </w:pPr>
    </w:p>
    <w:p w14:paraId="759596D9" w14:textId="77777777" w:rsidR="009C117A" w:rsidRDefault="009C117A" w:rsidP="00C02916">
      <w:pPr>
        <w:spacing w:after="0"/>
        <w:rPr>
          <w:rFonts w:cs="Arial"/>
          <w:szCs w:val="22"/>
        </w:rPr>
      </w:pPr>
    </w:p>
    <w:p w14:paraId="06C8E78A" w14:textId="77777777" w:rsidR="009C117A" w:rsidRDefault="009C117A" w:rsidP="00C02916">
      <w:pPr>
        <w:spacing w:after="0"/>
        <w:rPr>
          <w:rFonts w:cs="Arial"/>
          <w:szCs w:val="22"/>
        </w:rPr>
      </w:pPr>
    </w:p>
    <w:p w14:paraId="64675167" w14:textId="77777777" w:rsidR="009C117A" w:rsidRDefault="009C117A" w:rsidP="00C02916">
      <w:pPr>
        <w:spacing w:after="0"/>
        <w:rPr>
          <w:rFonts w:cs="Arial"/>
          <w:szCs w:val="22"/>
        </w:rPr>
      </w:pPr>
    </w:p>
    <w:p w14:paraId="6AAAC611" w14:textId="77777777" w:rsidR="009C117A" w:rsidRDefault="009C117A" w:rsidP="00C02916">
      <w:pPr>
        <w:spacing w:after="0"/>
        <w:rPr>
          <w:rFonts w:cs="Arial"/>
          <w:szCs w:val="22"/>
        </w:rPr>
      </w:pPr>
    </w:p>
    <w:p w14:paraId="347D585D" w14:textId="77777777" w:rsidR="009C117A" w:rsidRDefault="009C117A" w:rsidP="00C02916">
      <w:pPr>
        <w:spacing w:after="0"/>
        <w:rPr>
          <w:rFonts w:cs="Arial"/>
          <w:szCs w:val="22"/>
        </w:rPr>
      </w:pPr>
    </w:p>
    <w:p w14:paraId="47B3A7A0" w14:textId="77777777" w:rsidR="009C117A" w:rsidRDefault="009C117A" w:rsidP="00C02916">
      <w:pPr>
        <w:spacing w:after="0"/>
        <w:rPr>
          <w:rFonts w:cs="Arial"/>
          <w:szCs w:val="22"/>
        </w:rPr>
      </w:pPr>
    </w:p>
    <w:p w14:paraId="523275AC" w14:textId="77777777" w:rsidR="009C117A" w:rsidRDefault="009C117A" w:rsidP="00C02916">
      <w:pPr>
        <w:spacing w:after="0"/>
        <w:rPr>
          <w:rFonts w:cs="Arial"/>
          <w:szCs w:val="22"/>
        </w:rPr>
      </w:pPr>
    </w:p>
    <w:p w14:paraId="74D92B70" w14:textId="77777777" w:rsidR="009C117A" w:rsidRDefault="009C117A" w:rsidP="00C02916">
      <w:pPr>
        <w:spacing w:after="0"/>
        <w:rPr>
          <w:rFonts w:cs="Arial"/>
          <w:szCs w:val="22"/>
        </w:rPr>
      </w:pPr>
    </w:p>
    <w:p w14:paraId="4A644D5D" w14:textId="77777777" w:rsidR="009C117A" w:rsidRDefault="009C117A" w:rsidP="00C02916">
      <w:pPr>
        <w:spacing w:after="0"/>
        <w:rPr>
          <w:rFonts w:cs="Arial"/>
          <w:szCs w:val="22"/>
        </w:rPr>
      </w:pPr>
    </w:p>
    <w:p w14:paraId="206F50E1" w14:textId="77777777" w:rsidR="00B609D9" w:rsidRDefault="00B609D9" w:rsidP="000E1166">
      <w:pPr>
        <w:spacing w:after="0"/>
        <w:jc w:val="center"/>
        <w:rPr>
          <w:rFonts w:cs="Arial"/>
          <w:b/>
          <w:szCs w:val="22"/>
        </w:rPr>
      </w:pPr>
    </w:p>
    <w:p w14:paraId="697E90F1" w14:textId="77777777" w:rsidR="00B609D9" w:rsidRDefault="00B609D9" w:rsidP="000E1166">
      <w:pPr>
        <w:spacing w:after="0"/>
        <w:jc w:val="center"/>
        <w:rPr>
          <w:rFonts w:cs="Arial"/>
          <w:b/>
          <w:szCs w:val="22"/>
        </w:rPr>
      </w:pPr>
    </w:p>
    <w:p w14:paraId="0107FBD5" w14:textId="78477EB8" w:rsidR="000E1166" w:rsidRDefault="000E1166" w:rsidP="000E1166">
      <w:pPr>
        <w:spacing w:after="0"/>
        <w:jc w:val="center"/>
        <w:rPr>
          <w:rFonts w:cs="Arial"/>
          <w:b/>
          <w:szCs w:val="22"/>
        </w:rPr>
      </w:pPr>
      <w:r>
        <w:rPr>
          <w:rFonts w:cs="Arial"/>
          <w:b/>
          <w:szCs w:val="22"/>
        </w:rPr>
        <w:lastRenderedPageBreak/>
        <w:t xml:space="preserve">TABLE </w:t>
      </w:r>
      <w:r w:rsidR="00C35635">
        <w:rPr>
          <w:rFonts w:cs="Arial"/>
          <w:b/>
          <w:szCs w:val="22"/>
        </w:rPr>
        <w:t>I</w:t>
      </w:r>
      <w:r>
        <w:rPr>
          <w:rFonts w:cs="Arial"/>
          <w:b/>
          <w:szCs w:val="22"/>
        </w:rPr>
        <w:t>V</w:t>
      </w:r>
    </w:p>
    <w:p w14:paraId="0EC693C6" w14:textId="5AA47552" w:rsidR="000E1166" w:rsidRPr="00B609D9" w:rsidRDefault="00B609D9" w:rsidP="00B609D9">
      <w:pPr>
        <w:pStyle w:val="Caption"/>
        <w:ind w:left="1350" w:right="1440"/>
        <w:rPr>
          <w:rFonts w:cs="Arial"/>
          <w:caps w:val="0"/>
          <w:szCs w:val="22"/>
        </w:rPr>
      </w:pPr>
      <w:bookmarkStart w:id="74" w:name="_Toc507327153"/>
      <w:bookmarkStart w:id="75" w:name="_Toc507329273"/>
      <w:r w:rsidRPr="00F91CD1">
        <w:t>PREVENTATIVE THERAPEUTIC CLASSE</w:t>
      </w:r>
      <w:r w:rsidR="000F64B1">
        <w:t>S AND DRUG CLASSES ASSESSED FOR</w:t>
      </w:r>
      <w:r>
        <w:t xml:space="preserve"> </w:t>
      </w:r>
      <w:r w:rsidRPr="00F91CD1">
        <w:t>RECEIPT THROUGH PART D AFTER HOSPICE ADMISSION</w:t>
      </w:r>
      <w:bookmarkEnd w:id="74"/>
      <w:bookmarkEnd w:id="75"/>
    </w:p>
    <w:tbl>
      <w:tblPr>
        <w:tblW w:w="61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80"/>
        <w:gridCol w:w="3697"/>
      </w:tblGrid>
      <w:tr w:rsidR="00492435" w:rsidRPr="00BA1D24" w14:paraId="40FAC316" w14:textId="77777777" w:rsidTr="005A38E0">
        <w:trPr>
          <w:trHeight w:val="300"/>
          <w:jc w:val="center"/>
        </w:trPr>
        <w:tc>
          <w:tcPr>
            <w:tcW w:w="2480" w:type="dxa"/>
            <w:tcBorders>
              <w:top w:val="single" w:sz="4" w:space="0" w:color="auto"/>
              <w:left w:val="nil"/>
              <w:bottom w:val="single" w:sz="4" w:space="0" w:color="auto"/>
              <w:right w:val="nil"/>
            </w:tcBorders>
            <w:shd w:val="clear" w:color="auto" w:fill="auto"/>
            <w:noWrap/>
            <w:vAlign w:val="bottom"/>
            <w:hideMark/>
          </w:tcPr>
          <w:p w14:paraId="6E5B68E6" w14:textId="77777777" w:rsidR="00492435" w:rsidRPr="00492435" w:rsidRDefault="00492435" w:rsidP="00492435">
            <w:pPr>
              <w:spacing w:after="0" w:line="240" w:lineRule="auto"/>
              <w:jc w:val="center"/>
              <w:rPr>
                <w:b/>
                <w:bCs/>
                <w:color w:val="000000"/>
                <w:sz w:val="20"/>
              </w:rPr>
            </w:pPr>
            <w:r w:rsidRPr="00492435">
              <w:rPr>
                <w:b/>
                <w:bCs/>
                <w:color w:val="000000"/>
                <w:sz w:val="20"/>
              </w:rPr>
              <w:t>Therapeutic Class</w:t>
            </w:r>
            <w:r w:rsidRPr="00492435">
              <w:rPr>
                <w:b/>
                <w:bCs/>
                <w:color w:val="000000"/>
                <w:sz w:val="20"/>
                <w:vertAlign w:val="superscript"/>
              </w:rPr>
              <w:t>a</w:t>
            </w:r>
          </w:p>
        </w:tc>
        <w:tc>
          <w:tcPr>
            <w:tcW w:w="3697" w:type="dxa"/>
            <w:tcBorders>
              <w:top w:val="single" w:sz="4" w:space="0" w:color="auto"/>
              <w:left w:val="nil"/>
              <w:bottom w:val="single" w:sz="4" w:space="0" w:color="auto"/>
              <w:right w:val="nil"/>
            </w:tcBorders>
            <w:shd w:val="clear" w:color="auto" w:fill="auto"/>
            <w:noWrap/>
            <w:vAlign w:val="bottom"/>
            <w:hideMark/>
          </w:tcPr>
          <w:p w14:paraId="43D44228" w14:textId="77777777" w:rsidR="00492435" w:rsidRPr="00492435" w:rsidRDefault="00492435" w:rsidP="00492435">
            <w:pPr>
              <w:spacing w:after="0" w:line="240" w:lineRule="auto"/>
              <w:jc w:val="center"/>
              <w:rPr>
                <w:b/>
                <w:bCs/>
                <w:color w:val="000000"/>
                <w:sz w:val="20"/>
                <w:vertAlign w:val="superscript"/>
              </w:rPr>
            </w:pPr>
            <w:r w:rsidRPr="00492435">
              <w:rPr>
                <w:b/>
                <w:bCs/>
                <w:color w:val="000000"/>
                <w:sz w:val="20"/>
              </w:rPr>
              <w:t>Associated Drug Classes</w:t>
            </w:r>
            <w:r w:rsidRPr="00492435">
              <w:rPr>
                <w:b/>
                <w:bCs/>
                <w:color w:val="000000"/>
                <w:sz w:val="20"/>
                <w:vertAlign w:val="superscript"/>
              </w:rPr>
              <w:t>a</w:t>
            </w:r>
          </w:p>
        </w:tc>
      </w:tr>
      <w:tr w:rsidR="00492435" w:rsidRPr="00BA1D24" w14:paraId="32F587EE" w14:textId="77777777" w:rsidTr="005A38E0">
        <w:trPr>
          <w:trHeight w:val="1200"/>
          <w:jc w:val="center"/>
        </w:trPr>
        <w:tc>
          <w:tcPr>
            <w:tcW w:w="2480" w:type="dxa"/>
            <w:tcBorders>
              <w:top w:val="single" w:sz="4" w:space="0" w:color="auto"/>
              <w:left w:val="nil"/>
              <w:bottom w:val="nil"/>
              <w:right w:val="nil"/>
            </w:tcBorders>
            <w:shd w:val="clear" w:color="auto" w:fill="auto"/>
            <w:noWrap/>
            <w:vAlign w:val="center"/>
            <w:hideMark/>
          </w:tcPr>
          <w:p w14:paraId="6F1AF290" w14:textId="77777777" w:rsidR="00492435" w:rsidRPr="00BA1D24" w:rsidRDefault="00492435" w:rsidP="00492435">
            <w:pPr>
              <w:spacing w:after="0" w:line="240" w:lineRule="auto"/>
              <w:rPr>
                <w:color w:val="000000"/>
                <w:sz w:val="20"/>
              </w:rPr>
            </w:pPr>
            <w:r w:rsidRPr="00BA1D24">
              <w:rPr>
                <w:color w:val="000000"/>
                <w:sz w:val="20"/>
              </w:rPr>
              <w:t>Anti-hyperlipidemic</w:t>
            </w:r>
          </w:p>
        </w:tc>
        <w:tc>
          <w:tcPr>
            <w:tcW w:w="3697" w:type="dxa"/>
            <w:tcBorders>
              <w:top w:val="single" w:sz="4" w:space="0" w:color="auto"/>
              <w:left w:val="nil"/>
              <w:bottom w:val="nil"/>
              <w:right w:val="nil"/>
            </w:tcBorders>
            <w:shd w:val="clear" w:color="auto" w:fill="auto"/>
            <w:vAlign w:val="center"/>
            <w:hideMark/>
          </w:tcPr>
          <w:p w14:paraId="77D87AC4" w14:textId="77777777" w:rsidR="00492435" w:rsidRDefault="00492435" w:rsidP="00492435">
            <w:pPr>
              <w:spacing w:after="0" w:line="240" w:lineRule="auto"/>
              <w:rPr>
                <w:color w:val="000000"/>
                <w:sz w:val="20"/>
              </w:rPr>
            </w:pPr>
            <w:r w:rsidRPr="00BA1D24">
              <w:rPr>
                <w:color w:val="000000"/>
                <w:sz w:val="20"/>
              </w:rPr>
              <w:t xml:space="preserve">HMG-CoA reductase inhibitors </w:t>
            </w:r>
          </w:p>
          <w:p w14:paraId="46EAA62B" w14:textId="77777777" w:rsidR="00492435" w:rsidRPr="00BA1D24" w:rsidRDefault="00492435" w:rsidP="00492435">
            <w:pPr>
              <w:spacing w:after="0" w:line="240" w:lineRule="auto"/>
              <w:rPr>
                <w:color w:val="000000"/>
                <w:sz w:val="20"/>
              </w:rPr>
            </w:pPr>
            <w:r w:rsidRPr="00BA1D24">
              <w:rPr>
                <w:color w:val="000000"/>
                <w:sz w:val="20"/>
              </w:rPr>
              <w:t>Fibric acid derivatives                                                        Bile acid sequestrants                                             2-azetidinones (ezetimibe)</w:t>
            </w:r>
          </w:p>
        </w:tc>
      </w:tr>
      <w:tr w:rsidR="00492435" w:rsidRPr="00BA1D24" w14:paraId="355E1B75" w14:textId="77777777" w:rsidTr="005A38E0">
        <w:trPr>
          <w:trHeight w:val="3000"/>
          <w:jc w:val="center"/>
        </w:trPr>
        <w:tc>
          <w:tcPr>
            <w:tcW w:w="2480" w:type="dxa"/>
            <w:tcBorders>
              <w:top w:val="nil"/>
              <w:left w:val="nil"/>
              <w:bottom w:val="nil"/>
              <w:right w:val="nil"/>
            </w:tcBorders>
            <w:shd w:val="clear" w:color="auto" w:fill="auto"/>
            <w:noWrap/>
            <w:vAlign w:val="center"/>
            <w:hideMark/>
          </w:tcPr>
          <w:p w14:paraId="106C73CE" w14:textId="77777777" w:rsidR="00492435" w:rsidRPr="00BA1D24" w:rsidRDefault="00492435" w:rsidP="00492435">
            <w:pPr>
              <w:spacing w:after="0" w:line="240" w:lineRule="auto"/>
              <w:rPr>
                <w:color w:val="000000"/>
                <w:sz w:val="20"/>
              </w:rPr>
            </w:pPr>
            <w:r w:rsidRPr="00BA1D24">
              <w:rPr>
                <w:color w:val="000000"/>
                <w:sz w:val="20"/>
              </w:rPr>
              <w:t>Antihypertensive</w:t>
            </w:r>
          </w:p>
        </w:tc>
        <w:tc>
          <w:tcPr>
            <w:tcW w:w="3697" w:type="dxa"/>
            <w:tcBorders>
              <w:top w:val="nil"/>
              <w:left w:val="nil"/>
              <w:bottom w:val="nil"/>
              <w:right w:val="nil"/>
            </w:tcBorders>
            <w:shd w:val="clear" w:color="auto" w:fill="auto"/>
            <w:vAlign w:val="center"/>
            <w:hideMark/>
          </w:tcPr>
          <w:p w14:paraId="2BA35E1C" w14:textId="77777777" w:rsidR="00492435" w:rsidRPr="00BA1D24" w:rsidRDefault="00492435" w:rsidP="00492435">
            <w:pPr>
              <w:spacing w:after="0" w:line="240" w:lineRule="auto"/>
              <w:rPr>
                <w:color w:val="000000"/>
                <w:sz w:val="20"/>
              </w:rPr>
            </w:pPr>
            <w:r w:rsidRPr="00BA1D24">
              <w:rPr>
                <w:color w:val="000000"/>
                <w:sz w:val="20"/>
              </w:rPr>
              <w:t>Thiazide diuretics</w:t>
            </w:r>
            <w:r w:rsidRPr="00BA1D24">
              <w:rPr>
                <w:color w:val="000000"/>
                <w:sz w:val="20"/>
              </w:rPr>
              <w:br/>
              <w:t>Other non-loop diuretics</w:t>
            </w:r>
            <w:r>
              <w:rPr>
                <w:color w:val="000000"/>
                <w:sz w:val="20"/>
                <w:vertAlign w:val="superscript"/>
              </w:rPr>
              <w:t>b</w:t>
            </w:r>
            <w:r w:rsidRPr="00BA1D24">
              <w:rPr>
                <w:color w:val="000000"/>
                <w:sz w:val="20"/>
              </w:rPr>
              <w:br/>
              <w:t>ACE inhibitors</w:t>
            </w:r>
            <w:r w:rsidRPr="00BA1D24">
              <w:rPr>
                <w:color w:val="000000"/>
                <w:sz w:val="20"/>
              </w:rPr>
              <w:br/>
              <w:t>ARBs</w:t>
            </w:r>
            <w:r w:rsidRPr="00BA1D24">
              <w:rPr>
                <w:color w:val="000000"/>
                <w:sz w:val="20"/>
              </w:rPr>
              <w:br/>
              <w:t>DHP CCBs</w:t>
            </w:r>
            <w:r w:rsidRPr="00BA1D24">
              <w:rPr>
                <w:color w:val="000000"/>
                <w:sz w:val="20"/>
              </w:rPr>
              <w:br/>
              <w:t>Non-DHP CCBs</w:t>
            </w:r>
            <w:r w:rsidRPr="00BA1D24">
              <w:rPr>
                <w:color w:val="000000"/>
                <w:sz w:val="20"/>
              </w:rPr>
              <w:br/>
              <w:t>Beta-blockers</w:t>
            </w:r>
            <w:r w:rsidRPr="00BA1D24">
              <w:rPr>
                <w:color w:val="000000"/>
                <w:sz w:val="20"/>
              </w:rPr>
              <w:br/>
              <w:t>Alpha-blockers</w:t>
            </w:r>
            <w:r w:rsidRPr="00BA1D24">
              <w:rPr>
                <w:color w:val="000000"/>
                <w:sz w:val="20"/>
              </w:rPr>
              <w:br/>
              <w:t>Centrally-acting agents</w:t>
            </w:r>
            <w:r w:rsidRPr="00BA1D24">
              <w:rPr>
                <w:color w:val="000000"/>
                <w:sz w:val="20"/>
              </w:rPr>
              <w:br/>
              <w:t>Vasodilators</w:t>
            </w:r>
            <w:r w:rsidRPr="00BA1D24">
              <w:rPr>
                <w:color w:val="000000"/>
                <w:sz w:val="20"/>
              </w:rPr>
              <w:br/>
              <w:t>Direct renin inhibitors</w:t>
            </w:r>
          </w:p>
        </w:tc>
      </w:tr>
      <w:tr w:rsidR="00492435" w:rsidRPr="00BA1D24" w14:paraId="73D540A0" w14:textId="77777777" w:rsidTr="005A38E0">
        <w:trPr>
          <w:trHeight w:val="1602"/>
          <w:jc w:val="center"/>
        </w:trPr>
        <w:tc>
          <w:tcPr>
            <w:tcW w:w="2480" w:type="dxa"/>
            <w:tcBorders>
              <w:top w:val="nil"/>
              <w:left w:val="nil"/>
              <w:bottom w:val="nil"/>
              <w:right w:val="nil"/>
            </w:tcBorders>
            <w:shd w:val="clear" w:color="auto" w:fill="auto"/>
            <w:noWrap/>
            <w:vAlign w:val="center"/>
            <w:hideMark/>
          </w:tcPr>
          <w:p w14:paraId="765035B0" w14:textId="77777777" w:rsidR="00492435" w:rsidRPr="00BA1D24" w:rsidRDefault="00492435" w:rsidP="00492435">
            <w:pPr>
              <w:spacing w:after="0" w:line="240" w:lineRule="auto"/>
              <w:rPr>
                <w:color w:val="000000"/>
                <w:sz w:val="20"/>
              </w:rPr>
            </w:pPr>
            <w:r>
              <w:rPr>
                <w:color w:val="000000"/>
                <w:sz w:val="20"/>
              </w:rPr>
              <w:t xml:space="preserve">Oral </w:t>
            </w:r>
            <w:r w:rsidRPr="00BA1D24">
              <w:rPr>
                <w:color w:val="000000"/>
                <w:sz w:val="20"/>
              </w:rPr>
              <w:t>Antidiabetic</w:t>
            </w:r>
          </w:p>
        </w:tc>
        <w:tc>
          <w:tcPr>
            <w:tcW w:w="3697" w:type="dxa"/>
            <w:tcBorders>
              <w:top w:val="nil"/>
              <w:left w:val="nil"/>
              <w:bottom w:val="nil"/>
              <w:right w:val="nil"/>
            </w:tcBorders>
            <w:shd w:val="clear" w:color="auto" w:fill="auto"/>
            <w:vAlign w:val="center"/>
            <w:hideMark/>
          </w:tcPr>
          <w:p w14:paraId="7E288723" w14:textId="77777777" w:rsidR="00492435" w:rsidRPr="00BA1D24" w:rsidRDefault="00492435" w:rsidP="00492435">
            <w:pPr>
              <w:spacing w:after="0" w:line="240" w:lineRule="auto"/>
              <w:rPr>
                <w:color w:val="000000"/>
                <w:sz w:val="20"/>
              </w:rPr>
            </w:pPr>
            <w:r w:rsidRPr="00BA1D24">
              <w:rPr>
                <w:color w:val="000000"/>
                <w:sz w:val="20"/>
              </w:rPr>
              <w:t>Biguanides</w:t>
            </w:r>
            <w:r w:rsidRPr="00BA1D24">
              <w:rPr>
                <w:color w:val="000000"/>
                <w:sz w:val="20"/>
              </w:rPr>
              <w:br/>
              <w:t>Sulfonylureas</w:t>
            </w:r>
            <w:r w:rsidRPr="00BA1D24">
              <w:rPr>
                <w:color w:val="000000"/>
                <w:sz w:val="20"/>
              </w:rPr>
              <w:br/>
              <w:t>Dipeptidyl peptidase-4 inhibitors</w:t>
            </w:r>
            <w:r w:rsidRPr="00BA1D24">
              <w:rPr>
                <w:color w:val="000000"/>
                <w:sz w:val="20"/>
              </w:rPr>
              <w:br/>
              <w:t>Meglitinides</w:t>
            </w:r>
            <w:r w:rsidRPr="00BA1D24">
              <w:rPr>
                <w:color w:val="000000"/>
                <w:sz w:val="20"/>
              </w:rPr>
              <w:br/>
              <w:t>Alpha glucosidase inhibitors</w:t>
            </w:r>
            <w:r w:rsidRPr="00BA1D24">
              <w:rPr>
                <w:color w:val="000000"/>
                <w:sz w:val="20"/>
              </w:rPr>
              <w:br/>
              <w:t>Thiazolidinediones</w:t>
            </w:r>
          </w:p>
        </w:tc>
      </w:tr>
      <w:tr w:rsidR="00492435" w:rsidRPr="00BA1D24" w14:paraId="011AB5D0" w14:textId="77777777" w:rsidTr="005A38E0">
        <w:trPr>
          <w:trHeight w:val="600"/>
          <w:jc w:val="center"/>
        </w:trPr>
        <w:tc>
          <w:tcPr>
            <w:tcW w:w="2480" w:type="dxa"/>
            <w:tcBorders>
              <w:top w:val="nil"/>
              <w:left w:val="nil"/>
              <w:bottom w:val="nil"/>
              <w:right w:val="nil"/>
            </w:tcBorders>
            <w:shd w:val="clear" w:color="auto" w:fill="auto"/>
            <w:noWrap/>
            <w:vAlign w:val="center"/>
            <w:hideMark/>
          </w:tcPr>
          <w:p w14:paraId="571D1E27" w14:textId="77777777" w:rsidR="00492435" w:rsidRPr="00BA1D24" w:rsidRDefault="00492435" w:rsidP="00492435">
            <w:pPr>
              <w:spacing w:after="0" w:line="240" w:lineRule="auto"/>
              <w:rPr>
                <w:color w:val="000000"/>
                <w:sz w:val="20"/>
              </w:rPr>
            </w:pPr>
            <w:r w:rsidRPr="00BA1D24">
              <w:rPr>
                <w:color w:val="000000"/>
                <w:sz w:val="20"/>
              </w:rPr>
              <w:t>Anti-dementia</w:t>
            </w:r>
          </w:p>
        </w:tc>
        <w:tc>
          <w:tcPr>
            <w:tcW w:w="3697" w:type="dxa"/>
            <w:tcBorders>
              <w:top w:val="nil"/>
              <w:left w:val="nil"/>
              <w:bottom w:val="nil"/>
              <w:right w:val="nil"/>
            </w:tcBorders>
            <w:shd w:val="clear" w:color="auto" w:fill="auto"/>
            <w:vAlign w:val="center"/>
            <w:hideMark/>
          </w:tcPr>
          <w:p w14:paraId="131AAAE4" w14:textId="77777777" w:rsidR="00492435" w:rsidRPr="00BA1D24" w:rsidRDefault="00492435" w:rsidP="00492435">
            <w:pPr>
              <w:spacing w:after="0" w:line="240" w:lineRule="auto"/>
              <w:rPr>
                <w:color w:val="000000"/>
                <w:sz w:val="20"/>
              </w:rPr>
            </w:pPr>
            <w:r w:rsidRPr="00BA1D24">
              <w:rPr>
                <w:color w:val="000000"/>
                <w:sz w:val="20"/>
              </w:rPr>
              <w:t>Cholinesterase inhibitors</w:t>
            </w:r>
            <w:r w:rsidRPr="00BA1D24">
              <w:rPr>
                <w:color w:val="000000"/>
                <w:sz w:val="20"/>
              </w:rPr>
              <w:br/>
              <w:t>NMDA receptor antagonists</w:t>
            </w:r>
          </w:p>
        </w:tc>
      </w:tr>
      <w:tr w:rsidR="00492435" w:rsidRPr="00BA1D24" w14:paraId="23C742DC" w14:textId="77777777" w:rsidTr="005A38E0">
        <w:trPr>
          <w:trHeight w:val="600"/>
          <w:jc w:val="center"/>
        </w:trPr>
        <w:tc>
          <w:tcPr>
            <w:tcW w:w="2480" w:type="dxa"/>
            <w:tcBorders>
              <w:top w:val="nil"/>
              <w:left w:val="nil"/>
              <w:bottom w:val="nil"/>
              <w:right w:val="nil"/>
            </w:tcBorders>
            <w:shd w:val="clear" w:color="auto" w:fill="auto"/>
            <w:noWrap/>
            <w:vAlign w:val="center"/>
            <w:hideMark/>
          </w:tcPr>
          <w:p w14:paraId="78BD9CE3" w14:textId="77777777" w:rsidR="00492435" w:rsidRPr="00BA1D24" w:rsidRDefault="00492435" w:rsidP="00492435">
            <w:pPr>
              <w:spacing w:after="0" w:line="240" w:lineRule="auto"/>
              <w:rPr>
                <w:color w:val="000000"/>
                <w:sz w:val="20"/>
              </w:rPr>
            </w:pPr>
            <w:r w:rsidRPr="00BA1D24">
              <w:rPr>
                <w:color w:val="000000"/>
                <w:sz w:val="20"/>
              </w:rPr>
              <w:t>Anti-osteoporotic</w:t>
            </w:r>
          </w:p>
        </w:tc>
        <w:tc>
          <w:tcPr>
            <w:tcW w:w="3697" w:type="dxa"/>
            <w:tcBorders>
              <w:top w:val="nil"/>
              <w:left w:val="nil"/>
              <w:bottom w:val="nil"/>
              <w:right w:val="nil"/>
            </w:tcBorders>
            <w:shd w:val="clear" w:color="auto" w:fill="auto"/>
            <w:vAlign w:val="center"/>
            <w:hideMark/>
          </w:tcPr>
          <w:p w14:paraId="1D38B6BD" w14:textId="77777777" w:rsidR="00492435" w:rsidRPr="00BA1D24" w:rsidRDefault="00492435" w:rsidP="00492435">
            <w:pPr>
              <w:spacing w:after="0" w:line="240" w:lineRule="auto"/>
              <w:rPr>
                <w:color w:val="000000"/>
                <w:sz w:val="20"/>
              </w:rPr>
            </w:pPr>
            <w:r w:rsidRPr="00BA1D24">
              <w:rPr>
                <w:color w:val="000000"/>
                <w:sz w:val="20"/>
              </w:rPr>
              <w:t>Bisphosphonates</w:t>
            </w:r>
            <w:r w:rsidRPr="00BA1D24">
              <w:rPr>
                <w:color w:val="000000"/>
                <w:sz w:val="20"/>
              </w:rPr>
              <w:br/>
              <w:t>Selective estrogen receptor modulators</w:t>
            </w:r>
          </w:p>
        </w:tc>
      </w:tr>
      <w:tr w:rsidR="00492435" w:rsidRPr="00BA1D24" w14:paraId="525DBB6B" w14:textId="77777777" w:rsidTr="005A38E0">
        <w:trPr>
          <w:trHeight w:val="600"/>
          <w:jc w:val="center"/>
        </w:trPr>
        <w:tc>
          <w:tcPr>
            <w:tcW w:w="2480" w:type="dxa"/>
            <w:tcBorders>
              <w:top w:val="nil"/>
              <w:left w:val="nil"/>
              <w:bottom w:val="nil"/>
              <w:right w:val="nil"/>
            </w:tcBorders>
            <w:shd w:val="clear" w:color="auto" w:fill="auto"/>
            <w:noWrap/>
            <w:vAlign w:val="center"/>
            <w:hideMark/>
          </w:tcPr>
          <w:p w14:paraId="2E5CAF5D" w14:textId="77777777" w:rsidR="00492435" w:rsidRPr="00BA1D24" w:rsidRDefault="00492435" w:rsidP="00492435">
            <w:pPr>
              <w:spacing w:after="0" w:line="240" w:lineRule="auto"/>
              <w:rPr>
                <w:color w:val="000000"/>
                <w:sz w:val="20"/>
              </w:rPr>
            </w:pPr>
            <w:r w:rsidRPr="00BA1D24">
              <w:rPr>
                <w:color w:val="000000"/>
                <w:sz w:val="20"/>
              </w:rPr>
              <w:t>Antiplatelet</w:t>
            </w:r>
          </w:p>
        </w:tc>
        <w:tc>
          <w:tcPr>
            <w:tcW w:w="3697" w:type="dxa"/>
            <w:tcBorders>
              <w:top w:val="nil"/>
              <w:left w:val="nil"/>
              <w:bottom w:val="nil"/>
              <w:right w:val="nil"/>
            </w:tcBorders>
            <w:shd w:val="clear" w:color="auto" w:fill="auto"/>
            <w:vAlign w:val="center"/>
            <w:hideMark/>
          </w:tcPr>
          <w:p w14:paraId="34C05A87" w14:textId="77777777" w:rsidR="00492435" w:rsidRPr="00BA1D24" w:rsidRDefault="00492435" w:rsidP="00492435">
            <w:pPr>
              <w:spacing w:after="0" w:line="240" w:lineRule="auto"/>
              <w:rPr>
                <w:color w:val="000000"/>
                <w:sz w:val="20"/>
              </w:rPr>
            </w:pPr>
            <w:r w:rsidRPr="00BA1D24">
              <w:rPr>
                <w:color w:val="000000"/>
                <w:sz w:val="20"/>
              </w:rPr>
              <w:t>P2Y</w:t>
            </w:r>
            <w:r w:rsidRPr="00BA1D24">
              <w:rPr>
                <w:color w:val="000000"/>
                <w:sz w:val="20"/>
                <w:vertAlign w:val="subscript"/>
              </w:rPr>
              <w:t xml:space="preserve">12 </w:t>
            </w:r>
            <w:r w:rsidRPr="00BA1D24">
              <w:rPr>
                <w:color w:val="000000"/>
                <w:sz w:val="20"/>
              </w:rPr>
              <w:t>inhibitors</w:t>
            </w:r>
            <w:r w:rsidRPr="00BA1D24">
              <w:rPr>
                <w:color w:val="000000"/>
                <w:sz w:val="20"/>
              </w:rPr>
              <w:br/>
              <w:t xml:space="preserve">Combination antiplatelets </w:t>
            </w:r>
          </w:p>
        </w:tc>
      </w:tr>
      <w:tr w:rsidR="00492435" w:rsidRPr="00BA1D24" w14:paraId="410CBEFE" w14:textId="77777777" w:rsidTr="005A38E0">
        <w:trPr>
          <w:trHeight w:val="315"/>
          <w:jc w:val="center"/>
        </w:trPr>
        <w:tc>
          <w:tcPr>
            <w:tcW w:w="2480" w:type="dxa"/>
            <w:tcBorders>
              <w:top w:val="nil"/>
              <w:left w:val="nil"/>
              <w:bottom w:val="single" w:sz="6" w:space="0" w:color="auto"/>
              <w:right w:val="nil"/>
            </w:tcBorders>
            <w:shd w:val="clear" w:color="auto" w:fill="auto"/>
            <w:noWrap/>
            <w:vAlign w:val="center"/>
            <w:hideMark/>
          </w:tcPr>
          <w:p w14:paraId="70EBD18F" w14:textId="720FC5A8" w:rsidR="00492435" w:rsidRPr="000E1166" w:rsidRDefault="00492435" w:rsidP="00492435">
            <w:pPr>
              <w:spacing w:after="0" w:line="240" w:lineRule="auto"/>
              <w:rPr>
                <w:color w:val="000000"/>
                <w:sz w:val="20"/>
                <w:vertAlign w:val="superscript"/>
              </w:rPr>
            </w:pPr>
            <w:r>
              <w:rPr>
                <w:color w:val="000000"/>
                <w:sz w:val="20"/>
              </w:rPr>
              <w:t>Anti-secretory</w:t>
            </w:r>
            <w:r w:rsidR="000E1166">
              <w:rPr>
                <w:color w:val="000000"/>
                <w:sz w:val="20"/>
                <w:vertAlign w:val="superscript"/>
              </w:rPr>
              <w:t>c</w:t>
            </w:r>
          </w:p>
        </w:tc>
        <w:tc>
          <w:tcPr>
            <w:tcW w:w="3697" w:type="dxa"/>
            <w:tcBorders>
              <w:top w:val="nil"/>
              <w:left w:val="nil"/>
              <w:bottom w:val="single" w:sz="6" w:space="0" w:color="auto"/>
              <w:right w:val="nil"/>
            </w:tcBorders>
            <w:shd w:val="clear" w:color="auto" w:fill="auto"/>
            <w:noWrap/>
            <w:vAlign w:val="center"/>
            <w:hideMark/>
          </w:tcPr>
          <w:p w14:paraId="21D3450D" w14:textId="39EA7177" w:rsidR="00492435" w:rsidRPr="003B00B8" w:rsidRDefault="00492435" w:rsidP="00492435">
            <w:pPr>
              <w:spacing w:after="0" w:line="240" w:lineRule="auto"/>
              <w:rPr>
                <w:color w:val="000000"/>
                <w:sz w:val="20"/>
                <w:vertAlign w:val="superscript"/>
              </w:rPr>
            </w:pPr>
            <w:r w:rsidRPr="00BA1D24">
              <w:rPr>
                <w:color w:val="000000"/>
                <w:sz w:val="20"/>
              </w:rPr>
              <w:t>Proton pump inhibitors</w:t>
            </w:r>
          </w:p>
        </w:tc>
      </w:tr>
    </w:tbl>
    <w:p w14:paraId="582446A2" w14:textId="10095018" w:rsidR="00492435" w:rsidRDefault="00492435" w:rsidP="009C117A">
      <w:pPr>
        <w:spacing w:after="0" w:line="240" w:lineRule="auto"/>
        <w:ind w:left="1584"/>
        <w:rPr>
          <w:sz w:val="20"/>
        </w:rPr>
      </w:pPr>
      <w:r w:rsidRPr="00492435">
        <w:rPr>
          <w:sz w:val="20"/>
        </w:rPr>
        <w:t xml:space="preserve">ACE: angiotensin-converting enzyme; ARB: angiotensin receptor blocker; </w:t>
      </w:r>
      <w:r w:rsidR="00932419">
        <w:rPr>
          <w:sz w:val="20"/>
        </w:rPr>
        <w:tab/>
      </w:r>
      <w:r w:rsidR="00932419">
        <w:rPr>
          <w:sz w:val="20"/>
        </w:rPr>
        <w:tab/>
        <w:t xml:space="preserve">     </w:t>
      </w:r>
      <w:r w:rsidRPr="00492435">
        <w:rPr>
          <w:sz w:val="20"/>
        </w:rPr>
        <w:t>CCB: calcium channel blocker; DHP: dihydropyridine</w:t>
      </w:r>
    </w:p>
    <w:p w14:paraId="70FDE1AA" w14:textId="77777777" w:rsidR="00492435" w:rsidRPr="00492435" w:rsidRDefault="00492435" w:rsidP="009C117A">
      <w:pPr>
        <w:spacing w:after="0" w:line="240" w:lineRule="auto"/>
        <w:ind w:left="1584"/>
        <w:rPr>
          <w:sz w:val="20"/>
        </w:rPr>
      </w:pPr>
    </w:p>
    <w:p w14:paraId="02B6A3F9" w14:textId="47570B73" w:rsidR="00492435" w:rsidRDefault="00492435" w:rsidP="009C117A">
      <w:pPr>
        <w:spacing w:after="0" w:line="240" w:lineRule="auto"/>
        <w:ind w:left="1584"/>
        <w:rPr>
          <w:sz w:val="20"/>
        </w:rPr>
      </w:pPr>
      <w:r w:rsidRPr="00492435">
        <w:rPr>
          <w:sz w:val="20"/>
          <w:vertAlign w:val="superscript"/>
        </w:rPr>
        <w:t>a</w:t>
      </w:r>
      <w:r w:rsidRPr="00492435">
        <w:rPr>
          <w:sz w:val="20"/>
        </w:rPr>
        <w:t>Oral and transdermal formulations only</w:t>
      </w:r>
      <w:r w:rsidR="00C35635">
        <w:rPr>
          <w:sz w:val="20"/>
        </w:rPr>
        <w:t>.</w:t>
      </w:r>
    </w:p>
    <w:p w14:paraId="56C72D98" w14:textId="77777777" w:rsidR="00492435" w:rsidRPr="00492435" w:rsidRDefault="00492435" w:rsidP="009C117A">
      <w:pPr>
        <w:spacing w:after="0" w:line="240" w:lineRule="auto"/>
        <w:ind w:left="1584"/>
        <w:rPr>
          <w:sz w:val="20"/>
        </w:rPr>
      </w:pPr>
    </w:p>
    <w:p w14:paraId="1CFC295C" w14:textId="77777777" w:rsidR="005A38E0" w:rsidRDefault="00492435" w:rsidP="009C117A">
      <w:pPr>
        <w:spacing w:after="0" w:line="240" w:lineRule="auto"/>
        <w:ind w:left="1584"/>
        <w:rPr>
          <w:sz w:val="20"/>
        </w:rPr>
      </w:pPr>
      <w:r w:rsidRPr="00492435">
        <w:rPr>
          <w:sz w:val="20"/>
          <w:vertAlign w:val="superscript"/>
        </w:rPr>
        <w:t>b</w:t>
      </w:r>
      <w:r w:rsidRPr="00492435">
        <w:rPr>
          <w:sz w:val="20"/>
        </w:rPr>
        <w:t xml:space="preserve">Includes all formulations of spironolactone and includes amiloride and </w:t>
      </w:r>
      <w:r w:rsidR="005A38E0">
        <w:rPr>
          <w:sz w:val="20"/>
        </w:rPr>
        <w:tab/>
      </w:r>
    </w:p>
    <w:p w14:paraId="33BD493F" w14:textId="715F246C" w:rsidR="00492435" w:rsidRDefault="00492435" w:rsidP="00567980">
      <w:pPr>
        <w:tabs>
          <w:tab w:val="left" w:pos="7920"/>
          <w:tab w:val="left" w:pos="8100"/>
        </w:tabs>
        <w:spacing w:after="0" w:line="240" w:lineRule="auto"/>
        <w:ind w:left="1584"/>
        <w:rPr>
          <w:sz w:val="20"/>
        </w:rPr>
      </w:pPr>
      <w:r w:rsidRPr="00492435">
        <w:rPr>
          <w:sz w:val="20"/>
        </w:rPr>
        <w:t>triamterene in combination with hydrochlorothiazide; loop diuretics excluded</w:t>
      </w:r>
      <w:r w:rsidR="00567980">
        <w:rPr>
          <w:sz w:val="20"/>
        </w:rPr>
        <w:tab/>
      </w:r>
      <w:r w:rsidR="00567980">
        <w:rPr>
          <w:sz w:val="20"/>
        </w:rPr>
        <w:tab/>
      </w:r>
      <w:r w:rsidRPr="00492435">
        <w:rPr>
          <w:sz w:val="20"/>
        </w:rPr>
        <w:t xml:space="preserve"> as use for preventative indications (e.g., essential hypertension) expected</w:t>
      </w:r>
      <w:r w:rsidR="00567980">
        <w:rPr>
          <w:sz w:val="20"/>
        </w:rPr>
        <w:tab/>
      </w:r>
      <w:r w:rsidR="00567980">
        <w:rPr>
          <w:sz w:val="20"/>
        </w:rPr>
        <w:tab/>
      </w:r>
      <w:r w:rsidR="00567980">
        <w:rPr>
          <w:sz w:val="20"/>
        </w:rPr>
        <w:tab/>
        <w:t xml:space="preserve"> to </w:t>
      </w:r>
      <w:r w:rsidRPr="00492435">
        <w:rPr>
          <w:sz w:val="20"/>
        </w:rPr>
        <w:t>be minimal in hospice patients</w:t>
      </w:r>
      <w:r w:rsidR="00C35635">
        <w:rPr>
          <w:sz w:val="20"/>
        </w:rPr>
        <w:t>.</w:t>
      </w:r>
    </w:p>
    <w:p w14:paraId="322CFD5B" w14:textId="77777777" w:rsidR="00492435" w:rsidRPr="00492435" w:rsidRDefault="00492435" w:rsidP="009C117A">
      <w:pPr>
        <w:spacing w:after="0" w:line="240" w:lineRule="auto"/>
        <w:ind w:left="1584"/>
        <w:rPr>
          <w:sz w:val="20"/>
        </w:rPr>
      </w:pPr>
    </w:p>
    <w:p w14:paraId="47A232D2" w14:textId="77777777" w:rsidR="00567980" w:rsidRDefault="00492435" w:rsidP="009C117A">
      <w:pPr>
        <w:spacing w:after="0" w:line="240" w:lineRule="auto"/>
        <w:ind w:left="1584"/>
        <w:rPr>
          <w:sz w:val="20"/>
        </w:rPr>
      </w:pPr>
      <w:r w:rsidRPr="00492435">
        <w:rPr>
          <w:sz w:val="20"/>
          <w:vertAlign w:val="superscript"/>
        </w:rPr>
        <w:t>c</w:t>
      </w:r>
      <w:r w:rsidR="000E1166">
        <w:rPr>
          <w:sz w:val="20"/>
        </w:rPr>
        <w:t>C</w:t>
      </w:r>
      <w:r w:rsidR="007D2FB4">
        <w:rPr>
          <w:sz w:val="20"/>
        </w:rPr>
        <w:t>lass c</w:t>
      </w:r>
      <w:r w:rsidR="000E1166">
        <w:rPr>
          <w:sz w:val="20"/>
        </w:rPr>
        <w:t>omprised only of proton pump inhibitors</w:t>
      </w:r>
      <w:r w:rsidR="000079CA">
        <w:rPr>
          <w:sz w:val="20"/>
        </w:rPr>
        <w:t xml:space="preserve"> for this research</w:t>
      </w:r>
      <w:r w:rsidR="009C117A">
        <w:rPr>
          <w:sz w:val="20"/>
        </w:rPr>
        <w:t xml:space="preserve"> and </w:t>
      </w:r>
      <w:r w:rsidR="00567980">
        <w:rPr>
          <w:sz w:val="20"/>
        </w:rPr>
        <w:tab/>
      </w:r>
    </w:p>
    <w:p w14:paraId="7FAFBBCB" w14:textId="6A0547C8" w:rsidR="00492435" w:rsidRPr="00492435" w:rsidRDefault="009C117A" w:rsidP="00567980">
      <w:pPr>
        <w:spacing w:after="0" w:line="240" w:lineRule="auto"/>
        <w:ind w:left="1584"/>
        <w:rPr>
          <w:sz w:val="20"/>
        </w:rPr>
        <w:sectPr w:rsidR="00492435" w:rsidRPr="00492435" w:rsidSect="005A38E0">
          <w:footerReference w:type="default" r:id="rId14"/>
          <w:pgSz w:w="12240" w:h="15840"/>
          <w:pgMar w:top="1440" w:right="1440" w:bottom="1440" w:left="1440" w:header="720" w:footer="720" w:gutter="0"/>
          <w:cols w:space="720"/>
          <w:docGrid w:linePitch="360"/>
        </w:sectPr>
      </w:pPr>
      <w:r>
        <w:rPr>
          <w:sz w:val="20"/>
        </w:rPr>
        <w:t xml:space="preserve">therefore not evaluated </w:t>
      </w:r>
      <w:r w:rsidR="000E1166">
        <w:rPr>
          <w:sz w:val="20"/>
        </w:rPr>
        <w:t>as</w:t>
      </w:r>
      <w:r w:rsidR="000079CA">
        <w:rPr>
          <w:sz w:val="20"/>
        </w:rPr>
        <w:t xml:space="preserve"> a distinct therapeutic class</w:t>
      </w:r>
      <w:r w:rsidR="00C35635">
        <w:rPr>
          <w:sz w:val="20"/>
        </w:rPr>
        <w:t>.</w:t>
      </w:r>
    </w:p>
    <w:p w14:paraId="19AC5F15" w14:textId="2E29EEB0" w:rsidR="00DB1A50" w:rsidRPr="00725D15" w:rsidRDefault="00DB1A50" w:rsidP="00FC7B75">
      <w:pPr>
        <w:pStyle w:val="Style2"/>
        <w:spacing w:before="0" w:after="0" w:line="480" w:lineRule="auto"/>
      </w:pPr>
      <w:bookmarkStart w:id="76" w:name="_Toc507326050"/>
      <w:r w:rsidRPr="00725D15">
        <w:lastRenderedPageBreak/>
        <w:t>2.4 Results</w:t>
      </w:r>
      <w:bookmarkEnd w:id="76"/>
    </w:p>
    <w:p w14:paraId="41933A9A" w14:textId="3C1535F9" w:rsidR="000079CA" w:rsidRPr="00725D15" w:rsidRDefault="00FC7B75" w:rsidP="000079CA">
      <w:pPr>
        <w:ind w:firstLine="720"/>
        <w:rPr>
          <w:rFonts w:cs="Arial"/>
          <w:szCs w:val="22"/>
        </w:rPr>
      </w:pPr>
      <w:r w:rsidRPr="00725D15">
        <w:rPr>
          <w:rFonts w:cs="Arial"/>
          <w:szCs w:val="22"/>
        </w:rPr>
        <w:t>A total of 88,957 Medicare beneficiaries were identified, including 57,204 patients with a cancer-related hospice admission and 31,753 patients with a non-cancer-related hospice admission (</w:t>
      </w:r>
      <w:r w:rsidR="000079CA">
        <w:rPr>
          <w:rFonts w:cs="Arial"/>
          <w:b/>
          <w:szCs w:val="22"/>
        </w:rPr>
        <w:t>FIGURE 2</w:t>
      </w:r>
      <w:r w:rsidRPr="00725D15">
        <w:rPr>
          <w:rFonts w:cs="Arial"/>
          <w:szCs w:val="22"/>
        </w:rPr>
        <w:t>). Compared to patients admitted to hospice for a non-cancer cause, patients admitted for cancer were younger (mean [SD], 79.0 [7.7] years vs 85.5 [7.9] years), less likely to be female (62.2% vs 73.0%), white (84.0% vs 87.7%), or receiving a Part D low-income subsidy (38.2% vs 47.3%), and more likely to be admitted to home hospice (69.3% vs 39.1%) (</w:t>
      </w:r>
      <w:r w:rsidR="00C35635">
        <w:rPr>
          <w:rFonts w:cs="Arial"/>
          <w:b/>
          <w:szCs w:val="22"/>
        </w:rPr>
        <w:t>TABLE V</w:t>
      </w:r>
      <w:r w:rsidRPr="00725D15">
        <w:rPr>
          <w:rFonts w:cs="Arial"/>
          <w:szCs w:val="22"/>
        </w:rPr>
        <w:t>). Patients admitted for cancer had longer hospice lengths of stay compared to non-cancer admissions (median [IQR], 17 [6-47] days vs 12 [4-49] days), and were less likely to have very short (≤7 days, 30.0% vs 39.8%) or very long (≥180 days, 4.8% vs 9.0%) hospice stays. Overall medication use in the year prior to hospice admission was similar between the two groups (</w:t>
      </w:r>
      <w:r w:rsidR="00C35635">
        <w:rPr>
          <w:rFonts w:cs="Arial"/>
          <w:b/>
          <w:szCs w:val="22"/>
        </w:rPr>
        <w:t>TABLE V</w:t>
      </w:r>
      <w:r w:rsidRPr="00725D15">
        <w:rPr>
          <w:rFonts w:cs="Arial"/>
          <w:szCs w:val="22"/>
        </w:rPr>
        <w:t>).</w:t>
      </w:r>
    </w:p>
    <w:p w14:paraId="42FB5ABB" w14:textId="77777777" w:rsidR="000079CA" w:rsidRDefault="000079CA" w:rsidP="00FC7B75">
      <w:pPr>
        <w:ind w:firstLine="720"/>
        <w:rPr>
          <w:rFonts w:cs="Arial"/>
          <w:szCs w:val="22"/>
        </w:rPr>
      </w:pPr>
    </w:p>
    <w:p w14:paraId="3FD49B97" w14:textId="77777777" w:rsidR="000079CA" w:rsidRDefault="000079CA" w:rsidP="00FC7B75">
      <w:pPr>
        <w:ind w:firstLine="720"/>
        <w:rPr>
          <w:rFonts w:cs="Arial"/>
          <w:szCs w:val="22"/>
        </w:rPr>
      </w:pPr>
    </w:p>
    <w:p w14:paraId="5A61B9A9" w14:textId="0BC8E2B6" w:rsidR="000079CA" w:rsidRPr="00725D15" w:rsidRDefault="000079CA" w:rsidP="00FC7B75">
      <w:pPr>
        <w:ind w:firstLine="720"/>
        <w:rPr>
          <w:rFonts w:cs="Arial"/>
          <w:szCs w:val="22"/>
        </w:rPr>
      </w:pPr>
      <w:r>
        <w:rPr>
          <w:b/>
          <w:noProof/>
        </w:rPr>
        <w:lastRenderedPageBreak/>
        <w:drawing>
          <wp:inline distT="0" distB="0" distL="0" distR="0" wp14:anchorId="34AE09DA" wp14:editId="13BCD0B5">
            <wp:extent cx="5467350" cy="7362825"/>
            <wp:effectExtent l="0" t="0" r="0" b="9525"/>
            <wp:docPr id="2" name="Picture 2" descr="C:\Users\Patrick\Box Sync\UIC\Dissertation Research\STUDY DATA AND RESULTS\Paper #1\Final Manuscript Drafts\Manuscript Figure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k\Box Sync\UIC\Dissertation Research\STUDY DATA AND RESULTS\Paper #1\Final Manuscript Drafts\Manuscript Figures\Figure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7350" cy="7362825"/>
                    </a:xfrm>
                    <a:prstGeom prst="rect">
                      <a:avLst/>
                    </a:prstGeom>
                    <a:noFill/>
                    <a:ln>
                      <a:noFill/>
                    </a:ln>
                  </pic:spPr>
                </pic:pic>
              </a:graphicData>
            </a:graphic>
          </wp:inline>
        </w:drawing>
      </w:r>
    </w:p>
    <w:p w14:paraId="4D9F616E" w14:textId="2A1A0A2B" w:rsidR="000079CA" w:rsidRPr="00AE2269" w:rsidRDefault="000079CA" w:rsidP="00AE2269">
      <w:pPr>
        <w:pStyle w:val="Caption"/>
        <w:jc w:val="left"/>
        <w:rPr>
          <w:bCs/>
          <w:caps w:val="0"/>
          <w:color w:val="000000"/>
          <w:szCs w:val="22"/>
        </w:rPr>
      </w:pPr>
      <w:bookmarkStart w:id="77" w:name="_Toc507332049"/>
      <w:r w:rsidRPr="00AE2269">
        <w:rPr>
          <w:rFonts w:cs="Arial"/>
          <w:b/>
          <w:caps w:val="0"/>
          <w:szCs w:val="22"/>
        </w:rPr>
        <w:t>FIGURE 2.</w:t>
      </w:r>
      <w:r w:rsidR="00AE2269" w:rsidRPr="00AE2269">
        <w:rPr>
          <w:rFonts w:cs="Arial"/>
          <w:b/>
          <w:caps w:val="0"/>
          <w:szCs w:val="22"/>
        </w:rPr>
        <w:t xml:space="preserve"> </w:t>
      </w:r>
      <w:r w:rsidR="00806C60">
        <w:rPr>
          <w:caps w:val="0"/>
        </w:rPr>
        <w:t>Patient flow d</w:t>
      </w:r>
      <w:r w:rsidR="00AE2269" w:rsidRPr="00AE2269">
        <w:rPr>
          <w:caps w:val="0"/>
        </w:rPr>
        <w:t>iagram for Aim 1</w:t>
      </w:r>
      <w:r w:rsidRPr="00AE2269">
        <w:rPr>
          <w:bCs/>
          <w:caps w:val="0"/>
          <w:color w:val="000000"/>
          <w:szCs w:val="22"/>
        </w:rPr>
        <w:t>. Application of inclusion and exclusion criteria to reach final study cohort.</w:t>
      </w:r>
      <w:bookmarkEnd w:id="77"/>
    </w:p>
    <w:p w14:paraId="2F3CA390" w14:textId="77777777" w:rsidR="00EE6144" w:rsidRDefault="00EE6144" w:rsidP="00C02916">
      <w:pPr>
        <w:spacing w:after="0" w:line="240" w:lineRule="auto"/>
        <w:jc w:val="center"/>
        <w:rPr>
          <w:b/>
          <w:bCs/>
          <w:color w:val="000000"/>
          <w:szCs w:val="22"/>
        </w:rPr>
      </w:pPr>
    </w:p>
    <w:p w14:paraId="21C50903" w14:textId="4E9A112D" w:rsidR="00C02916" w:rsidRDefault="00C35635" w:rsidP="00C02916">
      <w:pPr>
        <w:spacing w:after="0" w:line="240" w:lineRule="auto"/>
        <w:jc w:val="center"/>
        <w:rPr>
          <w:b/>
          <w:bCs/>
          <w:color w:val="000000"/>
          <w:szCs w:val="22"/>
        </w:rPr>
      </w:pPr>
      <w:r>
        <w:rPr>
          <w:b/>
          <w:bCs/>
          <w:color w:val="000000"/>
          <w:szCs w:val="22"/>
        </w:rPr>
        <w:lastRenderedPageBreak/>
        <w:t>TABLE V</w:t>
      </w:r>
    </w:p>
    <w:p w14:paraId="7FD896E3" w14:textId="77777777" w:rsidR="00C02916" w:rsidRDefault="00C02916" w:rsidP="00C02916">
      <w:pPr>
        <w:spacing w:after="0" w:line="240" w:lineRule="auto"/>
        <w:jc w:val="center"/>
        <w:rPr>
          <w:b/>
          <w:bCs/>
          <w:color w:val="000000"/>
          <w:szCs w:val="22"/>
        </w:rPr>
      </w:pPr>
    </w:p>
    <w:p w14:paraId="1EF77456" w14:textId="7235BF00" w:rsidR="00C02916" w:rsidRPr="00C02916" w:rsidRDefault="000F64B1" w:rsidP="000F64B1">
      <w:pPr>
        <w:pStyle w:val="Caption"/>
        <w:rPr>
          <w:rFonts w:cs="Arial"/>
          <w:caps w:val="0"/>
          <w:szCs w:val="22"/>
        </w:rPr>
      </w:pPr>
      <w:bookmarkStart w:id="78" w:name="_Toc507327154"/>
      <w:bookmarkStart w:id="79" w:name="_Toc507329274"/>
      <w:r w:rsidRPr="00331A66">
        <w:rPr>
          <w:noProof/>
        </w:rPr>
        <w:t>DEMOGRAPHIC AND CLINICAL CHARACTERISTICS OF STUDY COHORT, OVERALL AND BY CANCER AND NON-CANCER PRIMARY ADMISSION DIAGNOSIS</w:t>
      </w:r>
      <w:bookmarkEnd w:id="78"/>
      <w:bookmarkEnd w:id="79"/>
    </w:p>
    <w:tbl>
      <w:tblPr>
        <w:tblW w:w="5000" w:type="pct"/>
        <w:tblBorders>
          <w:top w:val="single" w:sz="4" w:space="0" w:color="auto"/>
          <w:bottom w:val="single" w:sz="4" w:space="0" w:color="auto"/>
        </w:tblBorders>
        <w:tblLook w:val="04A0" w:firstRow="1" w:lastRow="0" w:firstColumn="1" w:lastColumn="0" w:noHBand="0" w:noVBand="1"/>
      </w:tblPr>
      <w:tblGrid>
        <w:gridCol w:w="4409"/>
        <w:gridCol w:w="1651"/>
        <w:gridCol w:w="1651"/>
        <w:gridCol w:w="1649"/>
      </w:tblGrid>
      <w:tr w:rsidR="00C02916" w:rsidRPr="004B64EF" w14:paraId="44E41490" w14:textId="77777777" w:rsidTr="00C02916">
        <w:trPr>
          <w:trHeight w:val="20"/>
        </w:trPr>
        <w:tc>
          <w:tcPr>
            <w:tcW w:w="2355" w:type="pct"/>
            <w:tcBorders>
              <w:top w:val="single" w:sz="4" w:space="0" w:color="auto"/>
              <w:bottom w:val="single" w:sz="4" w:space="0" w:color="auto"/>
            </w:tcBorders>
            <w:shd w:val="clear" w:color="auto" w:fill="auto"/>
            <w:noWrap/>
            <w:vAlign w:val="center"/>
            <w:hideMark/>
          </w:tcPr>
          <w:p w14:paraId="13CE8070" w14:textId="2987BC06" w:rsidR="00C02916" w:rsidRPr="00C02916" w:rsidRDefault="00C02916" w:rsidP="00C02916">
            <w:pPr>
              <w:spacing w:after="0" w:line="240" w:lineRule="auto"/>
              <w:rPr>
                <w:b/>
                <w:sz w:val="20"/>
              </w:rPr>
            </w:pPr>
            <w:r w:rsidRPr="00C02916">
              <w:rPr>
                <w:b/>
                <w:bCs/>
                <w:sz w:val="20"/>
              </w:rPr>
              <w:t>Characteristic</w:t>
            </w:r>
          </w:p>
        </w:tc>
        <w:tc>
          <w:tcPr>
            <w:tcW w:w="882" w:type="pct"/>
            <w:tcBorders>
              <w:top w:val="single" w:sz="4" w:space="0" w:color="auto"/>
              <w:bottom w:val="single" w:sz="4" w:space="0" w:color="auto"/>
            </w:tcBorders>
            <w:shd w:val="clear" w:color="auto" w:fill="auto"/>
            <w:noWrap/>
            <w:vAlign w:val="bottom"/>
          </w:tcPr>
          <w:p w14:paraId="74221021" w14:textId="77777777" w:rsidR="00C02916" w:rsidRPr="00C02916" w:rsidRDefault="00C02916" w:rsidP="00C02916">
            <w:pPr>
              <w:spacing w:after="0" w:line="240" w:lineRule="auto"/>
              <w:jc w:val="center"/>
              <w:rPr>
                <w:b/>
                <w:bCs/>
                <w:sz w:val="20"/>
              </w:rPr>
            </w:pPr>
            <w:r w:rsidRPr="00C02916">
              <w:rPr>
                <w:b/>
                <w:bCs/>
                <w:sz w:val="20"/>
              </w:rPr>
              <w:t>All Patients</w:t>
            </w:r>
          </w:p>
          <w:p w14:paraId="59D1B677" w14:textId="77777777" w:rsidR="00C02916" w:rsidRPr="00C02916" w:rsidRDefault="00C02916" w:rsidP="00C02916">
            <w:pPr>
              <w:spacing w:after="0" w:line="240" w:lineRule="auto"/>
              <w:jc w:val="center"/>
              <w:rPr>
                <w:b/>
                <w:bCs/>
                <w:sz w:val="20"/>
              </w:rPr>
            </w:pPr>
            <w:r w:rsidRPr="00C02916">
              <w:rPr>
                <w:b/>
                <w:bCs/>
                <w:sz w:val="20"/>
              </w:rPr>
              <w:t>(n=88,957)</w:t>
            </w:r>
          </w:p>
        </w:tc>
        <w:tc>
          <w:tcPr>
            <w:tcW w:w="882" w:type="pct"/>
            <w:tcBorders>
              <w:top w:val="single" w:sz="4" w:space="0" w:color="auto"/>
              <w:bottom w:val="single" w:sz="4" w:space="0" w:color="auto"/>
            </w:tcBorders>
            <w:vAlign w:val="bottom"/>
          </w:tcPr>
          <w:p w14:paraId="5D51C7D3" w14:textId="77777777" w:rsidR="00C02916" w:rsidRPr="00C02916" w:rsidRDefault="00C02916" w:rsidP="00C02916">
            <w:pPr>
              <w:spacing w:after="0" w:line="240" w:lineRule="auto"/>
              <w:jc w:val="center"/>
              <w:rPr>
                <w:b/>
                <w:bCs/>
                <w:sz w:val="20"/>
              </w:rPr>
            </w:pPr>
            <w:r w:rsidRPr="00C02916">
              <w:rPr>
                <w:b/>
                <w:bCs/>
                <w:sz w:val="20"/>
              </w:rPr>
              <w:t xml:space="preserve">Cancer </w:t>
            </w:r>
          </w:p>
          <w:p w14:paraId="256BC644" w14:textId="77777777" w:rsidR="00C02916" w:rsidRPr="00C02916" w:rsidRDefault="00C02916" w:rsidP="00C02916">
            <w:pPr>
              <w:spacing w:after="0" w:line="240" w:lineRule="auto"/>
              <w:jc w:val="center"/>
              <w:rPr>
                <w:b/>
                <w:bCs/>
                <w:sz w:val="20"/>
                <w:vertAlign w:val="superscript"/>
              </w:rPr>
            </w:pPr>
            <w:r w:rsidRPr="00C02916">
              <w:rPr>
                <w:b/>
                <w:bCs/>
                <w:sz w:val="20"/>
              </w:rPr>
              <w:t>(n=57,204)</w:t>
            </w:r>
          </w:p>
        </w:tc>
        <w:tc>
          <w:tcPr>
            <w:tcW w:w="881" w:type="pct"/>
            <w:tcBorders>
              <w:top w:val="single" w:sz="4" w:space="0" w:color="auto"/>
              <w:bottom w:val="single" w:sz="4" w:space="0" w:color="auto"/>
            </w:tcBorders>
            <w:vAlign w:val="bottom"/>
          </w:tcPr>
          <w:p w14:paraId="32A1E5A9" w14:textId="77777777" w:rsidR="00C02916" w:rsidRPr="00C02916" w:rsidRDefault="00C02916" w:rsidP="00C02916">
            <w:pPr>
              <w:spacing w:after="0" w:line="240" w:lineRule="auto"/>
              <w:jc w:val="center"/>
              <w:rPr>
                <w:b/>
                <w:bCs/>
                <w:sz w:val="20"/>
              </w:rPr>
            </w:pPr>
            <w:r w:rsidRPr="00C02916">
              <w:rPr>
                <w:b/>
                <w:bCs/>
                <w:sz w:val="20"/>
              </w:rPr>
              <w:t>Non-Cancer</w:t>
            </w:r>
          </w:p>
          <w:p w14:paraId="07F45EC3" w14:textId="77777777" w:rsidR="00C02916" w:rsidRPr="00C02916" w:rsidRDefault="00C02916" w:rsidP="00C02916">
            <w:pPr>
              <w:spacing w:after="0" w:line="240" w:lineRule="auto"/>
              <w:jc w:val="center"/>
              <w:rPr>
                <w:b/>
                <w:bCs/>
                <w:sz w:val="20"/>
                <w:vertAlign w:val="superscript"/>
              </w:rPr>
            </w:pPr>
            <w:r w:rsidRPr="00C02916">
              <w:rPr>
                <w:b/>
                <w:bCs/>
                <w:sz w:val="20"/>
              </w:rPr>
              <w:t xml:space="preserve">(n=31,753) </w:t>
            </w:r>
          </w:p>
        </w:tc>
      </w:tr>
      <w:tr w:rsidR="00C02916" w:rsidRPr="004B64EF" w14:paraId="4E143B0F" w14:textId="77777777" w:rsidTr="00C02916">
        <w:trPr>
          <w:trHeight w:val="20"/>
        </w:trPr>
        <w:tc>
          <w:tcPr>
            <w:tcW w:w="2355" w:type="pct"/>
            <w:tcBorders>
              <w:top w:val="single" w:sz="4" w:space="0" w:color="auto"/>
            </w:tcBorders>
            <w:shd w:val="clear" w:color="auto" w:fill="auto"/>
            <w:noWrap/>
            <w:vAlign w:val="bottom"/>
            <w:hideMark/>
          </w:tcPr>
          <w:p w14:paraId="2310E109" w14:textId="77777777" w:rsidR="00C02916" w:rsidRPr="00B67DB3" w:rsidRDefault="00C02916" w:rsidP="00C02916">
            <w:pPr>
              <w:spacing w:after="0" w:line="240" w:lineRule="auto"/>
              <w:rPr>
                <w:bCs/>
                <w:sz w:val="20"/>
              </w:rPr>
            </w:pPr>
            <w:r w:rsidRPr="00B67DB3">
              <w:rPr>
                <w:bCs/>
                <w:sz w:val="20"/>
              </w:rPr>
              <w:t xml:space="preserve">Age </w:t>
            </w:r>
          </w:p>
        </w:tc>
        <w:tc>
          <w:tcPr>
            <w:tcW w:w="882" w:type="pct"/>
            <w:tcBorders>
              <w:top w:val="single" w:sz="4" w:space="0" w:color="auto"/>
            </w:tcBorders>
            <w:vAlign w:val="bottom"/>
          </w:tcPr>
          <w:p w14:paraId="5995D80E" w14:textId="77777777" w:rsidR="00C02916" w:rsidRPr="00B67DB3" w:rsidRDefault="00C02916" w:rsidP="00C02916">
            <w:pPr>
              <w:spacing w:after="0" w:line="240" w:lineRule="auto"/>
              <w:jc w:val="center"/>
              <w:rPr>
                <w:sz w:val="20"/>
              </w:rPr>
            </w:pPr>
          </w:p>
        </w:tc>
        <w:tc>
          <w:tcPr>
            <w:tcW w:w="882" w:type="pct"/>
            <w:tcBorders>
              <w:top w:val="single" w:sz="4" w:space="0" w:color="auto"/>
            </w:tcBorders>
            <w:vAlign w:val="bottom"/>
          </w:tcPr>
          <w:p w14:paraId="648E7D5B" w14:textId="77777777" w:rsidR="00C02916" w:rsidRPr="00B67DB3" w:rsidRDefault="00C02916" w:rsidP="00C02916">
            <w:pPr>
              <w:spacing w:after="0" w:line="240" w:lineRule="auto"/>
              <w:jc w:val="center"/>
              <w:rPr>
                <w:sz w:val="20"/>
              </w:rPr>
            </w:pPr>
          </w:p>
        </w:tc>
        <w:tc>
          <w:tcPr>
            <w:tcW w:w="881" w:type="pct"/>
            <w:tcBorders>
              <w:top w:val="single" w:sz="4" w:space="0" w:color="auto"/>
            </w:tcBorders>
            <w:vAlign w:val="bottom"/>
          </w:tcPr>
          <w:p w14:paraId="496BF7F5" w14:textId="77777777" w:rsidR="00C02916" w:rsidRPr="00B67DB3" w:rsidRDefault="00C02916" w:rsidP="00C02916">
            <w:pPr>
              <w:spacing w:after="0" w:line="240" w:lineRule="auto"/>
              <w:jc w:val="center"/>
              <w:rPr>
                <w:sz w:val="20"/>
              </w:rPr>
            </w:pPr>
          </w:p>
        </w:tc>
      </w:tr>
      <w:tr w:rsidR="00C02916" w:rsidRPr="004B64EF" w14:paraId="07778AC5" w14:textId="77777777" w:rsidTr="00C02916">
        <w:trPr>
          <w:trHeight w:val="20"/>
        </w:trPr>
        <w:tc>
          <w:tcPr>
            <w:tcW w:w="2355" w:type="pct"/>
            <w:shd w:val="clear" w:color="auto" w:fill="auto"/>
            <w:noWrap/>
            <w:tcMar>
              <w:left w:w="288" w:type="dxa"/>
              <w:right w:w="115" w:type="dxa"/>
            </w:tcMar>
            <w:vAlign w:val="bottom"/>
            <w:hideMark/>
          </w:tcPr>
          <w:p w14:paraId="792A8C1B" w14:textId="77777777" w:rsidR="00C02916" w:rsidRPr="00B67DB3" w:rsidRDefault="00C02916" w:rsidP="00C02916">
            <w:pPr>
              <w:spacing w:after="0" w:line="240" w:lineRule="auto"/>
              <w:rPr>
                <w:sz w:val="20"/>
              </w:rPr>
            </w:pPr>
            <w:r w:rsidRPr="00B67DB3">
              <w:rPr>
                <w:sz w:val="20"/>
              </w:rPr>
              <w:t>Mean (SD)</w:t>
            </w:r>
          </w:p>
        </w:tc>
        <w:tc>
          <w:tcPr>
            <w:tcW w:w="882" w:type="pct"/>
            <w:vAlign w:val="bottom"/>
          </w:tcPr>
          <w:p w14:paraId="704DE9F5" w14:textId="77777777" w:rsidR="00C02916" w:rsidRPr="00B67DB3" w:rsidRDefault="00C02916" w:rsidP="00C02916">
            <w:pPr>
              <w:spacing w:after="0" w:line="240" w:lineRule="auto"/>
              <w:jc w:val="center"/>
              <w:rPr>
                <w:sz w:val="20"/>
              </w:rPr>
            </w:pPr>
            <w:r w:rsidRPr="00B67DB3">
              <w:rPr>
                <w:sz w:val="20"/>
              </w:rPr>
              <w:t>81.3 (8.4)</w:t>
            </w:r>
          </w:p>
        </w:tc>
        <w:tc>
          <w:tcPr>
            <w:tcW w:w="882" w:type="pct"/>
            <w:vAlign w:val="bottom"/>
          </w:tcPr>
          <w:p w14:paraId="78154979" w14:textId="77777777" w:rsidR="00C02916" w:rsidRPr="00B67DB3" w:rsidRDefault="00C02916" w:rsidP="00C02916">
            <w:pPr>
              <w:spacing w:after="0" w:line="240" w:lineRule="auto"/>
              <w:jc w:val="center"/>
              <w:rPr>
                <w:sz w:val="20"/>
              </w:rPr>
            </w:pPr>
            <w:r w:rsidRPr="00B67DB3">
              <w:rPr>
                <w:sz w:val="20"/>
              </w:rPr>
              <w:t>79.0 (7.7)</w:t>
            </w:r>
          </w:p>
        </w:tc>
        <w:tc>
          <w:tcPr>
            <w:tcW w:w="881" w:type="pct"/>
            <w:vAlign w:val="bottom"/>
          </w:tcPr>
          <w:p w14:paraId="63B08F55" w14:textId="77777777" w:rsidR="00C02916" w:rsidRPr="00B67DB3" w:rsidRDefault="00C02916" w:rsidP="00C02916">
            <w:pPr>
              <w:spacing w:after="0" w:line="240" w:lineRule="auto"/>
              <w:jc w:val="center"/>
              <w:rPr>
                <w:sz w:val="20"/>
              </w:rPr>
            </w:pPr>
            <w:r w:rsidRPr="00B67DB3">
              <w:rPr>
                <w:sz w:val="20"/>
              </w:rPr>
              <w:t>85.5 (7.9)</w:t>
            </w:r>
          </w:p>
        </w:tc>
      </w:tr>
      <w:tr w:rsidR="00C02916" w:rsidRPr="004B64EF" w14:paraId="58D13D0A" w14:textId="77777777" w:rsidTr="00C02916">
        <w:trPr>
          <w:trHeight w:val="20"/>
        </w:trPr>
        <w:tc>
          <w:tcPr>
            <w:tcW w:w="2355" w:type="pct"/>
            <w:shd w:val="clear" w:color="auto" w:fill="auto"/>
            <w:noWrap/>
            <w:tcMar>
              <w:left w:w="288" w:type="dxa"/>
              <w:right w:w="115" w:type="dxa"/>
            </w:tcMar>
            <w:vAlign w:val="bottom"/>
          </w:tcPr>
          <w:p w14:paraId="101367B5" w14:textId="77777777" w:rsidR="00C02916" w:rsidRPr="00B67DB3" w:rsidRDefault="00C02916" w:rsidP="00C02916">
            <w:pPr>
              <w:spacing w:after="0" w:line="240" w:lineRule="auto"/>
              <w:rPr>
                <w:sz w:val="20"/>
              </w:rPr>
            </w:pPr>
            <w:r w:rsidRPr="00B67DB3">
              <w:rPr>
                <w:sz w:val="20"/>
              </w:rPr>
              <w:t>66-69 years</w:t>
            </w:r>
          </w:p>
        </w:tc>
        <w:tc>
          <w:tcPr>
            <w:tcW w:w="882" w:type="pct"/>
            <w:vAlign w:val="bottom"/>
          </w:tcPr>
          <w:p w14:paraId="537E50D0" w14:textId="77777777" w:rsidR="00C02916" w:rsidRPr="00B67DB3" w:rsidRDefault="00C02916" w:rsidP="00C02916">
            <w:pPr>
              <w:spacing w:after="0" w:line="240" w:lineRule="auto"/>
              <w:jc w:val="center"/>
              <w:rPr>
                <w:sz w:val="20"/>
              </w:rPr>
            </w:pPr>
            <w:r w:rsidRPr="00B67DB3">
              <w:rPr>
                <w:sz w:val="20"/>
              </w:rPr>
              <w:t>9.5%</w:t>
            </w:r>
          </w:p>
        </w:tc>
        <w:tc>
          <w:tcPr>
            <w:tcW w:w="882" w:type="pct"/>
            <w:vAlign w:val="bottom"/>
          </w:tcPr>
          <w:p w14:paraId="2FEF0F09" w14:textId="77777777" w:rsidR="00C02916" w:rsidRPr="00B67DB3" w:rsidRDefault="00C02916" w:rsidP="00C02916">
            <w:pPr>
              <w:spacing w:after="0" w:line="240" w:lineRule="auto"/>
              <w:jc w:val="center"/>
              <w:rPr>
                <w:sz w:val="20"/>
              </w:rPr>
            </w:pPr>
            <w:r w:rsidRPr="00B67DB3">
              <w:rPr>
                <w:sz w:val="20"/>
              </w:rPr>
              <w:t>12.8%</w:t>
            </w:r>
          </w:p>
        </w:tc>
        <w:tc>
          <w:tcPr>
            <w:tcW w:w="881" w:type="pct"/>
            <w:vAlign w:val="bottom"/>
          </w:tcPr>
          <w:p w14:paraId="01208D16" w14:textId="77777777" w:rsidR="00C02916" w:rsidRPr="00B67DB3" w:rsidRDefault="00C02916" w:rsidP="00C02916">
            <w:pPr>
              <w:spacing w:after="0" w:line="240" w:lineRule="auto"/>
              <w:jc w:val="center"/>
              <w:rPr>
                <w:sz w:val="20"/>
              </w:rPr>
            </w:pPr>
            <w:r w:rsidRPr="00B67DB3">
              <w:rPr>
                <w:sz w:val="20"/>
              </w:rPr>
              <w:t>3.4%</w:t>
            </w:r>
          </w:p>
        </w:tc>
      </w:tr>
      <w:tr w:rsidR="00C02916" w:rsidRPr="004B64EF" w14:paraId="3D55A675" w14:textId="77777777" w:rsidTr="00C02916">
        <w:trPr>
          <w:trHeight w:val="20"/>
        </w:trPr>
        <w:tc>
          <w:tcPr>
            <w:tcW w:w="2355" w:type="pct"/>
            <w:shd w:val="clear" w:color="auto" w:fill="auto"/>
            <w:noWrap/>
            <w:tcMar>
              <w:left w:w="288" w:type="dxa"/>
              <w:right w:w="115" w:type="dxa"/>
            </w:tcMar>
            <w:vAlign w:val="bottom"/>
          </w:tcPr>
          <w:p w14:paraId="6E1F7D60" w14:textId="77777777" w:rsidR="00C02916" w:rsidRPr="00B67DB3" w:rsidRDefault="00C02916" w:rsidP="00C02916">
            <w:pPr>
              <w:spacing w:after="0" w:line="240" w:lineRule="auto"/>
              <w:rPr>
                <w:sz w:val="20"/>
              </w:rPr>
            </w:pPr>
            <w:r w:rsidRPr="00B67DB3">
              <w:rPr>
                <w:sz w:val="20"/>
              </w:rPr>
              <w:t>70-74 years</w:t>
            </w:r>
          </w:p>
        </w:tc>
        <w:tc>
          <w:tcPr>
            <w:tcW w:w="882" w:type="pct"/>
            <w:vAlign w:val="bottom"/>
          </w:tcPr>
          <w:p w14:paraId="4919C1E3" w14:textId="77777777" w:rsidR="00C02916" w:rsidRPr="00B67DB3" w:rsidRDefault="00C02916" w:rsidP="00C02916">
            <w:pPr>
              <w:spacing w:after="0" w:line="240" w:lineRule="auto"/>
              <w:jc w:val="center"/>
              <w:rPr>
                <w:sz w:val="20"/>
              </w:rPr>
            </w:pPr>
            <w:r w:rsidRPr="00B67DB3">
              <w:rPr>
                <w:sz w:val="20"/>
              </w:rPr>
              <w:t>15.7%</w:t>
            </w:r>
          </w:p>
        </w:tc>
        <w:tc>
          <w:tcPr>
            <w:tcW w:w="882" w:type="pct"/>
            <w:vAlign w:val="bottom"/>
          </w:tcPr>
          <w:p w14:paraId="7C2FFE99" w14:textId="77777777" w:rsidR="00C02916" w:rsidRPr="00B67DB3" w:rsidRDefault="00C02916" w:rsidP="00C02916">
            <w:pPr>
              <w:spacing w:after="0" w:line="240" w:lineRule="auto"/>
              <w:jc w:val="center"/>
              <w:rPr>
                <w:sz w:val="20"/>
              </w:rPr>
            </w:pPr>
            <w:r w:rsidRPr="00B67DB3">
              <w:rPr>
                <w:sz w:val="20"/>
              </w:rPr>
              <w:t>20.3%</w:t>
            </w:r>
          </w:p>
        </w:tc>
        <w:tc>
          <w:tcPr>
            <w:tcW w:w="881" w:type="pct"/>
            <w:vAlign w:val="bottom"/>
          </w:tcPr>
          <w:p w14:paraId="58472B51" w14:textId="77777777" w:rsidR="00C02916" w:rsidRPr="00B67DB3" w:rsidRDefault="00C02916" w:rsidP="00C02916">
            <w:pPr>
              <w:spacing w:after="0" w:line="240" w:lineRule="auto"/>
              <w:jc w:val="center"/>
              <w:rPr>
                <w:sz w:val="20"/>
              </w:rPr>
            </w:pPr>
            <w:r w:rsidRPr="00B67DB3">
              <w:rPr>
                <w:sz w:val="20"/>
              </w:rPr>
              <w:t>7.4%</w:t>
            </w:r>
          </w:p>
        </w:tc>
      </w:tr>
      <w:tr w:rsidR="00C02916" w:rsidRPr="004B64EF" w14:paraId="74EB1B3B" w14:textId="77777777" w:rsidTr="00C02916">
        <w:trPr>
          <w:trHeight w:val="20"/>
        </w:trPr>
        <w:tc>
          <w:tcPr>
            <w:tcW w:w="2355" w:type="pct"/>
            <w:shd w:val="clear" w:color="auto" w:fill="auto"/>
            <w:noWrap/>
            <w:tcMar>
              <w:left w:w="288" w:type="dxa"/>
              <w:right w:w="115" w:type="dxa"/>
            </w:tcMar>
            <w:vAlign w:val="bottom"/>
          </w:tcPr>
          <w:p w14:paraId="19DF9CCA" w14:textId="77777777" w:rsidR="00C02916" w:rsidRPr="00B67DB3" w:rsidRDefault="00C02916" w:rsidP="00C02916">
            <w:pPr>
              <w:spacing w:after="0" w:line="240" w:lineRule="auto"/>
              <w:rPr>
                <w:sz w:val="20"/>
              </w:rPr>
            </w:pPr>
            <w:r w:rsidRPr="00B67DB3">
              <w:rPr>
                <w:sz w:val="20"/>
              </w:rPr>
              <w:t>75-79 years</w:t>
            </w:r>
          </w:p>
        </w:tc>
        <w:tc>
          <w:tcPr>
            <w:tcW w:w="882" w:type="pct"/>
            <w:vAlign w:val="bottom"/>
          </w:tcPr>
          <w:p w14:paraId="328EB365" w14:textId="77777777" w:rsidR="00C02916" w:rsidRPr="00B67DB3" w:rsidRDefault="00C02916" w:rsidP="00C02916">
            <w:pPr>
              <w:spacing w:after="0" w:line="240" w:lineRule="auto"/>
              <w:jc w:val="center"/>
              <w:rPr>
                <w:sz w:val="20"/>
              </w:rPr>
            </w:pPr>
            <w:r w:rsidRPr="00B67DB3">
              <w:rPr>
                <w:sz w:val="20"/>
              </w:rPr>
              <w:t>17.2%</w:t>
            </w:r>
          </w:p>
        </w:tc>
        <w:tc>
          <w:tcPr>
            <w:tcW w:w="882" w:type="pct"/>
            <w:vAlign w:val="bottom"/>
          </w:tcPr>
          <w:p w14:paraId="27850482" w14:textId="77777777" w:rsidR="00C02916" w:rsidRPr="00B67DB3" w:rsidRDefault="00C02916" w:rsidP="00C02916">
            <w:pPr>
              <w:spacing w:after="0" w:line="240" w:lineRule="auto"/>
              <w:jc w:val="center"/>
              <w:rPr>
                <w:sz w:val="20"/>
              </w:rPr>
            </w:pPr>
            <w:r w:rsidRPr="00B67DB3">
              <w:rPr>
                <w:sz w:val="20"/>
              </w:rPr>
              <w:t>20.5%</w:t>
            </w:r>
          </w:p>
        </w:tc>
        <w:tc>
          <w:tcPr>
            <w:tcW w:w="881" w:type="pct"/>
            <w:vAlign w:val="bottom"/>
          </w:tcPr>
          <w:p w14:paraId="350AA866" w14:textId="77777777" w:rsidR="00C02916" w:rsidRPr="00B67DB3" w:rsidRDefault="00C02916" w:rsidP="00C02916">
            <w:pPr>
              <w:spacing w:after="0" w:line="240" w:lineRule="auto"/>
              <w:jc w:val="center"/>
              <w:rPr>
                <w:sz w:val="20"/>
              </w:rPr>
            </w:pPr>
            <w:r w:rsidRPr="00B67DB3">
              <w:rPr>
                <w:sz w:val="20"/>
              </w:rPr>
              <w:t>11.4%</w:t>
            </w:r>
          </w:p>
        </w:tc>
      </w:tr>
      <w:tr w:rsidR="00C02916" w:rsidRPr="004B64EF" w14:paraId="714EF1A7" w14:textId="77777777" w:rsidTr="00C02916">
        <w:trPr>
          <w:trHeight w:val="20"/>
        </w:trPr>
        <w:tc>
          <w:tcPr>
            <w:tcW w:w="2355" w:type="pct"/>
            <w:shd w:val="clear" w:color="auto" w:fill="auto"/>
            <w:noWrap/>
            <w:tcMar>
              <w:left w:w="288" w:type="dxa"/>
              <w:right w:w="115" w:type="dxa"/>
            </w:tcMar>
            <w:vAlign w:val="bottom"/>
          </w:tcPr>
          <w:p w14:paraId="7A809FE4" w14:textId="77777777" w:rsidR="00C02916" w:rsidRPr="00B67DB3" w:rsidRDefault="00C02916" w:rsidP="00C02916">
            <w:pPr>
              <w:spacing w:after="0" w:line="240" w:lineRule="auto"/>
              <w:rPr>
                <w:sz w:val="20"/>
              </w:rPr>
            </w:pPr>
            <w:r w:rsidRPr="00B67DB3">
              <w:rPr>
                <w:sz w:val="20"/>
              </w:rPr>
              <w:t>80-84 years</w:t>
            </w:r>
          </w:p>
        </w:tc>
        <w:tc>
          <w:tcPr>
            <w:tcW w:w="882" w:type="pct"/>
            <w:vAlign w:val="bottom"/>
          </w:tcPr>
          <w:p w14:paraId="3382D89A" w14:textId="77777777" w:rsidR="00C02916" w:rsidRPr="00B67DB3" w:rsidRDefault="00C02916" w:rsidP="00C02916">
            <w:pPr>
              <w:spacing w:after="0" w:line="240" w:lineRule="auto"/>
              <w:jc w:val="center"/>
              <w:rPr>
                <w:sz w:val="20"/>
              </w:rPr>
            </w:pPr>
            <w:r w:rsidRPr="00B67DB3">
              <w:rPr>
                <w:sz w:val="20"/>
              </w:rPr>
              <w:t>19.9%</w:t>
            </w:r>
          </w:p>
        </w:tc>
        <w:tc>
          <w:tcPr>
            <w:tcW w:w="882" w:type="pct"/>
            <w:vAlign w:val="bottom"/>
          </w:tcPr>
          <w:p w14:paraId="3DBC5FA4" w14:textId="77777777" w:rsidR="00C02916" w:rsidRPr="00B67DB3" w:rsidRDefault="00C02916" w:rsidP="00C02916">
            <w:pPr>
              <w:spacing w:after="0" w:line="240" w:lineRule="auto"/>
              <w:jc w:val="center"/>
              <w:rPr>
                <w:sz w:val="20"/>
              </w:rPr>
            </w:pPr>
            <w:r w:rsidRPr="00B67DB3">
              <w:rPr>
                <w:sz w:val="20"/>
              </w:rPr>
              <w:t>20.5%</w:t>
            </w:r>
          </w:p>
        </w:tc>
        <w:tc>
          <w:tcPr>
            <w:tcW w:w="881" w:type="pct"/>
            <w:vAlign w:val="bottom"/>
          </w:tcPr>
          <w:p w14:paraId="7EADEC4B" w14:textId="77777777" w:rsidR="00C02916" w:rsidRPr="00B67DB3" w:rsidRDefault="00C02916" w:rsidP="00C02916">
            <w:pPr>
              <w:spacing w:after="0" w:line="240" w:lineRule="auto"/>
              <w:jc w:val="center"/>
              <w:rPr>
                <w:sz w:val="20"/>
              </w:rPr>
            </w:pPr>
            <w:r w:rsidRPr="00B67DB3">
              <w:rPr>
                <w:sz w:val="20"/>
              </w:rPr>
              <w:t>18.8%</w:t>
            </w:r>
          </w:p>
        </w:tc>
      </w:tr>
      <w:tr w:rsidR="00C02916" w:rsidRPr="004B64EF" w14:paraId="107BBBAA" w14:textId="77777777" w:rsidTr="00C02916">
        <w:trPr>
          <w:trHeight w:val="20"/>
        </w:trPr>
        <w:tc>
          <w:tcPr>
            <w:tcW w:w="2355" w:type="pct"/>
            <w:shd w:val="clear" w:color="auto" w:fill="auto"/>
            <w:noWrap/>
            <w:tcMar>
              <w:left w:w="288" w:type="dxa"/>
              <w:right w:w="115" w:type="dxa"/>
            </w:tcMar>
            <w:vAlign w:val="bottom"/>
          </w:tcPr>
          <w:p w14:paraId="7C998FF8" w14:textId="77777777" w:rsidR="00C02916" w:rsidRPr="00B67DB3" w:rsidRDefault="00C02916" w:rsidP="00C02916">
            <w:pPr>
              <w:spacing w:after="0" w:line="240" w:lineRule="auto"/>
              <w:rPr>
                <w:sz w:val="20"/>
              </w:rPr>
            </w:pPr>
            <w:r w:rsidRPr="00B67DB3">
              <w:rPr>
                <w:sz w:val="20"/>
              </w:rPr>
              <w:t>85-89 years</w:t>
            </w:r>
          </w:p>
        </w:tc>
        <w:tc>
          <w:tcPr>
            <w:tcW w:w="882" w:type="pct"/>
            <w:vAlign w:val="bottom"/>
          </w:tcPr>
          <w:p w14:paraId="2A352A7C" w14:textId="77777777" w:rsidR="00C02916" w:rsidRPr="00B67DB3" w:rsidRDefault="00C02916" w:rsidP="00C02916">
            <w:pPr>
              <w:spacing w:after="0" w:line="240" w:lineRule="auto"/>
              <w:jc w:val="center"/>
              <w:rPr>
                <w:sz w:val="20"/>
              </w:rPr>
            </w:pPr>
            <w:r w:rsidRPr="00B67DB3">
              <w:rPr>
                <w:sz w:val="20"/>
              </w:rPr>
              <w:t>19.2%</w:t>
            </w:r>
          </w:p>
        </w:tc>
        <w:tc>
          <w:tcPr>
            <w:tcW w:w="882" w:type="pct"/>
            <w:vAlign w:val="bottom"/>
          </w:tcPr>
          <w:p w14:paraId="54ABA798" w14:textId="77777777" w:rsidR="00C02916" w:rsidRPr="00B67DB3" w:rsidRDefault="00C02916" w:rsidP="00C02916">
            <w:pPr>
              <w:spacing w:after="0" w:line="240" w:lineRule="auto"/>
              <w:jc w:val="center"/>
              <w:rPr>
                <w:sz w:val="20"/>
              </w:rPr>
            </w:pPr>
            <w:r w:rsidRPr="00B67DB3">
              <w:rPr>
                <w:sz w:val="20"/>
              </w:rPr>
              <w:t>15.8%</w:t>
            </w:r>
          </w:p>
        </w:tc>
        <w:tc>
          <w:tcPr>
            <w:tcW w:w="881" w:type="pct"/>
            <w:vAlign w:val="bottom"/>
          </w:tcPr>
          <w:p w14:paraId="5849562C" w14:textId="77777777" w:rsidR="00C02916" w:rsidRPr="00B67DB3" w:rsidRDefault="00C02916" w:rsidP="00C02916">
            <w:pPr>
              <w:spacing w:after="0" w:line="240" w:lineRule="auto"/>
              <w:jc w:val="center"/>
              <w:rPr>
                <w:sz w:val="20"/>
              </w:rPr>
            </w:pPr>
            <w:r w:rsidRPr="00B67DB3">
              <w:rPr>
                <w:sz w:val="20"/>
              </w:rPr>
              <w:t>25.4%</w:t>
            </w:r>
          </w:p>
        </w:tc>
      </w:tr>
      <w:tr w:rsidR="00C02916" w:rsidRPr="004B64EF" w14:paraId="26CD4453" w14:textId="77777777" w:rsidTr="00C02916">
        <w:trPr>
          <w:trHeight w:val="20"/>
        </w:trPr>
        <w:tc>
          <w:tcPr>
            <w:tcW w:w="2355" w:type="pct"/>
            <w:shd w:val="clear" w:color="auto" w:fill="auto"/>
            <w:noWrap/>
            <w:tcMar>
              <w:left w:w="288" w:type="dxa"/>
              <w:right w:w="115" w:type="dxa"/>
            </w:tcMar>
            <w:vAlign w:val="bottom"/>
          </w:tcPr>
          <w:p w14:paraId="75DB2EE3" w14:textId="77777777" w:rsidR="00C02916" w:rsidRPr="00B67DB3" w:rsidRDefault="00C02916" w:rsidP="00C02916">
            <w:pPr>
              <w:spacing w:after="0" w:line="240" w:lineRule="auto"/>
              <w:rPr>
                <w:sz w:val="20"/>
              </w:rPr>
            </w:pPr>
            <w:r w:rsidRPr="00B67DB3">
              <w:rPr>
                <w:sz w:val="20"/>
              </w:rPr>
              <w:t>90+ years</w:t>
            </w:r>
          </w:p>
        </w:tc>
        <w:tc>
          <w:tcPr>
            <w:tcW w:w="882" w:type="pct"/>
            <w:vAlign w:val="bottom"/>
          </w:tcPr>
          <w:p w14:paraId="74A2BB44" w14:textId="77777777" w:rsidR="00C02916" w:rsidRPr="00B67DB3" w:rsidRDefault="00C02916" w:rsidP="00C02916">
            <w:pPr>
              <w:spacing w:after="0" w:line="240" w:lineRule="auto"/>
              <w:jc w:val="center"/>
              <w:rPr>
                <w:sz w:val="20"/>
              </w:rPr>
            </w:pPr>
            <w:r w:rsidRPr="00B67DB3">
              <w:rPr>
                <w:sz w:val="20"/>
              </w:rPr>
              <w:t>18.5%</w:t>
            </w:r>
          </w:p>
        </w:tc>
        <w:tc>
          <w:tcPr>
            <w:tcW w:w="882" w:type="pct"/>
            <w:vAlign w:val="bottom"/>
          </w:tcPr>
          <w:p w14:paraId="21F702D6" w14:textId="77777777" w:rsidR="00C02916" w:rsidRPr="00B67DB3" w:rsidRDefault="00C02916" w:rsidP="00C02916">
            <w:pPr>
              <w:spacing w:after="0" w:line="240" w:lineRule="auto"/>
              <w:jc w:val="center"/>
              <w:rPr>
                <w:sz w:val="20"/>
              </w:rPr>
            </w:pPr>
            <w:r w:rsidRPr="00B67DB3">
              <w:rPr>
                <w:sz w:val="20"/>
              </w:rPr>
              <w:t>10.0%</w:t>
            </w:r>
          </w:p>
        </w:tc>
        <w:tc>
          <w:tcPr>
            <w:tcW w:w="881" w:type="pct"/>
            <w:vAlign w:val="bottom"/>
          </w:tcPr>
          <w:p w14:paraId="1C348B35" w14:textId="77777777" w:rsidR="00C02916" w:rsidRPr="00B67DB3" w:rsidRDefault="00C02916" w:rsidP="00C02916">
            <w:pPr>
              <w:spacing w:after="0" w:line="240" w:lineRule="auto"/>
              <w:jc w:val="center"/>
              <w:rPr>
                <w:sz w:val="20"/>
              </w:rPr>
            </w:pPr>
            <w:r w:rsidRPr="00B67DB3">
              <w:rPr>
                <w:sz w:val="20"/>
              </w:rPr>
              <w:t>33.6%</w:t>
            </w:r>
          </w:p>
        </w:tc>
      </w:tr>
      <w:tr w:rsidR="00C02916" w:rsidRPr="004B64EF" w14:paraId="3963ED4D" w14:textId="77777777" w:rsidTr="00C02916">
        <w:trPr>
          <w:trHeight w:val="20"/>
        </w:trPr>
        <w:tc>
          <w:tcPr>
            <w:tcW w:w="2355" w:type="pct"/>
            <w:shd w:val="clear" w:color="auto" w:fill="auto"/>
            <w:noWrap/>
            <w:tcMar>
              <w:left w:w="115" w:type="dxa"/>
              <w:right w:w="115" w:type="dxa"/>
            </w:tcMar>
            <w:vAlign w:val="bottom"/>
          </w:tcPr>
          <w:p w14:paraId="2BC2F65A" w14:textId="77777777" w:rsidR="00C02916" w:rsidRPr="00B67DB3" w:rsidRDefault="00C02916" w:rsidP="00C02916">
            <w:pPr>
              <w:spacing w:after="0" w:line="240" w:lineRule="auto"/>
              <w:rPr>
                <w:sz w:val="20"/>
              </w:rPr>
            </w:pPr>
            <w:r w:rsidRPr="00B67DB3">
              <w:rPr>
                <w:bCs/>
                <w:sz w:val="20"/>
              </w:rPr>
              <w:t>Sex</w:t>
            </w:r>
          </w:p>
        </w:tc>
        <w:tc>
          <w:tcPr>
            <w:tcW w:w="882" w:type="pct"/>
            <w:vAlign w:val="bottom"/>
          </w:tcPr>
          <w:p w14:paraId="71719822" w14:textId="77777777" w:rsidR="00C02916" w:rsidRPr="00B67DB3" w:rsidRDefault="00C02916" w:rsidP="00C02916">
            <w:pPr>
              <w:spacing w:after="0" w:line="240" w:lineRule="auto"/>
              <w:jc w:val="center"/>
              <w:rPr>
                <w:sz w:val="20"/>
              </w:rPr>
            </w:pPr>
          </w:p>
        </w:tc>
        <w:tc>
          <w:tcPr>
            <w:tcW w:w="882" w:type="pct"/>
            <w:vAlign w:val="bottom"/>
          </w:tcPr>
          <w:p w14:paraId="2DE64E75" w14:textId="77777777" w:rsidR="00C02916" w:rsidRPr="00B67DB3" w:rsidRDefault="00C02916" w:rsidP="00C02916">
            <w:pPr>
              <w:spacing w:after="0" w:line="240" w:lineRule="auto"/>
              <w:jc w:val="center"/>
              <w:rPr>
                <w:sz w:val="20"/>
              </w:rPr>
            </w:pPr>
          </w:p>
        </w:tc>
        <w:tc>
          <w:tcPr>
            <w:tcW w:w="881" w:type="pct"/>
            <w:vAlign w:val="bottom"/>
          </w:tcPr>
          <w:p w14:paraId="775CACF3" w14:textId="77777777" w:rsidR="00C02916" w:rsidRPr="00B67DB3" w:rsidRDefault="00C02916" w:rsidP="00C02916">
            <w:pPr>
              <w:spacing w:after="0" w:line="240" w:lineRule="auto"/>
              <w:jc w:val="center"/>
              <w:rPr>
                <w:sz w:val="20"/>
              </w:rPr>
            </w:pPr>
          </w:p>
        </w:tc>
      </w:tr>
      <w:tr w:rsidR="00C02916" w:rsidRPr="004B64EF" w14:paraId="0850201B" w14:textId="77777777" w:rsidTr="00C02916">
        <w:trPr>
          <w:trHeight w:val="20"/>
        </w:trPr>
        <w:tc>
          <w:tcPr>
            <w:tcW w:w="2355" w:type="pct"/>
            <w:shd w:val="clear" w:color="auto" w:fill="auto"/>
            <w:noWrap/>
            <w:tcMar>
              <w:left w:w="288" w:type="dxa"/>
              <w:right w:w="115" w:type="dxa"/>
            </w:tcMar>
            <w:vAlign w:val="bottom"/>
          </w:tcPr>
          <w:p w14:paraId="499362BD" w14:textId="77777777" w:rsidR="00C02916" w:rsidRPr="00B67DB3" w:rsidRDefault="00C02916" w:rsidP="00C02916">
            <w:pPr>
              <w:spacing w:after="0" w:line="240" w:lineRule="auto"/>
              <w:rPr>
                <w:sz w:val="20"/>
              </w:rPr>
            </w:pPr>
            <w:r w:rsidRPr="00B67DB3">
              <w:rPr>
                <w:sz w:val="20"/>
              </w:rPr>
              <w:t>Female</w:t>
            </w:r>
          </w:p>
        </w:tc>
        <w:tc>
          <w:tcPr>
            <w:tcW w:w="882" w:type="pct"/>
            <w:vAlign w:val="bottom"/>
          </w:tcPr>
          <w:p w14:paraId="363FB63E" w14:textId="77777777" w:rsidR="00C02916" w:rsidRPr="00B67DB3" w:rsidRDefault="00C02916" w:rsidP="00C02916">
            <w:pPr>
              <w:spacing w:after="0" w:line="240" w:lineRule="auto"/>
              <w:jc w:val="center"/>
              <w:rPr>
                <w:sz w:val="20"/>
              </w:rPr>
            </w:pPr>
            <w:r w:rsidRPr="00B67DB3">
              <w:rPr>
                <w:sz w:val="20"/>
              </w:rPr>
              <w:t>66.0%</w:t>
            </w:r>
          </w:p>
        </w:tc>
        <w:tc>
          <w:tcPr>
            <w:tcW w:w="882" w:type="pct"/>
            <w:vAlign w:val="bottom"/>
          </w:tcPr>
          <w:p w14:paraId="453F2A3C" w14:textId="77777777" w:rsidR="00C02916" w:rsidRPr="00B67DB3" w:rsidRDefault="00C02916" w:rsidP="00C02916">
            <w:pPr>
              <w:spacing w:after="0" w:line="240" w:lineRule="auto"/>
              <w:jc w:val="center"/>
              <w:rPr>
                <w:sz w:val="20"/>
              </w:rPr>
            </w:pPr>
            <w:r w:rsidRPr="00B67DB3">
              <w:rPr>
                <w:sz w:val="20"/>
              </w:rPr>
              <w:t>62.2%</w:t>
            </w:r>
          </w:p>
        </w:tc>
        <w:tc>
          <w:tcPr>
            <w:tcW w:w="881" w:type="pct"/>
            <w:vAlign w:val="bottom"/>
          </w:tcPr>
          <w:p w14:paraId="2344251A" w14:textId="77777777" w:rsidR="00C02916" w:rsidRPr="00B67DB3" w:rsidRDefault="00C02916" w:rsidP="00C02916">
            <w:pPr>
              <w:spacing w:after="0" w:line="240" w:lineRule="auto"/>
              <w:jc w:val="center"/>
              <w:rPr>
                <w:sz w:val="20"/>
              </w:rPr>
            </w:pPr>
            <w:r w:rsidRPr="00B67DB3">
              <w:rPr>
                <w:sz w:val="20"/>
              </w:rPr>
              <w:t>73.0%</w:t>
            </w:r>
          </w:p>
        </w:tc>
      </w:tr>
      <w:tr w:rsidR="00C02916" w:rsidRPr="004B64EF" w14:paraId="3763D0CC" w14:textId="77777777" w:rsidTr="00C02916">
        <w:trPr>
          <w:trHeight w:val="20"/>
        </w:trPr>
        <w:tc>
          <w:tcPr>
            <w:tcW w:w="2355" w:type="pct"/>
            <w:shd w:val="clear" w:color="auto" w:fill="auto"/>
            <w:noWrap/>
            <w:tcMar>
              <w:left w:w="115" w:type="dxa"/>
              <w:right w:w="115" w:type="dxa"/>
            </w:tcMar>
            <w:vAlign w:val="bottom"/>
          </w:tcPr>
          <w:p w14:paraId="04EC4E21" w14:textId="77777777" w:rsidR="00C02916" w:rsidRPr="00B67DB3" w:rsidRDefault="00C02916" w:rsidP="00C02916">
            <w:pPr>
              <w:spacing w:after="0" w:line="240" w:lineRule="auto"/>
              <w:rPr>
                <w:sz w:val="20"/>
              </w:rPr>
            </w:pPr>
            <w:r w:rsidRPr="00B67DB3">
              <w:rPr>
                <w:bCs/>
                <w:sz w:val="20"/>
              </w:rPr>
              <w:t>Race</w:t>
            </w:r>
          </w:p>
        </w:tc>
        <w:tc>
          <w:tcPr>
            <w:tcW w:w="882" w:type="pct"/>
            <w:vAlign w:val="bottom"/>
          </w:tcPr>
          <w:p w14:paraId="787E02CE" w14:textId="77777777" w:rsidR="00C02916" w:rsidRPr="00B67DB3" w:rsidRDefault="00C02916" w:rsidP="00C02916">
            <w:pPr>
              <w:spacing w:after="0" w:line="240" w:lineRule="auto"/>
              <w:jc w:val="center"/>
              <w:rPr>
                <w:sz w:val="20"/>
              </w:rPr>
            </w:pPr>
          </w:p>
        </w:tc>
        <w:tc>
          <w:tcPr>
            <w:tcW w:w="882" w:type="pct"/>
            <w:vAlign w:val="bottom"/>
          </w:tcPr>
          <w:p w14:paraId="153E893B" w14:textId="77777777" w:rsidR="00C02916" w:rsidRPr="00B67DB3" w:rsidRDefault="00C02916" w:rsidP="00C02916">
            <w:pPr>
              <w:spacing w:after="0" w:line="240" w:lineRule="auto"/>
              <w:jc w:val="center"/>
              <w:rPr>
                <w:sz w:val="20"/>
              </w:rPr>
            </w:pPr>
          </w:p>
        </w:tc>
        <w:tc>
          <w:tcPr>
            <w:tcW w:w="881" w:type="pct"/>
            <w:vAlign w:val="bottom"/>
          </w:tcPr>
          <w:p w14:paraId="1B236198" w14:textId="77777777" w:rsidR="00C02916" w:rsidRPr="00B67DB3" w:rsidRDefault="00C02916" w:rsidP="00C02916">
            <w:pPr>
              <w:spacing w:after="0" w:line="240" w:lineRule="auto"/>
              <w:jc w:val="center"/>
              <w:rPr>
                <w:sz w:val="20"/>
              </w:rPr>
            </w:pPr>
          </w:p>
        </w:tc>
      </w:tr>
      <w:tr w:rsidR="00C02916" w:rsidRPr="004B64EF" w14:paraId="2A614A74" w14:textId="77777777" w:rsidTr="00C02916">
        <w:trPr>
          <w:trHeight w:val="20"/>
        </w:trPr>
        <w:tc>
          <w:tcPr>
            <w:tcW w:w="2355" w:type="pct"/>
            <w:shd w:val="clear" w:color="auto" w:fill="auto"/>
            <w:noWrap/>
            <w:tcMar>
              <w:left w:w="288" w:type="dxa"/>
              <w:right w:w="115" w:type="dxa"/>
            </w:tcMar>
            <w:vAlign w:val="bottom"/>
          </w:tcPr>
          <w:p w14:paraId="0B4DEE04" w14:textId="77777777" w:rsidR="00C02916" w:rsidRPr="00B67DB3" w:rsidRDefault="00C02916" w:rsidP="00C02916">
            <w:pPr>
              <w:spacing w:after="0" w:line="240" w:lineRule="auto"/>
              <w:rPr>
                <w:sz w:val="20"/>
              </w:rPr>
            </w:pPr>
            <w:r w:rsidRPr="00B67DB3">
              <w:rPr>
                <w:sz w:val="20"/>
              </w:rPr>
              <w:t>White</w:t>
            </w:r>
          </w:p>
        </w:tc>
        <w:tc>
          <w:tcPr>
            <w:tcW w:w="882" w:type="pct"/>
            <w:vAlign w:val="bottom"/>
          </w:tcPr>
          <w:p w14:paraId="47B0C301" w14:textId="77777777" w:rsidR="00C02916" w:rsidRPr="00B67DB3" w:rsidRDefault="00C02916" w:rsidP="00C02916">
            <w:pPr>
              <w:spacing w:after="0" w:line="240" w:lineRule="auto"/>
              <w:jc w:val="center"/>
              <w:rPr>
                <w:sz w:val="20"/>
              </w:rPr>
            </w:pPr>
            <w:r w:rsidRPr="00B67DB3">
              <w:rPr>
                <w:sz w:val="20"/>
              </w:rPr>
              <w:t>85.3%</w:t>
            </w:r>
          </w:p>
        </w:tc>
        <w:tc>
          <w:tcPr>
            <w:tcW w:w="882" w:type="pct"/>
            <w:vAlign w:val="bottom"/>
          </w:tcPr>
          <w:p w14:paraId="6335D600" w14:textId="77777777" w:rsidR="00C02916" w:rsidRPr="00B67DB3" w:rsidRDefault="00C02916" w:rsidP="00C02916">
            <w:pPr>
              <w:spacing w:after="0" w:line="240" w:lineRule="auto"/>
              <w:jc w:val="center"/>
              <w:rPr>
                <w:sz w:val="20"/>
              </w:rPr>
            </w:pPr>
            <w:r w:rsidRPr="00B67DB3">
              <w:rPr>
                <w:sz w:val="20"/>
              </w:rPr>
              <w:t>84.0%</w:t>
            </w:r>
          </w:p>
        </w:tc>
        <w:tc>
          <w:tcPr>
            <w:tcW w:w="881" w:type="pct"/>
            <w:vAlign w:val="bottom"/>
          </w:tcPr>
          <w:p w14:paraId="235FB9A2" w14:textId="77777777" w:rsidR="00C02916" w:rsidRPr="00B67DB3" w:rsidRDefault="00C02916" w:rsidP="00C02916">
            <w:pPr>
              <w:spacing w:after="0" w:line="240" w:lineRule="auto"/>
              <w:jc w:val="center"/>
              <w:rPr>
                <w:sz w:val="20"/>
              </w:rPr>
            </w:pPr>
            <w:r w:rsidRPr="00B67DB3">
              <w:rPr>
                <w:sz w:val="20"/>
              </w:rPr>
              <w:t>87.7%</w:t>
            </w:r>
          </w:p>
        </w:tc>
      </w:tr>
      <w:tr w:rsidR="00C02916" w:rsidRPr="004B64EF" w14:paraId="460F7BCB" w14:textId="77777777" w:rsidTr="00C02916">
        <w:trPr>
          <w:trHeight w:val="20"/>
        </w:trPr>
        <w:tc>
          <w:tcPr>
            <w:tcW w:w="2355" w:type="pct"/>
            <w:shd w:val="clear" w:color="auto" w:fill="auto"/>
            <w:noWrap/>
            <w:tcMar>
              <w:left w:w="288" w:type="dxa"/>
              <w:right w:w="115" w:type="dxa"/>
            </w:tcMar>
            <w:vAlign w:val="bottom"/>
          </w:tcPr>
          <w:p w14:paraId="71720C5E" w14:textId="77777777" w:rsidR="00C02916" w:rsidRPr="00B67DB3" w:rsidRDefault="00C02916" w:rsidP="00C02916">
            <w:pPr>
              <w:spacing w:after="0" w:line="240" w:lineRule="auto"/>
              <w:rPr>
                <w:sz w:val="20"/>
              </w:rPr>
            </w:pPr>
            <w:r w:rsidRPr="00B67DB3">
              <w:rPr>
                <w:sz w:val="20"/>
              </w:rPr>
              <w:t>Black</w:t>
            </w:r>
          </w:p>
        </w:tc>
        <w:tc>
          <w:tcPr>
            <w:tcW w:w="882" w:type="pct"/>
            <w:vAlign w:val="bottom"/>
          </w:tcPr>
          <w:p w14:paraId="3F51763F" w14:textId="77777777" w:rsidR="00C02916" w:rsidRPr="00B67DB3" w:rsidRDefault="00C02916" w:rsidP="00C02916">
            <w:pPr>
              <w:spacing w:after="0" w:line="240" w:lineRule="auto"/>
              <w:jc w:val="center"/>
              <w:rPr>
                <w:sz w:val="20"/>
              </w:rPr>
            </w:pPr>
            <w:r w:rsidRPr="00B67DB3">
              <w:rPr>
                <w:sz w:val="20"/>
              </w:rPr>
              <w:t>8.2%</w:t>
            </w:r>
          </w:p>
        </w:tc>
        <w:tc>
          <w:tcPr>
            <w:tcW w:w="882" w:type="pct"/>
            <w:vAlign w:val="bottom"/>
          </w:tcPr>
          <w:p w14:paraId="333231B8" w14:textId="77777777" w:rsidR="00C02916" w:rsidRPr="00B67DB3" w:rsidRDefault="00C02916" w:rsidP="00C02916">
            <w:pPr>
              <w:spacing w:after="0" w:line="240" w:lineRule="auto"/>
              <w:jc w:val="center"/>
              <w:rPr>
                <w:sz w:val="20"/>
              </w:rPr>
            </w:pPr>
            <w:r w:rsidRPr="00B67DB3">
              <w:rPr>
                <w:sz w:val="20"/>
              </w:rPr>
              <w:t>8.7%</w:t>
            </w:r>
          </w:p>
        </w:tc>
        <w:tc>
          <w:tcPr>
            <w:tcW w:w="881" w:type="pct"/>
            <w:vAlign w:val="bottom"/>
          </w:tcPr>
          <w:p w14:paraId="27AA29BA" w14:textId="77777777" w:rsidR="00C02916" w:rsidRPr="00B67DB3" w:rsidRDefault="00C02916" w:rsidP="00C02916">
            <w:pPr>
              <w:spacing w:after="0" w:line="240" w:lineRule="auto"/>
              <w:jc w:val="center"/>
              <w:rPr>
                <w:sz w:val="20"/>
              </w:rPr>
            </w:pPr>
            <w:r w:rsidRPr="00B67DB3">
              <w:rPr>
                <w:sz w:val="20"/>
              </w:rPr>
              <w:t>7.3%</w:t>
            </w:r>
          </w:p>
        </w:tc>
      </w:tr>
      <w:tr w:rsidR="00C02916" w:rsidRPr="004B64EF" w14:paraId="5DF7F982" w14:textId="77777777" w:rsidTr="00C02916">
        <w:trPr>
          <w:trHeight w:val="20"/>
        </w:trPr>
        <w:tc>
          <w:tcPr>
            <w:tcW w:w="2355" w:type="pct"/>
            <w:shd w:val="clear" w:color="auto" w:fill="auto"/>
            <w:noWrap/>
            <w:tcMar>
              <w:left w:w="288" w:type="dxa"/>
              <w:right w:w="115" w:type="dxa"/>
            </w:tcMar>
            <w:vAlign w:val="bottom"/>
          </w:tcPr>
          <w:p w14:paraId="5B0CEF90" w14:textId="77777777" w:rsidR="00C02916" w:rsidRPr="00B67DB3" w:rsidRDefault="00C02916" w:rsidP="00C02916">
            <w:pPr>
              <w:spacing w:after="0" w:line="240" w:lineRule="auto"/>
              <w:rPr>
                <w:sz w:val="20"/>
              </w:rPr>
            </w:pPr>
            <w:r w:rsidRPr="00B67DB3">
              <w:rPr>
                <w:sz w:val="20"/>
              </w:rPr>
              <w:t>Other</w:t>
            </w:r>
          </w:p>
        </w:tc>
        <w:tc>
          <w:tcPr>
            <w:tcW w:w="882" w:type="pct"/>
            <w:vAlign w:val="bottom"/>
          </w:tcPr>
          <w:p w14:paraId="1A4F58D5" w14:textId="77777777" w:rsidR="00C02916" w:rsidRPr="00B67DB3" w:rsidRDefault="00C02916" w:rsidP="00C02916">
            <w:pPr>
              <w:spacing w:after="0" w:line="240" w:lineRule="auto"/>
              <w:jc w:val="center"/>
              <w:rPr>
                <w:sz w:val="20"/>
              </w:rPr>
            </w:pPr>
            <w:r>
              <w:rPr>
                <w:sz w:val="20"/>
              </w:rPr>
              <w:t>6.5</w:t>
            </w:r>
            <w:r w:rsidRPr="00B67DB3">
              <w:rPr>
                <w:sz w:val="20"/>
              </w:rPr>
              <w:t>%</w:t>
            </w:r>
          </w:p>
        </w:tc>
        <w:tc>
          <w:tcPr>
            <w:tcW w:w="882" w:type="pct"/>
            <w:vAlign w:val="bottom"/>
          </w:tcPr>
          <w:p w14:paraId="710F9DF8" w14:textId="77777777" w:rsidR="00C02916" w:rsidRPr="00B67DB3" w:rsidRDefault="00C02916" w:rsidP="00C02916">
            <w:pPr>
              <w:spacing w:after="0" w:line="240" w:lineRule="auto"/>
              <w:jc w:val="center"/>
              <w:rPr>
                <w:sz w:val="20"/>
              </w:rPr>
            </w:pPr>
            <w:r>
              <w:rPr>
                <w:sz w:val="20"/>
              </w:rPr>
              <w:t>7.3</w:t>
            </w:r>
            <w:r w:rsidRPr="00B67DB3">
              <w:rPr>
                <w:sz w:val="20"/>
              </w:rPr>
              <w:t>%</w:t>
            </w:r>
          </w:p>
        </w:tc>
        <w:tc>
          <w:tcPr>
            <w:tcW w:w="881" w:type="pct"/>
            <w:vAlign w:val="bottom"/>
          </w:tcPr>
          <w:p w14:paraId="7F2C34F1" w14:textId="77777777" w:rsidR="00C02916" w:rsidRPr="00B67DB3" w:rsidRDefault="00C02916" w:rsidP="00C02916">
            <w:pPr>
              <w:spacing w:after="0" w:line="240" w:lineRule="auto"/>
              <w:jc w:val="center"/>
              <w:rPr>
                <w:sz w:val="20"/>
              </w:rPr>
            </w:pPr>
            <w:r>
              <w:rPr>
                <w:sz w:val="20"/>
              </w:rPr>
              <w:t>5.0</w:t>
            </w:r>
            <w:r w:rsidRPr="00B67DB3">
              <w:rPr>
                <w:sz w:val="20"/>
              </w:rPr>
              <w:t>%</w:t>
            </w:r>
          </w:p>
        </w:tc>
      </w:tr>
      <w:tr w:rsidR="00C02916" w:rsidRPr="004B64EF" w14:paraId="1A1D687E" w14:textId="77777777" w:rsidTr="00C02916">
        <w:trPr>
          <w:trHeight w:val="20"/>
        </w:trPr>
        <w:tc>
          <w:tcPr>
            <w:tcW w:w="2355" w:type="pct"/>
            <w:shd w:val="clear" w:color="auto" w:fill="auto"/>
            <w:noWrap/>
            <w:tcMar>
              <w:left w:w="115" w:type="dxa"/>
              <w:right w:w="115" w:type="dxa"/>
            </w:tcMar>
            <w:vAlign w:val="bottom"/>
          </w:tcPr>
          <w:p w14:paraId="0D2BE917" w14:textId="77777777" w:rsidR="00C02916" w:rsidRPr="006B4C71" w:rsidRDefault="00C02916" w:rsidP="00C02916">
            <w:pPr>
              <w:spacing w:after="0" w:line="240" w:lineRule="auto"/>
              <w:rPr>
                <w:sz w:val="20"/>
              </w:rPr>
            </w:pPr>
            <w:r w:rsidRPr="006B4C71">
              <w:rPr>
                <w:bCs/>
                <w:sz w:val="20"/>
              </w:rPr>
              <w:t>Geographic Region</w:t>
            </w:r>
          </w:p>
        </w:tc>
        <w:tc>
          <w:tcPr>
            <w:tcW w:w="882" w:type="pct"/>
            <w:vAlign w:val="bottom"/>
          </w:tcPr>
          <w:p w14:paraId="6899CA4E" w14:textId="77777777" w:rsidR="00C02916" w:rsidRPr="00B67DB3" w:rsidRDefault="00C02916" w:rsidP="00C02916">
            <w:pPr>
              <w:spacing w:after="0" w:line="240" w:lineRule="auto"/>
              <w:jc w:val="center"/>
              <w:rPr>
                <w:sz w:val="20"/>
              </w:rPr>
            </w:pPr>
          </w:p>
        </w:tc>
        <w:tc>
          <w:tcPr>
            <w:tcW w:w="882" w:type="pct"/>
            <w:vAlign w:val="bottom"/>
          </w:tcPr>
          <w:p w14:paraId="6EF2FFF4" w14:textId="77777777" w:rsidR="00C02916" w:rsidRPr="00B67DB3" w:rsidRDefault="00C02916" w:rsidP="00C02916">
            <w:pPr>
              <w:spacing w:after="0" w:line="240" w:lineRule="auto"/>
              <w:jc w:val="center"/>
              <w:rPr>
                <w:sz w:val="20"/>
              </w:rPr>
            </w:pPr>
          </w:p>
        </w:tc>
        <w:tc>
          <w:tcPr>
            <w:tcW w:w="881" w:type="pct"/>
            <w:vAlign w:val="bottom"/>
          </w:tcPr>
          <w:p w14:paraId="7B5229E0" w14:textId="77777777" w:rsidR="00C02916" w:rsidRPr="00B67DB3" w:rsidRDefault="00C02916" w:rsidP="00C02916">
            <w:pPr>
              <w:spacing w:after="0" w:line="240" w:lineRule="auto"/>
              <w:jc w:val="center"/>
              <w:rPr>
                <w:sz w:val="20"/>
              </w:rPr>
            </w:pPr>
          </w:p>
        </w:tc>
      </w:tr>
      <w:tr w:rsidR="00C02916" w:rsidRPr="004B64EF" w14:paraId="1266D4A2" w14:textId="77777777" w:rsidTr="00C02916">
        <w:trPr>
          <w:trHeight w:val="20"/>
        </w:trPr>
        <w:tc>
          <w:tcPr>
            <w:tcW w:w="2355" w:type="pct"/>
            <w:shd w:val="clear" w:color="auto" w:fill="auto"/>
            <w:noWrap/>
            <w:tcMar>
              <w:left w:w="288" w:type="dxa"/>
              <w:right w:w="115" w:type="dxa"/>
            </w:tcMar>
            <w:vAlign w:val="bottom"/>
          </w:tcPr>
          <w:p w14:paraId="753E75D3" w14:textId="77777777" w:rsidR="00C02916" w:rsidRPr="00B67DB3" w:rsidRDefault="00C02916" w:rsidP="00C02916">
            <w:pPr>
              <w:spacing w:after="0" w:line="240" w:lineRule="auto"/>
              <w:rPr>
                <w:sz w:val="20"/>
              </w:rPr>
            </w:pPr>
            <w:r w:rsidRPr="00D871E3">
              <w:rPr>
                <w:sz w:val="20"/>
              </w:rPr>
              <w:t>Midwest</w:t>
            </w:r>
          </w:p>
        </w:tc>
        <w:tc>
          <w:tcPr>
            <w:tcW w:w="882" w:type="pct"/>
            <w:vAlign w:val="bottom"/>
          </w:tcPr>
          <w:p w14:paraId="783B0780" w14:textId="77777777" w:rsidR="00C02916" w:rsidRPr="00B67DB3" w:rsidRDefault="00C02916" w:rsidP="00C02916">
            <w:pPr>
              <w:spacing w:after="0" w:line="240" w:lineRule="auto"/>
              <w:jc w:val="center"/>
              <w:rPr>
                <w:sz w:val="20"/>
              </w:rPr>
            </w:pPr>
            <w:r w:rsidRPr="00D871E3">
              <w:rPr>
                <w:sz w:val="20"/>
              </w:rPr>
              <w:t>15.9%</w:t>
            </w:r>
          </w:p>
        </w:tc>
        <w:tc>
          <w:tcPr>
            <w:tcW w:w="882" w:type="pct"/>
            <w:vAlign w:val="bottom"/>
          </w:tcPr>
          <w:p w14:paraId="0B9BB06A" w14:textId="77777777" w:rsidR="00C02916" w:rsidRPr="00B67DB3" w:rsidRDefault="00C02916" w:rsidP="00C02916">
            <w:pPr>
              <w:spacing w:after="0" w:line="240" w:lineRule="auto"/>
              <w:jc w:val="center"/>
              <w:rPr>
                <w:sz w:val="20"/>
              </w:rPr>
            </w:pPr>
            <w:r w:rsidRPr="00D871E3">
              <w:rPr>
                <w:sz w:val="20"/>
              </w:rPr>
              <w:t>15.0%</w:t>
            </w:r>
          </w:p>
        </w:tc>
        <w:tc>
          <w:tcPr>
            <w:tcW w:w="881" w:type="pct"/>
            <w:vAlign w:val="bottom"/>
          </w:tcPr>
          <w:p w14:paraId="6ECB902C" w14:textId="77777777" w:rsidR="00C02916" w:rsidRPr="00B67DB3" w:rsidRDefault="00C02916" w:rsidP="00C02916">
            <w:pPr>
              <w:spacing w:after="0" w:line="240" w:lineRule="auto"/>
              <w:jc w:val="center"/>
              <w:rPr>
                <w:sz w:val="20"/>
              </w:rPr>
            </w:pPr>
            <w:r w:rsidRPr="00D871E3">
              <w:rPr>
                <w:sz w:val="20"/>
              </w:rPr>
              <w:t>17.6%</w:t>
            </w:r>
          </w:p>
        </w:tc>
      </w:tr>
      <w:tr w:rsidR="00C02916" w:rsidRPr="004B64EF" w14:paraId="36C3AF3D" w14:textId="77777777" w:rsidTr="00C02916">
        <w:trPr>
          <w:trHeight w:val="20"/>
        </w:trPr>
        <w:tc>
          <w:tcPr>
            <w:tcW w:w="2355" w:type="pct"/>
            <w:shd w:val="clear" w:color="auto" w:fill="auto"/>
            <w:noWrap/>
            <w:tcMar>
              <w:left w:w="288" w:type="dxa"/>
              <w:right w:w="115" w:type="dxa"/>
            </w:tcMar>
            <w:vAlign w:val="bottom"/>
          </w:tcPr>
          <w:p w14:paraId="0DF80D04" w14:textId="77777777" w:rsidR="00C02916" w:rsidRPr="00B67DB3" w:rsidRDefault="00C02916" w:rsidP="00C02916">
            <w:pPr>
              <w:spacing w:after="0" w:line="240" w:lineRule="auto"/>
              <w:rPr>
                <w:sz w:val="20"/>
              </w:rPr>
            </w:pPr>
            <w:r w:rsidRPr="00D871E3">
              <w:rPr>
                <w:sz w:val="20"/>
              </w:rPr>
              <w:t>Northeast</w:t>
            </w:r>
          </w:p>
        </w:tc>
        <w:tc>
          <w:tcPr>
            <w:tcW w:w="882" w:type="pct"/>
            <w:vAlign w:val="bottom"/>
          </w:tcPr>
          <w:p w14:paraId="001814D8" w14:textId="77777777" w:rsidR="00C02916" w:rsidRPr="00B67DB3" w:rsidRDefault="00C02916" w:rsidP="00C02916">
            <w:pPr>
              <w:spacing w:after="0" w:line="240" w:lineRule="auto"/>
              <w:jc w:val="center"/>
              <w:rPr>
                <w:sz w:val="20"/>
              </w:rPr>
            </w:pPr>
            <w:r w:rsidRPr="00D871E3">
              <w:rPr>
                <w:sz w:val="20"/>
              </w:rPr>
              <w:t>20.4%</w:t>
            </w:r>
          </w:p>
        </w:tc>
        <w:tc>
          <w:tcPr>
            <w:tcW w:w="882" w:type="pct"/>
            <w:vAlign w:val="bottom"/>
          </w:tcPr>
          <w:p w14:paraId="36E45366" w14:textId="77777777" w:rsidR="00C02916" w:rsidRPr="00B67DB3" w:rsidRDefault="00C02916" w:rsidP="00C02916">
            <w:pPr>
              <w:spacing w:after="0" w:line="240" w:lineRule="auto"/>
              <w:jc w:val="center"/>
              <w:rPr>
                <w:sz w:val="20"/>
              </w:rPr>
            </w:pPr>
            <w:r w:rsidRPr="00D871E3">
              <w:rPr>
                <w:sz w:val="20"/>
              </w:rPr>
              <w:t>20.4%</w:t>
            </w:r>
          </w:p>
        </w:tc>
        <w:tc>
          <w:tcPr>
            <w:tcW w:w="881" w:type="pct"/>
            <w:vAlign w:val="bottom"/>
          </w:tcPr>
          <w:p w14:paraId="70603AFB" w14:textId="77777777" w:rsidR="00C02916" w:rsidRPr="00B67DB3" w:rsidRDefault="00C02916" w:rsidP="00C02916">
            <w:pPr>
              <w:spacing w:after="0" w:line="240" w:lineRule="auto"/>
              <w:jc w:val="center"/>
              <w:rPr>
                <w:sz w:val="20"/>
              </w:rPr>
            </w:pPr>
            <w:r w:rsidRPr="00D871E3">
              <w:rPr>
                <w:sz w:val="20"/>
              </w:rPr>
              <w:t>20.4%</w:t>
            </w:r>
          </w:p>
        </w:tc>
      </w:tr>
      <w:tr w:rsidR="00C02916" w:rsidRPr="004B64EF" w14:paraId="13705937" w14:textId="77777777" w:rsidTr="00C02916">
        <w:trPr>
          <w:trHeight w:val="20"/>
        </w:trPr>
        <w:tc>
          <w:tcPr>
            <w:tcW w:w="2355" w:type="pct"/>
            <w:shd w:val="clear" w:color="auto" w:fill="auto"/>
            <w:noWrap/>
            <w:tcMar>
              <w:left w:w="288" w:type="dxa"/>
              <w:right w:w="115" w:type="dxa"/>
            </w:tcMar>
            <w:vAlign w:val="bottom"/>
          </w:tcPr>
          <w:p w14:paraId="0C267AF9" w14:textId="77777777" w:rsidR="00C02916" w:rsidRPr="00B67DB3" w:rsidRDefault="00C02916" w:rsidP="00C02916">
            <w:pPr>
              <w:spacing w:after="0" w:line="240" w:lineRule="auto"/>
              <w:rPr>
                <w:sz w:val="20"/>
              </w:rPr>
            </w:pPr>
            <w:r>
              <w:rPr>
                <w:sz w:val="20"/>
              </w:rPr>
              <w:t>South</w:t>
            </w:r>
          </w:p>
        </w:tc>
        <w:tc>
          <w:tcPr>
            <w:tcW w:w="882" w:type="pct"/>
            <w:vAlign w:val="bottom"/>
          </w:tcPr>
          <w:p w14:paraId="3B4864B2" w14:textId="77777777" w:rsidR="00C02916" w:rsidRPr="00B67DB3" w:rsidRDefault="00C02916" w:rsidP="00C02916">
            <w:pPr>
              <w:spacing w:after="0" w:line="240" w:lineRule="auto"/>
              <w:jc w:val="center"/>
              <w:rPr>
                <w:sz w:val="20"/>
              </w:rPr>
            </w:pPr>
            <w:r w:rsidRPr="00D871E3">
              <w:rPr>
                <w:sz w:val="20"/>
              </w:rPr>
              <w:t>28.4%</w:t>
            </w:r>
          </w:p>
        </w:tc>
        <w:tc>
          <w:tcPr>
            <w:tcW w:w="882" w:type="pct"/>
            <w:vAlign w:val="bottom"/>
          </w:tcPr>
          <w:p w14:paraId="634BCA04" w14:textId="77777777" w:rsidR="00C02916" w:rsidRPr="00B67DB3" w:rsidRDefault="00C02916" w:rsidP="00C02916">
            <w:pPr>
              <w:spacing w:after="0" w:line="240" w:lineRule="auto"/>
              <w:jc w:val="center"/>
              <w:rPr>
                <w:sz w:val="20"/>
              </w:rPr>
            </w:pPr>
            <w:r w:rsidRPr="00D871E3">
              <w:rPr>
                <w:sz w:val="20"/>
              </w:rPr>
              <w:t>28.4%</w:t>
            </w:r>
          </w:p>
        </w:tc>
        <w:tc>
          <w:tcPr>
            <w:tcW w:w="881" w:type="pct"/>
            <w:vAlign w:val="bottom"/>
          </w:tcPr>
          <w:p w14:paraId="6D91F4FC" w14:textId="77777777" w:rsidR="00C02916" w:rsidRPr="00B67DB3" w:rsidRDefault="00C02916" w:rsidP="00C02916">
            <w:pPr>
              <w:spacing w:after="0" w:line="240" w:lineRule="auto"/>
              <w:jc w:val="center"/>
              <w:rPr>
                <w:sz w:val="20"/>
              </w:rPr>
            </w:pPr>
            <w:r w:rsidRPr="00D871E3">
              <w:rPr>
                <w:sz w:val="20"/>
              </w:rPr>
              <w:t>28.4%</w:t>
            </w:r>
          </w:p>
        </w:tc>
      </w:tr>
      <w:tr w:rsidR="00C02916" w:rsidRPr="004B64EF" w14:paraId="563F256C" w14:textId="77777777" w:rsidTr="00C02916">
        <w:trPr>
          <w:trHeight w:val="20"/>
        </w:trPr>
        <w:tc>
          <w:tcPr>
            <w:tcW w:w="2355" w:type="pct"/>
            <w:shd w:val="clear" w:color="auto" w:fill="auto"/>
            <w:noWrap/>
            <w:tcMar>
              <w:left w:w="288" w:type="dxa"/>
              <w:right w:w="115" w:type="dxa"/>
            </w:tcMar>
            <w:vAlign w:val="bottom"/>
          </w:tcPr>
          <w:p w14:paraId="581B5B96" w14:textId="77777777" w:rsidR="00C02916" w:rsidRPr="00B67DB3" w:rsidRDefault="00C02916" w:rsidP="00C02916">
            <w:pPr>
              <w:spacing w:after="0" w:line="240" w:lineRule="auto"/>
              <w:rPr>
                <w:sz w:val="20"/>
              </w:rPr>
            </w:pPr>
            <w:r w:rsidRPr="00D871E3">
              <w:rPr>
                <w:sz w:val="20"/>
              </w:rPr>
              <w:t>West</w:t>
            </w:r>
          </w:p>
        </w:tc>
        <w:tc>
          <w:tcPr>
            <w:tcW w:w="882" w:type="pct"/>
            <w:vAlign w:val="bottom"/>
          </w:tcPr>
          <w:p w14:paraId="2C9563B5" w14:textId="77777777" w:rsidR="00C02916" w:rsidRPr="00B67DB3" w:rsidRDefault="00C02916" w:rsidP="00C02916">
            <w:pPr>
              <w:spacing w:after="0" w:line="240" w:lineRule="auto"/>
              <w:jc w:val="center"/>
              <w:rPr>
                <w:sz w:val="20"/>
              </w:rPr>
            </w:pPr>
            <w:r w:rsidRPr="00D871E3">
              <w:rPr>
                <w:sz w:val="20"/>
              </w:rPr>
              <w:t>35.3%</w:t>
            </w:r>
          </w:p>
        </w:tc>
        <w:tc>
          <w:tcPr>
            <w:tcW w:w="882" w:type="pct"/>
            <w:vAlign w:val="bottom"/>
          </w:tcPr>
          <w:p w14:paraId="7A1EE4E7" w14:textId="77777777" w:rsidR="00C02916" w:rsidRPr="00B67DB3" w:rsidRDefault="00C02916" w:rsidP="00C02916">
            <w:pPr>
              <w:spacing w:after="0" w:line="240" w:lineRule="auto"/>
              <w:jc w:val="center"/>
              <w:rPr>
                <w:sz w:val="20"/>
              </w:rPr>
            </w:pPr>
            <w:r w:rsidRPr="00D871E3">
              <w:rPr>
                <w:sz w:val="20"/>
              </w:rPr>
              <w:t>36.2%</w:t>
            </w:r>
          </w:p>
        </w:tc>
        <w:tc>
          <w:tcPr>
            <w:tcW w:w="881" w:type="pct"/>
            <w:vAlign w:val="bottom"/>
          </w:tcPr>
          <w:p w14:paraId="0E405D12" w14:textId="77777777" w:rsidR="00C02916" w:rsidRPr="00B67DB3" w:rsidRDefault="00C02916" w:rsidP="00C02916">
            <w:pPr>
              <w:spacing w:after="0" w:line="240" w:lineRule="auto"/>
              <w:jc w:val="center"/>
              <w:rPr>
                <w:sz w:val="20"/>
              </w:rPr>
            </w:pPr>
            <w:r w:rsidRPr="00D871E3">
              <w:rPr>
                <w:sz w:val="20"/>
              </w:rPr>
              <w:t>33.6%</w:t>
            </w:r>
          </w:p>
        </w:tc>
      </w:tr>
      <w:tr w:rsidR="00C02916" w:rsidRPr="004B64EF" w14:paraId="61F7F7AE" w14:textId="77777777" w:rsidTr="00C02916">
        <w:trPr>
          <w:trHeight w:val="20"/>
        </w:trPr>
        <w:tc>
          <w:tcPr>
            <w:tcW w:w="2355" w:type="pct"/>
            <w:shd w:val="clear" w:color="auto" w:fill="auto"/>
            <w:vAlign w:val="bottom"/>
            <w:hideMark/>
          </w:tcPr>
          <w:p w14:paraId="4F8B8EAE" w14:textId="77777777" w:rsidR="00C02916" w:rsidRPr="00B67DB3" w:rsidRDefault="00C02916" w:rsidP="00C02916">
            <w:pPr>
              <w:spacing w:after="0" w:line="240" w:lineRule="auto"/>
              <w:rPr>
                <w:bCs/>
                <w:sz w:val="20"/>
              </w:rPr>
            </w:pPr>
            <w:r w:rsidRPr="00B67DB3">
              <w:rPr>
                <w:bCs/>
                <w:sz w:val="20"/>
              </w:rPr>
              <w:t xml:space="preserve">Hospice Length of Stay </w:t>
            </w:r>
          </w:p>
        </w:tc>
        <w:tc>
          <w:tcPr>
            <w:tcW w:w="882" w:type="pct"/>
          </w:tcPr>
          <w:p w14:paraId="37ED7903" w14:textId="77777777" w:rsidR="00C02916" w:rsidRPr="00B67DB3" w:rsidRDefault="00C02916" w:rsidP="00C02916">
            <w:pPr>
              <w:spacing w:after="0" w:line="240" w:lineRule="auto"/>
              <w:rPr>
                <w:b/>
                <w:bCs/>
                <w:sz w:val="20"/>
              </w:rPr>
            </w:pPr>
          </w:p>
        </w:tc>
        <w:tc>
          <w:tcPr>
            <w:tcW w:w="882" w:type="pct"/>
            <w:vAlign w:val="bottom"/>
          </w:tcPr>
          <w:p w14:paraId="2C482CBA" w14:textId="77777777" w:rsidR="00C02916" w:rsidRPr="00B67DB3" w:rsidRDefault="00C02916" w:rsidP="00C02916">
            <w:pPr>
              <w:spacing w:after="0" w:line="240" w:lineRule="auto"/>
              <w:jc w:val="center"/>
              <w:rPr>
                <w:sz w:val="20"/>
              </w:rPr>
            </w:pPr>
          </w:p>
        </w:tc>
        <w:tc>
          <w:tcPr>
            <w:tcW w:w="881" w:type="pct"/>
            <w:vAlign w:val="bottom"/>
          </w:tcPr>
          <w:p w14:paraId="67E89DBB" w14:textId="77777777" w:rsidR="00C02916" w:rsidRPr="00B67DB3" w:rsidRDefault="00C02916" w:rsidP="00C02916">
            <w:pPr>
              <w:spacing w:after="0" w:line="240" w:lineRule="auto"/>
              <w:jc w:val="center"/>
              <w:rPr>
                <w:sz w:val="20"/>
              </w:rPr>
            </w:pPr>
          </w:p>
        </w:tc>
      </w:tr>
      <w:tr w:rsidR="00C02916" w:rsidRPr="009323D6" w14:paraId="649B1AD6" w14:textId="77777777" w:rsidTr="00C02916">
        <w:trPr>
          <w:trHeight w:val="20"/>
        </w:trPr>
        <w:tc>
          <w:tcPr>
            <w:tcW w:w="2355" w:type="pct"/>
            <w:shd w:val="clear" w:color="auto" w:fill="auto"/>
            <w:tcMar>
              <w:left w:w="288" w:type="dxa"/>
              <w:right w:w="115" w:type="dxa"/>
            </w:tcMar>
            <w:vAlign w:val="bottom"/>
            <w:hideMark/>
          </w:tcPr>
          <w:p w14:paraId="00E5CBDF" w14:textId="77777777" w:rsidR="00C02916" w:rsidRPr="00B67DB3" w:rsidRDefault="00C02916" w:rsidP="00C02916">
            <w:pPr>
              <w:spacing w:after="0" w:line="240" w:lineRule="auto"/>
              <w:rPr>
                <w:sz w:val="20"/>
              </w:rPr>
            </w:pPr>
            <w:r w:rsidRPr="00B67DB3">
              <w:rPr>
                <w:sz w:val="20"/>
              </w:rPr>
              <w:t>Median (IQR)</w:t>
            </w:r>
          </w:p>
        </w:tc>
        <w:tc>
          <w:tcPr>
            <w:tcW w:w="882" w:type="pct"/>
            <w:shd w:val="clear" w:color="auto" w:fill="auto"/>
            <w:noWrap/>
            <w:vAlign w:val="bottom"/>
            <w:hideMark/>
          </w:tcPr>
          <w:p w14:paraId="0ACACE95" w14:textId="77777777" w:rsidR="00C02916" w:rsidRPr="00B67DB3" w:rsidRDefault="00C02916" w:rsidP="00C02916">
            <w:pPr>
              <w:spacing w:after="0" w:line="240" w:lineRule="auto"/>
              <w:jc w:val="center"/>
              <w:rPr>
                <w:sz w:val="20"/>
              </w:rPr>
            </w:pPr>
            <w:r w:rsidRPr="00B67DB3">
              <w:rPr>
                <w:sz w:val="20"/>
              </w:rPr>
              <w:t>15 (5-47)</w:t>
            </w:r>
          </w:p>
        </w:tc>
        <w:tc>
          <w:tcPr>
            <w:tcW w:w="882" w:type="pct"/>
            <w:vAlign w:val="bottom"/>
          </w:tcPr>
          <w:p w14:paraId="2163CFD2" w14:textId="77777777" w:rsidR="00C02916" w:rsidRPr="00B67DB3" w:rsidRDefault="00C02916" w:rsidP="00C02916">
            <w:pPr>
              <w:spacing w:after="0" w:line="240" w:lineRule="auto"/>
              <w:jc w:val="center"/>
              <w:rPr>
                <w:sz w:val="20"/>
              </w:rPr>
            </w:pPr>
            <w:r w:rsidRPr="00B67DB3">
              <w:rPr>
                <w:sz w:val="20"/>
              </w:rPr>
              <w:t>17 (6-47)</w:t>
            </w:r>
          </w:p>
        </w:tc>
        <w:tc>
          <w:tcPr>
            <w:tcW w:w="881" w:type="pct"/>
            <w:vAlign w:val="bottom"/>
          </w:tcPr>
          <w:p w14:paraId="0D287848" w14:textId="77777777" w:rsidR="00C02916" w:rsidRPr="00B67DB3" w:rsidRDefault="00C02916" w:rsidP="00C02916">
            <w:pPr>
              <w:spacing w:after="0" w:line="240" w:lineRule="auto"/>
              <w:jc w:val="center"/>
              <w:rPr>
                <w:sz w:val="20"/>
              </w:rPr>
            </w:pPr>
            <w:r w:rsidRPr="00B67DB3">
              <w:rPr>
                <w:sz w:val="20"/>
              </w:rPr>
              <w:t>12 (4-49)</w:t>
            </w:r>
          </w:p>
        </w:tc>
      </w:tr>
      <w:tr w:rsidR="00C02916" w:rsidRPr="004B64EF" w14:paraId="210AF5E1" w14:textId="77777777" w:rsidTr="00C02916">
        <w:trPr>
          <w:trHeight w:val="20"/>
        </w:trPr>
        <w:tc>
          <w:tcPr>
            <w:tcW w:w="2355" w:type="pct"/>
            <w:shd w:val="clear" w:color="auto" w:fill="auto"/>
            <w:tcMar>
              <w:left w:w="288" w:type="dxa"/>
              <w:right w:w="115" w:type="dxa"/>
            </w:tcMar>
            <w:vAlign w:val="bottom"/>
            <w:hideMark/>
          </w:tcPr>
          <w:p w14:paraId="2D618089" w14:textId="77777777" w:rsidR="00C02916" w:rsidRPr="00B67DB3" w:rsidRDefault="00C02916" w:rsidP="00C02916">
            <w:pPr>
              <w:spacing w:after="0" w:line="240" w:lineRule="auto"/>
              <w:rPr>
                <w:sz w:val="20"/>
              </w:rPr>
            </w:pPr>
            <w:r w:rsidRPr="00B67DB3">
              <w:rPr>
                <w:sz w:val="20"/>
              </w:rPr>
              <w:t>≤7 days</w:t>
            </w:r>
          </w:p>
        </w:tc>
        <w:tc>
          <w:tcPr>
            <w:tcW w:w="882" w:type="pct"/>
            <w:shd w:val="clear" w:color="auto" w:fill="auto"/>
            <w:noWrap/>
            <w:vAlign w:val="bottom"/>
          </w:tcPr>
          <w:p w14:paraId="108CE270" w14:textId="77777777" w:rsidR="00C02916" w:rsidRPr="00B67DB3" w:rsidRDefault="00C02916" w:rsidP="00C02916">
            <w:pPr>
              <w:spacing w:after="0" w:line="240" w:lineRule="auto"/>
              <w:jc w:val="center"/>
              <w:rPr>
                <w:sz w:val="20"/>
              </w:rPr>
            </w:pPr>
            <w:r w:rsidRPr="00B67DB3">
              <w:rPr>
                <w:sz w:val="20"/>
              </w:rPr>
              <w:t>33.5%</w:t>
            </w:r>
          </w:p>
        </w:tc>
        <w:tc>
          <w:tcPr>
            <w:tcW w:w="882" w:type="pct"/>
            <w:vAlign w:val="bottom"/>
          </w:tcPr>
          <w:p w14:paraId="07D78DED" w14:textId="77777777" w:rsidR="00C02916" w:rsidRPr="00B67DB3" w:rsidRDefault="00C02916" w:rsidP="00C02916">
            <w:pPr>
              <w:spacing w:after="0" w:line="240" w:lineRule="auto"/>
              <w:jc w:val="center"/>
              <w:rPr>
                <w:sz w:val="20"/>
              </w:rPr>
            </w:pPr>
            <w:r w:rsidRPr="00B67DB3">
              <w:rPr>
                <w:sz w:val="20"/>
              </w:rPr>
              <w:t>30.0%</w:t>
            </w:r>
          </w:p>
        </w:tc>
        <w:tc>
          <w:tcPr>
            <w:tcW w:w="881" w:type="pct"/>
            <w:vAlign w:val="bottom"/>
          </w:tcPr>
          <w:p w14:paraId="736C6927" w14:textId="77777777" w:rsidR="00C02916" w:rsidRPr="00B67DB3" w:rsidRDefault="00C02916" w:rsidP="00C02916">
            <w:pPr>
              <w:spacing w:after="0" w:line="240" w:lineRule="auto"/>
              <w:jc w:val="center"/>
              <w:rPr>
                <w:sz w:val="20"/>
              </w:rPr>
            </w:pPr>
            <w:r w:rsidRPr="00B67DB3">
              <w:rPr>
                <w:sz w:val="20"/>
              </w:rPr>
              <w:t>39.8%</w:t>
            </w:r>
          </w:p>
        </w:tc>
      </w:tr>
      <w:tr w:rsidR="00C02916" w:rsidRPr="004B64EF" w14:paraId="1ADAFEAE" w14:textId="77777777" w:rsidTr="00C02916">
        <w:trPr>
          <w:trHeight w:val="20"/>
        </w:trPr>
        <w:tc>
          <w:tcPr>
            <w:tcW w:w="2355" w:type="pct"/>
            <w:shd w:val="clear" w:color="auto" w:fill="auto"/>
            <w:tcMar>
              <w:left w:w="288" w:type="dxa"/>
              <w:right w:w="115" w:type="dxa"/>
            </w:tcMar>
            <w:vAlign w:val="bottom"/>
            <w:hideMark/>
          </w:tcPr>
          <w:p w14:paraId="3C878431" w14:textId="77777777" w:rsidR="00C02916" w:rsidRPr="00B67DB3" w:rsidRDefault="00C02916" w:rsidP="00C02916">
            <w:pPr>
              <w:spacing w:after="0" w:line="240" w:lineRule="auto"/>
              <w:rPr>
                <w:sz w:val="20"/>
              </w:rPr>
            </w:pPr>
            <w:r w:rsidRPr="00B67DB3">
              <w:rPr>
                <w:sz w:val="20"/>
              </w:rPr>
              <w:t>8-14 days</w:t>
            </w:r>
          </w:p>
        </w:tc>
        <w:tc>
          <w:tcPr>
            <w:tcW w:w="882" w:type="pct"/>
            <w:shd w:val="clear" w:color="auto" w:fill="auto"/>
            <w:noWrap/>
            <w:vAlign w:val="bottom"/>
            <w:hideMark/>
          </w:tcPr>
          <w:p w14:paraId="35E72245" w14:textId="77777777" w:rsidR="00C02916" w:rsidRPr="00B67DB3" w:rsidRDefault="00C02916" w:rsidP="00C02916">
            <w:pPr>
              <w:spacing w:after="0" w:line="240" w:lineRule="auto"/>
              <w:jc w:val="center"/>
              <w:rPr>
                <w:sz w:val="20"/>
              </w:rPr>
            </w:pPr>
            <w:r w:rsidRPr="00B67DB3">
              <w:rPr>
                <w:sz w:val="20"/>
              </w:rPr>
              <w:t>15.7%</w:t>
            </w:r>
          </w:p>
        </w:tc>
        <w:tc>
          <w:tcPr>
            <w:tcW w:w="882" w:type="pct"/>
            <w:vAlign w:val="bottom"/>
          </w:tcPr>
          <w:p w14:paraId="7F1A7C11" w14:textId="77777777" w:rsidR="00C02916" w:rsidRPr="00B67DB3" w:rsidRDefault="00C02916" w:rsidP="00C02916">
            <w:pPr>
              <w:spacing w:after="0" w:line="240" w:lineRule="auto"/>
              <w:jc w:val="center"/>
              <w:rPr>
                <w:sz w:val="20"/>
              </w:rPr>
            </w:pPr>
            <w:r w:rsidRPr="00B67DB3">
              <w:rPr>
                <w:sz w:val="20"/>
              </w:rPr>
              <w:t>16.1%</w:t>
            </w:r>
          </w:p>
        </w:tc>
        <w:tc>
          <w:tcPr>
            <w:tcW w:w="881" w:type="pct"/>
            <w:vAlign w:val="bottom"/>
          </w:tcPr>
          <w:p w14:paraId="3616918F" w14:textId="77777777" w:rsidR="00C02916" w:rsidRPr="00B67DB3" w:rsidRDefault="00C02916" w:rsidP="00C02916">
            <w:pPr>
              <w:spacing w:after="0" w:line="240" w:lineRule="auto"/>
              <w:jc w:val="center"/>
              <w:rPr>
                <w:sz w:val="20"/>
              </w:rPr>
            </w:pPr>
            <w:r w:rsidRPr="00B67DB3">
              <w:rPr>
                <w:sz w:val="20"/>
              </w:rPr>
              <w:t>15.1%</w:t>
            </w:r>
          </w:p>
        </w:tc>
      </w:tr>
      <w:tr w:rsidR="00C02916" w:rsidRPr="004B64EF" w14:paraId="05DB6BAB" w14:textId="77777777" w:rsidTr="00C02916">
        <w:trPr>
          <w:trHeight w:val="20"/>
        </w:trPr>
        <w:tc>
          <w:tcPr>
            <w:tcW w:w="2355" w:type="pct"/>
            <w:shd w:val="clear" w:color="auto" w:fill="auto"/>
            <w:tcMar>
              <w:left w:w="288" w:type="dxa"/>
              <w:right w:w="115" w:type="dxa"/>
            </w:tcMar>
            <w:vAlign w:val="bottom"/>
            <w:hideMark/>
          </w:tcPr>
          <w:p w14:paraId="5E6929FB" w14:textId="77777777" w:rsidR="00C02916" w:rsidRPr="00B67DB3" w:rsidRDefault="00C02916" w:rsidP="00C02916">
            <w:pPr>
              <w:spacing w:after="0" w:line="240" w:lineRule="auto"/>
              <w:rPr>
                <w:sz w:val="20"/>
              </w:rPr>
            </w:pPr>
            <w:r w:rsidRPr="00B67DB3">
              <w:rPr>
                <w:sz w:val="20"/>
              </w:rPr>
              <w:t>15-29 days</w:t>
            </w:r>
          </w:p>
        </w:tc>
        <w:tc>
          <w:tcPr>
            <w:tcW w:w="882" w:type="pct"/>
            <w:shd w:val="clear" w:color="auto" w:fill="auto"/>
            <w:noWrap/>
            <w:vAlign w:val="bottom"/>
            <w:hideMark/>
          </w:tcPr>
          <w:p w14:paraId="037C7B0C" w14:textId="77777777" w:rsidR="00C02916" w:rsidRPr="00B67DB3" w:rsidRDefault="00C02916" w:rsidP="00C02916">
            <w:pPr>
              <w:spacing w:after="0" w:line="240" w:lineRule="auto"/>
              <w:jc w:val="center"/>
              <w:rPr>
                <w:sz w:val="20"/>
              </w:rPr>
            </w:pPr>
            <w:r w:rsidRPr="00B67DB3">
              <w:rPr>
                <w:sz w:val="20"/>
              </w:rPr>
              <w:t>16.0%</w:t>
            </w:r>
          </w:p>
        </w:tc>
        <w:tc>
          <w:tcPr>
            <w:tcW w:w="882" w:type="pct"/>
            <w:vAlign w:val="bottom"/>
          </w:tcPr>
          <w:p w14:paraId="59892E4F" w14:textId="77777777" w:rsidR="00C02916" w:rsidRPr="00B67DB3" w:rsidRDefault="00C02916" w:rsidP="00C02916">
            <w:pPr>
              <w:spacing w:after="0" w:line="240" w:lineRule="auto"/>
              <w:jc w:val="center"/>
              <w:rPr>
                <w:sz w:val="20"/>
              </w:rPr>
            </w:pPr>
            <w:r w:rsidRPr="00B67DB3">
              <w:rPr>
                <w:sz w:val="20"/>
              </w:rPr>
              <w:t>17.8%</w:t>
            </w:r>
          </w:p>
        </w:tc>
        <w:tc>
          <w:tcPr>
            <w:tcW w:w="881" w:type="pct"/>
            <w:vAlign w:val="bottom"/>
          </w:tcPr>
          <w:p w14:paraId="7EC27A51" w14:textId="77777777" w:rsidR="00C02916" w:rsidRPr="00B67DB3" w:rsidRDefault="00C02916" w:rsidP="00C02916">
            <w:pPr>
              <w:spacing w:after="0" w:line="240" w:lineRule="auto"/>
              <w:jc w:val="center"/>
              <w:rPr>
                <w:sz w:val="20"/>
              </w:rPr>
            </w:pPr>
            <w:r w:rsidRPr="00B67DB3">
              <w:rPr>
                <w:sz w:val="20"/>
              </w:rPr>
              <w:t>12.7%</w:t>
            </w:r>
          </w:p>
        </w:tc>
      </w:tr>
      <w:tr w:rsidR="00C02916" w:rsidRPr="004B64EF" w14:paraId="3879033D" w14:textId="77777777" w:rsidTr="00C02916">
        <w:trPr>
          <w:trHeight w:val="20"/>
        </w:trPr>
        <w:tc>
          <w:tcPr>
            <w:tcW w:w="2355" w:type="pct"/>
            <w:shd w:val="clear" w:color="auto" w:fill="auto"/>
            <w:tcMar>
              <w:left w:w="288" w:type="dxa"/>
              <w:right w:w="115" w:type="dxa"/>
            </w:tcMar>
            <w:vAlign w:val="bottom"/>
            <w:hideMark/>
          </w:tcPr>
          <w:p w14:paraId="4DBE2483" w14:textId="77777777" w:rsidR="00C02916" w:rsidRPr="00B67DB3" w:rsidRDefault="00C02916" w:rsidP="00C02916">
            <w:pPr>
              <w:spacing w:after="0" w:line="240" w:lineRule="auto"/>
              <w:rPr>
                <w:sz w:val="20"/>
              </w:rPr>
            </w:pPr>
            <w:r w:rsidRPr="00B67DB3">
              <w:rPr>
                <w:sz w:val="20"/>
              </w:rPr>
              <w:t>30-89 days</w:t>
            </w:r>
          </w:p>
        </w:tc>
        <w:tc>
          <w:tcPr>
            <w:tcW w:w="882" w:type="pct"/>
            <w:shd w:val="clear" w:color="auto" w:fill="auto"/>
            <w:noWrap/>
            <w:vAlign w:val="bottom"/>
            <w:hideMark/>
          </w:tcPr>
          <w:p w14:paraId="128B8192" w14:textId="77777777" w:rsidR="00C02916" w:rsidRPr="00B67DB3" w:rsidRDefault="00C02916" w:rsidP="00C02916">
            <w:pPr>
              <w:spacing w:after="0" w:line="240" w:lineRule="auto"/>
              <w:jc w:val="center"/>
              <w:rPr>
                <w:sz w:val="20"/>
              </w:rPr>
            </w:pPr>
            <w:r w:rsidRPr="00B67DB3">
              <w:rPr>
                <w:sz w:val="20"/>
              </w:rPr>
              <w:t>20.5%</w:t>
            </w:r>
          </w:p>
        </w:tc>
        <w:tc>
          <w:tcPr>
            <w:tcW w:w="882" w:type="pct"/>
            <w:vAlign w:val="bottom"/>
          </w:tcPr>
          <w:p w14:paraId="0CF67890" w14:textId="77777777" w:rsidR="00C02916" w:rsidRPr="00B67DB3" w:rsidRDefault="00C02916" w:rsidP="00C02916">
            <w:pPr>
              <w:spacing w:after="0" w:line="240" w:lineRule="auto"/>
              <w:jc w:val="center"/>
              <w:rPr>
                <w:sz w:val="20"/>
              </w:rPr>
            </w:pPr>
            <w:r w:rsidRPr="00B67DB3">
              <w:rPr>
                <w:sz w:val="20"/>
              </w:rPr>
              <w:t>23.3%</w:t>
            </w:r>
          </w:p>
        </w:tc>
        <w:tc>
          <w:tcPr>
            <w:tcW w:w="881" w:type="pct"/>
            <w:vAlign w:val="bottom"/>
          </w:tcPr>
          <w:p w14:paraId="667BDA77" w14:textId="77777777" w:rsidR="00C02916" w:rsidRPr="00B67DB3" w:rsidRDefault="00C02916" w:rsidP="00C02916">
            <w:pPr>
              <w:spacing w:after="0" w:line="240" w:lineRule="auto"/>
              <w:jc w:val="center"/>
              <w:rPr>
                <w:sz w:val="20"/>
              </w:rPr>
            </w:pPr>
            <w:r w:rsidRPr="00B67DB3">
              <w:rPr>
                <w:sz w:val="20"/>
              </w:rPr>
              <w:t>15.6%</w:t>
            </w:r>
          </w:p>
        </w:tc>
      </w:tr>
      <w:tr w:rsidR="00C02916" w:rsidRPr="004B64EF" w14:paraId="6CF0B801" w14:textId="77777777" w:rsidTr="00C02916">
        <w:trPr>
          <w:trHeight w:val="20"/>
        </w:trPr>
        <w:tc>
          <w:tcPr>
            <w:tcW w:w="2355" w:type="pct"/>
            <w:shd w:val="clear" w:color="auto" w:fill="auto"/>
            <w:tcMar>
              <w:left w:w="288" w:type="dxa"/>
              <w:right w:w="115" w:type="dxa"/>
            </w:tcMar>
            <w:vAlign w:val="bottom"/>
            <w:hideMark/>
          </w:tcPr>
          <w:p w14:paraId="157E063E" w14:textId="77777777" w:rsidR="00C02916" w:rsidRPr="00B67DB3" w:rsidRDefault="00C02916" w:rsidP="00C02916">
            <w:pPr>
              <w:spacing w:after="0" w:line="240" w:lineRule="auto"/>
              <w:rPr>
                <w:sz w:val="20"/>
              </w:rPr>
            </w:pPr>
            <w:r w:rsidRPr="00B67DB3">
              <w:rPr>
                <w:sz w:val="20"/>
              </w:rPr>
              <w:t>90-179 days</w:t>
            </w:r>
          </w:p>
        </w:tc>
        <w:tc>
          <w:tcPr>
            <w:tcW w:w="882" w:type="pct"/>
            <w:shd w:val="clear" w:color="auto" w:fill="auto"/>
            <w:noWrap/>
            <w:vAlign w:val="bottom"/>
            <w:hideMark/>
          </w:tcPr>
          <w:p w14:paraId="1EC22C27" w14:textId="77777777" w:rsidR="00C02916" w:rsidRPr="00B67DB3" w:rsidRDefault="00C02916" w:rsidP="00C02916">
            <w:pPr>
              <w:spacing w:after="0" w:line="240" w:lineRule="auto"/>
              <w:jc w:val="center"/>
              <w:rPr>
                <w:sz w:val="20"/>
              </w:rPr>
            </w:pPr>
            <w:r w:rsidRPr="00B67DB3">
              <w:rPr>
                <w:sz w:val="20"/>
              </w:rPr>
              <w:t>7.9%</w:t>
            </w:r>
          </w:p>
        </w:tc>
        <w:tc>
          <w:tcPr>
            <w:tcW w:w="882" w:type="pct"/>
            <w:vAlign w:val="bottom"/>
          </w:tcPr>
          <w:p w14:paraId="1A248D6A" w14:textId="77777777" w:rsidR="00C02916" w:rsidRPr="00B67DB3" w:rsidRDefault="00C02916" w:rsidP="00C02916">
            <w:pPr>
              <w:spacing w:after="0" w:line="240" w:lineRule="auto"/>
              <w:jc w:val="center"/>
              <w:rPr>
                <w:sz w:val="20"/>
              </w:rPr>
            </w:pPr>
            <w:r w:rsidRPr="00B67DB3">
              <w:rPr>
                <w:sz w:val="20"/>
              </w:rPr>
              <w:t>8.0%</w:t>
            </w:r>
          </w:p>
        </w:tc>
        <w:tc>
          <w:tcPr>
            <w:tcW w:w="881" w:type="pct"/>
            <w:vAlign w:val="bottom"/>
          </w:tcPr>
          <w:p w14:paraId="0751ECA9" w14:textId="77777777" w:rsidR="00C02916" w:rsidRPr="00B67DB3" w:rsidRDefault="00C02916" w:rsidP="00C02916">
            <w:pPr>
              <w:spacing w:after="0" w:line="240" w:lineRule="auto"/>
              <w:jc w:val="center"/>
              <w:rPr>
                <w:sz w:val="20"/>
              </w:rPr>
            </w:pPr>
            <w:r w:rsidRPr="00B67DB3">
              <w:rPr>
                <w:sz w:val="20"/>
              </w:rPr>
              <w:t>7.9%</w:t>
            </w:r>
          </w:p>
        </w:tc>
      </w:tr>
      <w:tr w:rsidR="00C02916" w:rsidRPr="004B64EF" w14:paraId="1B4E8C3A" w14:textId="77777777" w:rsidTr="00C02916">
        <w:trPr>
          <w:trHeight w:val="20"/>
        </w:trPr>
        <w:tc>
          <w:tcPr>
            <w:tcW w:w="2355" w:type="pct"/>
            <w:shd w:val="clear" w:color="auto" w:fill="auto"/>
            <w:tcMar>
              <w:left w:w="288" w:type="dxa"/>
              <w:right w:w="115" w:type="dxa"/>
            </w:tcMar>
            <w:vAlign w:val="bottom"/>
            <w:hideMark/>
          </w:tcPr>
          <w:p w14:paraId="69CFE96F" w14:textId="77777777" w:rsidR="00C02916" w:rsidRPr="00B67DB3" w:rsidRDefault="00C02916" w:rsidP="00C02916">
            <w:pPr>
              <w:spacing w:after="0" w:line="240" w:lineRule="auto"/>
              <w:rPr>
                <w:sz w:val="20"/>
              </w:rPr>
            </w:pPr>
            <w:r w:rsidRPr="00B67DB3">
              <w:rPr>
                <w:sz w:val="20"/>
              </w:rPr>
              <w:t>180+ days</w:t>
            </w:r>
          </w:p>
        </w:tc>
        <w:tc>
          <w:tcPr>
            <w:tcW w:w="882" w:type="pct"/>
            <w:shd w:val="clear" w:color="auto" w:fill="auto"/>
            <w:noWrap/>
            <w:vAlign w:val="bottom"/>
            <w:hideMark/>
          </w:tcPr>
          <w:p w14:paraId="683B36E4" w14:textId="77777777" w:rsidR="00C02916" w:rsidRPr="00B67DB3" w:rsidRDefault="00C02916" w:rsidP="00C02916">
            <w:pPr>
              <w:spacing w:after="0" w:line="240" w:lineRule="auto"/>
              <w:jc w:val="center"/>
              <w:rPr>
                <w:sz w:val="20"/>
              </w:rPr>
            </w:pPr>
            <w:r w:rsidRPr="00B67DB3">
              <w:rPr>
                <w:sz w:val="20"/>
              </w:rPr>
              <w:t>6.3%</w:t>
            </w:r>
          </w:p>
        </w:tc>
        <w:tc>
          <w:tcPr>
            <w:tcW w:w="882" w:type="pct"/>
            <w:vAlign w:val="bottom"/>
          </w:tcPr>
          <w:p w14:paraId="42B5B46D" w14:textId="77777777" w:rsidR="00C02916" w:rsidRPr="00B67DB3" w:rsidRDefault="00C02916" w:rsidP="00C02916">
            <w:pPr>
              <w:spacing w:after="0" w:line="240" w:lineRule="auto"/>
              <w:jc w:val="center"/>
              <w:rPr>
                <w:sz w:val="20"/>
              </w:rPr>
            </w:pPr>
            <w:r w:rsidRPr="00B67DB3">
              <w:rPr>
                <w:sz w:val="20"/>
              </w:rPr>
              <w:t>4.8%</w:t>
            </w:r>
          </w:p>
        </w:tc>
        <w:tc>
          <w:tcPr>
            <w:tcW w:w="881" w:type="pct"/>
            <w:vAlign w:val="bottom"/>
          </w:tcPr>
          <w:p w14:paraId="4FD78D24" w14:textId="77777777" w:rsidR="00C02916" w:rsidRPr="00B67DB3" w:rsidRDefault="00C02916" w:rsidP="00C02916">
            <w:pPr>
              <w:spacing w:after="0" w:line="240" w:lineRule="auto"/>
              <w:jc w:val="center"/>
              <w:rPr>
                <w:sz w:val="20"/>
              </w:rPr>
            </w:pPr>
            <w:r w:rsidRPr="00B67DB3">
              <w:rPr>
                <w:sz w:val="20"/>
              </w:rPr>
              <w:t>9.0%</w:t>
            </w:r>
          </w:p>
        </w:tc>
      </w:tr>
      <w:tr w:rsidR="00C02916" w:rsidRPr="004B64EF" w14:paraId="160C6CB5" w14:textId="77777777" w:rsidTr="00C02916">
        <w:trPr>
          <w:trHeight w:val="20"/>
        </w:trPr>
        <w:tc>
          <w:tcPr>
            <w:tcW w:w="2355" w:type="pct"/>
            <w:shd w:val="clear" w:color="auto" w:fill="auto"/>
            <w:vAlign w:val="bottom"/>
            <w:hideMark/>
          </w:tcPr>
          <w:p w14:paraId="2F6640FF" w14:textId="77777777" w:rsidR="00C02916" w:rsidRPr="00B67DB3" w:rsidRDefault="00C02916" w:rsidP="00C02916">
            <w:pPr>
              <w:spacing w:after="0" w:line="240" w:lineRule="auto"/>
              <w:rPr>
                <w:bCs/>
                <w:sz w:val="20"/>
              </w:rPr>
            </w:pPr>
            <w:r w:rsidRPr="00B67DB3">
              <w:rPr>
                <w:bCs/>
                <w:sz w:val="20"/>
              </w:rPr>
              <w:t xml:space="preserve">Admitting </w:t>
            </w:r>
            <w:r>
              <w:rPr>
                <w:bCs/>
                <w:sz w:val="20"/>
              </w:rPr>
              <w:t xml:space="preserve">Hospice </w:t>
            </w:r>
            <w:r w:rsidRPr="00B67DB3">
              <w:rPr>
                <w:bCs/>
                <w:sz w:val="20"/>
              </w:rPr>
              <w:t>Care Setting</w:t>
            </w:r>
          </w:p>
        </w:tc>
        <w:tc>
          <w:tcPr>
            <w:tcW w:w="882" w:type="pct"/>
            <w:shd w:val="clear" w:color="auto" w:fill="auto"/>
            <w:noWrap/>
            <w:vAlign w:val="bottom"/>
            <w:hideMark/>
          </w:tcPr>
          <w:p w14:paraId="00D84BC2" w14:textId="77777777" w:rsidR="00C02916" w:rsidRPr="00B67DB3" w:rsidRDefault="00C02916" w:rsidP="00C02916">
            <w:pPr>
              <w:spacing w:after="0" w:line="240" w:lineRule="auto"/>
              <w:jc w:val="center"/>
              <w:rPr>
                <w:sz w:val="20"/>
              </w:rPr>
            </w:pPr>
          </w:p>
        </w:tc>
        <w:tc>
          <w:tcPr>
            <w:tcW w:w="882" w:type="pct"/>
            <w:vAlign w:val="bottom"/>
          </w:tcPr>
          <w:p w14:paraId="04DF1225" w14:textId="77777777" w:rsidR="00C02916" w:rsidRPr="00B67DB3" w:rsidRDefault="00C02916" w:rsidP="00C02916">
            <w:pPr>
              <w:spacing w:after="0" w:line="240" w:lineRule="auto"/>
              <w:jc w:val="center"/>
              <w:rPr>
                <w:sz w:val="20"/>
              </w:rPr>
            </w:pPr>
          </w:p>
        </w:tc>
        <w:tc>
          <w:tcPr>
            <w:tcW w:w="881" w:type="pct"/>
            <w:vAlign w:val="bottom"/>
          </w:tcPr>
          <w:p w14:paraId="7CC7BF8D" w14:textId="77777777" w:rsidR="00C02916" w:rsidRPr="00B67DB3" w:rsidRDefault="00C02916" w:rsidP="00C02916">
            <w:pPr>
              <w:spacing w:after="0" w:line="240" w:lineRule="auto"/>
              <w:jc w:val="center"/>
              <w:rPr>
                <w:sz w:val="20"/>
              </w:rPr>
            </w:pPr>
          </w:p>
        </w:tc>
      </w:tr>
      <w:tr w:rsidR="00C02916" w:rsidRPr="004B64EF" w14:paraId="25974C2C" w14:textId="77777777" w:rsidTr="0078225A">
        <w:trPr>
          <w:trHeight w:val="20"/>
        </w:trPr>
        <w:tc>
          <w:tcPr>
            <w:tcW w:w="2355" w:type="pct"/>
            <w:tcBorders>
              <w:bottom w:val="nil"/>
            </w:tcBorders>
            <w:shd w:val="clear" w:color="auto" w:fill="auto"/>
            <w:tcMar>
              <w:left w:w="288" w:type="dxa"/>
              <w:right w:w="115" w:type="dxa"/>
            </w:tcMar>
            <w:vAlign w:val="bottom"/>
            <w:hideMark/>
          </w:tcPr>
          <w:p w14:paraId="75B3264E" w14:textId="77777777" w:rsidR="00C02916" w:rsidRPr="00B67DB3" w:rsidRDefault="00C02916" w:rsidP="00C02916">
            <w:pPr>
              <w:spacing w:after="0" w:line="240" w:lineRule="auto"/>
              <w:rPr>
                <w:sz w:val="20"/>
              </w:rPr>
            </w:pPr>
            <w:r w:rsidRPr="00B67DB3">
              <w:rPr>
                <w:sz w:val="20"/>
              </w:rPr>
              <w:t>Private Residence</w:t>
            </w:r>
          </w:p>
        </w:tc>
        <w:tc>
          <w:tcPr>
            <w:tcW w:w="882" w:type="pct"/>
            <w:tcBorders>
              <w:bottom w:val="nil"/>
            </w:tcBorders>
            <w:shd w:val="clear" w:color="auto" w:fill="auto"/>
            <w:noWrap/>
            <w:vAlign w:val="bottom"/>
            <w:hideMark/>
          </w:tcPr>
          <w:p w14:paraId="74D17445" w14:textId="77777777" w:rsidR="00C02916" w:rsidRPr="00B67DB3" w:rsidRDefault="00C02916" w:rsidP="00C02916">
            <w:pPr>
              <w:spacing w:after="0" w:line="240" w:lineRule="auto"/>
              <w:jc w:val="center"/>
              <w:rPr>
                <w:sz w:val="20"/>
              </w:rPr>
            </w:pPr>
            <w:r w:rsidRPr="00B67DB3">
              <w:rPr>
                <w:sz w:val="20"/>
              </w:rPr>
              <w:t>58.5%</w:t>
            </w:r>
          </w:p>
        </w:tc>
        <w:tc>
          <w:tcPr>
            <w:tcW w:w="882" w:type="pct"/>
            <w:tcBorders>
              <w:bottom w:val="nil"/>
            </w:tcBorders>
            <w:vAlign w:val="bottom"/>
          </w:tcPr>
          <w:p w14:paraId="226677AD" w14:textId="77777777" w:rsidR="00C02916" w:rsidRPr="00B67DB3" w:rsidRDefault="00C02916" w:rsidP="00C02916">
            <w:pPr>
              <w:spacing w:after="0" w:line="240" w:lineRule="auto"/>
              <w:jc w:val="center"/>
              <w:rPr>
                <w:sz w:val="20"/>
              </w:rPr>
            </w:pPr>
            <w:r w:rsidRPr="00B67DB3">
              <w:rPr>
                <w:sz w:val="20"/>
              </w:rPr>
              <w:t>69.3%</w:t>
            </w:r>
          </w:p>
        </w:tc>
        <w:tc>
          <w:tcPr>
            <w:tcW w:w="881" w:type="pct"/>
            <w:tcBorders>
              <w:bottom w:val="nil"/>
            </w:tcBorders>
            <w:vAlign w:val="bottom"/>
          </w:tcPr>
          <w:p w14:paraId="5009DE05" w14:textId="77777777" w:rsidR="00C02916" w:rsidRPr="00B67DB3" w:rsidRDefault="00C02916" w:rsidP="00C02916">
            <w:pPr>
              <w:spacing w:after="0" w:line="240" w:lineRule="auto"/>
              <w:jc w:val="center"/>
              <w:rPr>
                <w:sz w:val="20"/>
              </w:rPr>
            </w:pPr>
            <w:r w:rsidRPr="00B67DB3">
              <w:rPr>
                <w:sz w:val="20"/>
              </w:rPr>
              <w:t>39.1%</w:t>
            </w:r>
          </w:p>
        </w:tc>
      </w:tr>
      <w:tr w:rsidR="00C02916" w:rsidRPr="004B64EF" w14:paraId="6406E8E9" w14:textId="77777777" w:rsidTr="0078225A">
        <w:trPr>
          <w:trHeight w:val="20"/>
        </w:trPr>
        <w:tc>
          <w:tcPr>
            <w:tcW w:w="2355" w:type="pct"/>
            <w:tcBorders>
              <w:top w:val="nil"/>
              <w:bottom w:val="nil"/>
            </w:tcBorders>
            <w:shd w:val="clear" w:color="auto" w:fill="auto"/>
            <w:tcMar>
              <w:left w:w="288" w:type="dxa"/>
              <w:right w:w="115" w:type="dxa"/>
            </w:tcMar>
            <w:vAlign w:val="bottom"/>
            <w:hideMark/>
          </w:tcPr>
          <w:p w14:paraId="3851EC1B" w14:textId="77777777" w:rsidR="00C02916" w:rsidRPr="00B67DB3" w:rsidRDefault="00C02916" w:rsidP="00C02916">
            <w:pPr>
              <w:spacing w:after="0" w:line="240" w:lineRule="auto"/>
              <w:rPr>
                <w:sz w:val="20"/>
              </w:rPr>
            </w:pPr>
            <w:r w:rsidRPr="00B67DB3">
              <w:rPr>
                <w:sz w:val="20"/>
              </w:rPr>
              <w:t>Assisted Living Facility</w:t>
            </w:r>
          </w:p>
        </w:tc>
        <w:tc>
          <w:tcPr>
            <w:tcW w:w="882" w:type="pct"/>
            <w:tcBorders>
              <w:top w:val="nil"/>
              <w:bottom w:val="nil"/>
            </w:tcBorders>
            <w:shd w:val="clear" w:color="auto" w:fill="auto"/>
            <w:noWrap/>
            <w:vAlign w:val="bottom"/>
            <w:hideMark/>
          </w:tcPr>
          <w:p w14:paraId="39DBA386" w14:textId="77777777" w:rsidR="00C02916" w:rsidRPr="00B67DB3" w:rsidRDefault="00C02916" w:rsidP="00C02916">
            <w:pPr>
              <w:spacing w:after="0" w:line="240" w:lineRule="auto"/>
              <w:jc w:val="center"/>
              <w:rPr>
                <w:sz w:val="20"/>
              </w:rPr>
            </w:pPr>
            <w:r w:rsidRPr="00B67DB3">
              <w:rPr>
                <w:sz w:val="20"/>
              </w:rPr>
              <w:t>4.1%</w:t>
            </w:r>
          </w:p>
        </w:tc>
        <w:tc>
          <w:tcPr>
            <w:tcW w:w="882" w:type="pct"/>
            <w:tcBorders>
              <w:top w:val="nil"/>
              <w:bottom w:val="nil"/>
            </w:tcBorders>
            <w:vAlign w:val="bottom"/>
          </w:tcPr>
          <w:p w14:paraId="3A1D0BBE" w14:textId="77777777" w:rsidR="00C02916" w:rsidRPr="00B67DB3" w:rsidRDefault="00C02916" w:rsidP="00C02916">
            <w:pPr>
              <w:spacing w:after="0" w:line="240" w:lineRule="auto"/>
              <w:jc w:val="center"/>
              <w:rPr>
                <w:sz w:val="20"/>
              </w:rPr>
            </w:pPr>
            <w:r w:rsidRPr="00B67DB3">
              <w:rPr>
                <w:sz w:val="20"/>
              </w:rPr>
              <w:t>2.4%</w:t>
            </w:r>
          </w:p>
        </w:tc>
        <w:tc>
          <w:tcPr>
            <w:tcW w:w="881" w:type="pct"/>
            <w:tcBorders>
              <w:top w:val="nil"/>
              <w:bottom w:val="nil"/>
            </w:tcBorders>
            <w:vAlign w:val="bottom"/>
          </w:tcPr>
          <w:p w14:paraId="07585D7B" w14:textId="77777777" w:rsidR="00C02916" w:rsidRPr="00B67DB3" w:rsidRDefault="00C02916" w:rsidP="00C02916">
            <w:pPr>
              <w:spacing w:after="0" w:line="240" w:lineRule="auto"/>
              <w:jc w:val="center"/>
              <w:rPr>
                <w:sz w:val="20"/>
              </w:rPr>
            </w:pPr>
            <w:r w:rsidRPr="00B67DB3">
              <w:rPr>
                <w:sz w:val="20"/>
              </w:rPr>
              <w:t>7.2%</w:t>
            </w:r>
          </w:p>
        </w:tc>
      </w:tr>
      <w:tr w:rsidR="00C02916" w:rsidRPr="004B64EF" w14:paraId="3D9E58A9" w14:textId="77777777" w:rsidTr="0078225A">
        <w:trPr>
          <w:trHeight w:val="20"/>
        </w:trPr>
        <w:tc>
          <w:tcPr>
            <w:tcW w:w="2355" w:type="pct"/>
            <w:tcBorders>
              <w:top w:val="nil"/>
              <w:bottom w:val="nil"/>
            </w:tcBorders>
            <w:shd w:val="clear" w:color="auto" w:fill="auto"/>
            <w:tcMar>
              <w:left w:w="288" w:type="dxa"/>
              <w:right w:w="115" w:type="dxa"/>
            </w:tcMar>
            <w:vAlign w:val="bottom"/>
            <w:hideMark/>
          </w:tcPr>
          <w:p w14:paraId="78221971" w14:textId="77777777" w:rsidR="00C02916" w:rsidRPr="00B67DB3" w:rsidRDefault="00C02916" w:rsidP="00C02916">
            <w:pPr>
              <w:spacing w:after="0" w:line="240" w:lineRule="auto"/>
              <w:rPr>
                <w:sz w:val="20"/>
              </w:rPr>
            </w:pPr>
            <w:r w:rsidRPr="00B67DB3">
              <w:rPr>
                <w:sz w:val="20"/>
              </w:rPr>
              <w:t>Nursing Facility</w:t>
            </w:r>
            <w:r>
              <w:rPr>
                <w:sz w:val="20"/>
              </w:rPr>
              <w:t xml:space="preserve"> (Skilled or Unskilled)</w:t>
            </w:r>
          </w:p>
        </w:tc>
        <w:tc>
          <w:tcPr>
            <w:tcW w:w="882" w:type="pct"/>
            <w:tcBorders>
              <w:top w:val="nil"/>
              <w:bottom w:val="nil"/>
            </w:tcBorders>
            <w:shd w:val="clear" w:color="auto" w:fill="auto"/>
            <w:noWrap/>
            <w:vAlign w:val="bottom"/>
            <w:hideMark/>
          </w:tcPr>
          <w:p w14:paraId="4F370C58" w14:textId="77777777" w:rsidR="00C02916" w:rsidRPr="00B67DB3" w:rsidRDefault="00C02916" w:rsidP="00C02916">
            <w:pPr>
              <w:spacing w:after="0" w:line="240" w:lineRule="auto"/>
              <w:jc w:val="center"/>
              <w:rPr>
                <w:sz w:val="20"/>
              </w:rPr>
            </w:pPr>
            <w:r w:rsidRPr="00B67DB3">
              <w:rPr>
                <w:sz w:val="20"/>
              </w:rPr>
              <w:t>19.7%</w:t>
            </w:r>
          </w:p>
        </w:tc>
        <w:tc>
          <w:tcPr>
            <w:tcW w:w="882" w:type="pct"/>
            <w:tcBorders>
              <w:top w:val="nil"/>
              <w:bottom w:val="nil"/>
            </w:tcBorders>
            <w:vAlign w:val="bottom"/>
          </w:tcPr>
          <w:p w14:paraId="0DE17565" w14:textId="77777777" w:rsidR="00C02916" w:rsidRPr="00B67DB3" w:rsidRDefault="00C02916" w:rsidP="00C02916">
            <w:pPr>
              <w:spacing w:after="0" w:line="240" w:lineRule="auto"/>
              <w:jc w:val="center"/>
              <w:rPr>
                <w:sz w:val="20"/>
              </w:rPr>
            </w:pPr>
            <w:r w:rsidRPr="00B67DB3">
              <w:rPr>
                <w:sz w:val="20"/>
              </w:rPr>
              <w:t>13.0%</w:t>
            </w:r>
          </w:p>
        </w:tc>
        <w:tc>
          <w:tcPr>
            <w:tcW w:w="881" w:type="pct"/>
            <w:tcBorders>
              <w:top w:val="nil"/>
              <w:bottom w:val="nil"/>
            </w:tcBorders>
            <w:vAlign w:val="bottom"/>
          </w:tcPr>
          <w:p w14:paraId="1D616CF9" w14:textId="77777777" w:rsidR="00C02916" w:rsidRPr="00B67DB3" w:rsidRDefault="00C02916" w:rsidP="00C02916">
            <w:pPr>
              <w:spacing w:after="0" w:line="240" w:lineRule="auto"/>
              <w:jc w:val="center"/>
              <w:rPr>
                <w:sz w:val="20"/>
              </w:rPr>
            </w:pPr>
            <w:r w:rsidRPr="00B67DB3">
              <w:rPr>
                <w:sz w:val="20"/>
              </w:rPr>
              <w:t>31.5%</w:t>
            </w:r>
          </w:p>
        </w:tc>
      </w:tr>
      <w:tr w:rsidR="00C02916" w:rsidRPr="004B64EF" w14:paraId="055B5249" w14:textId="77777777" w:rsidTr="0078225A">
        <w:trPr>
          <w:trHeight w:val="20"/>
        </w:trPr>
        <w:tc>
          <w:tcPr>
            <w:tcW w:w="2355" w:type="pct"/>
            <w:tcBorders>
              <w:top w:val="nil"/>
              <w:bottom w:val="nil"/>
            </w:tcBorders>
            <w:shd w:val="clear" w:color="auto" w:fill="auto"/>
            <w:tcMar>
              <w:left w:w="288" w:type="dxa"/>
              <w:right w:w="115" w:type="dxa"/>
            </w:tcMar>
            <w:vAlign w:val="bottom"/>
            <w:hideMark/>
          </w:tcPr>
          <w:p w14:paraId="7EBC1AD1" w14:textId="77777777" w:rsidR="00C02916" w:rsidRPr="00B67DB3" w:rsidRDefault="00C02916" w:rsidP="00C02916">
            <w:pPr>
              <w:spacing w:after="0" w:line="240" w:lineRule="auto"/>
              <w:rPr>
                <w:sz w:val="20"/>
              </w:rPr>
            </w:pPr>
            <w:r w:rsidRPr="00B67DB3">
              <w:rPr>
                <w:sz w:val="20"/>
              </w:rPr>
              <w:t>Hospital</w:t>
            </w:r>
            <w:r>
              <w:rPr>
                <w:sz w:val="20"/>
              </w:rPr>
              <w:t>, Inpatient Hospice Facility</w:t>
            </w:r>
          </w:p>
        </w:tc>
        <w:tc>
          <w:tcPr>
            <w:tcW w:w="882" w:type="pct"/>
            <w:tcBorders>
              <w:top w:val="nil"/>
              <w:bottom w:val="nil"/>
            </w:tcBorders>
            <w:shd w:val="clear" w:color="auto" w:fill="auto"/>
            <w:noWrap/>
            <w:vAlign w:val="bottom"/>
            <w:hideMark/>
          </w:tcPr>
          <w:p w14:paraId="115DB273" w14:textId="77777777" w:rsidR="00C02916" w:rsidRPr="00B67DB3" w:rsidRDefault="00C02916" w:rsidP="00C02916">
            <w:pPr>
              <w:spacing w:after="0" w:line="240" w:lineRule="auto"/>
              <w:jc w:val="center"/>
              <w:rPr>
                <w:sz w:val="20"/>
              </w:rPr>
            </w:pPr>
            <w:r>
              <w:rPr>
                <w:sz w:val="20"/>
              </w:rPr>
              <w:t>16.4</w:t>
            </w:r>
            <w:r w:rsidRPr="00B67DB3">
              <w:rPr>
                <w:sz w:val="20"/>
              </w:rPr>
              <w:t>%</w:t>
            </w:r>
          </w:p>
        </w:tc>
        <w:tc>
          <w:tcPr>
            <w:tcW w:w="882" w:type="pct"/>
            <w:tcBorders>
              <w:top w:val="nil"/>
              <w:bottom w:val="nil"/>
            </w:tcBorders>
            <w:vAlign w:val="bottom"/>
          </w:tcPr>
          <w:p w14:paraId="52939641" w14:textId="77777777" w:rsidR="00C02916" w:rsidRPr="00B67DB3" w:rsidRDefault="00C02916" w:rsidP="00C02916">
            <w:pPr>
              <w:spacing w:after="0" w:line="240" w:lineRule="auto"/>
              <w:jc w:val="center"/>
              <w:rPr>
                <w:sz w:val="20"/>
              </w:rPr>
            </w:pPr>
            <w:r>
              <w:rPr>
                <w:sz w:val="20"/>
              </w:rPr>
              <w:t>14.0</w:t>
            </w:r>
            <w:r w:rsidRPr="00B67DB3">
              <w:rPr>
                <w:sz w:val="20"/>
              </w:rPr>
              <w:t>%</w:t>
            </w:r>
          </w:p>
        </w:tc>
        <w:tc>
          <w:tcPr>
            <w:tcW w:w="881" w:type="pct"/>
            <w:tcBorders>
              <w:top w:val="nil"/>
              <w:bottom w:val="nil"/>
            </w:tcBorders>
            <w:vAlign w:val="bottom"/>
          </w:tcPr>
          <w:p w14:paraId="02F82976" w14:textId="77777777" w:rsidR="00C02916" w:rsidRPr="00B67DB3" w:rsidRDefault="00C02916" w:rsidP="00C02916">
            <w:pPr>
              <w:spacing w:after="0" w:line="240" w:lineRule="auto"/>
              <w:jc w:val="center"/>
              <w:rPr>
                <w:sz w:val="20"/>
              </w:rPr>
            </w:pPr>
            <w:r>
              <w:rPr>
                <w:sz w:val="20"/>
              </w:rPr>
              <w:t>20.7</w:t>
            </w:r>
            <w:r w:rsidRPr="00B67DB3">
              <w:rPr>
                <w:sz w:val="20"/>
              </w:rPr>
              <w:t>%</w:t>
            </w:r>
          </w:p>
        </w:tc>
      </w:tr>
      <w:tr w:rsidR="00C02916" w:rsidRPr="004B64EF" w14:paraId="2D45CB57" w14:textId="77777777" w:rsidTr="0078225A">
        <w:trPr>
          <w:trHeight w:val="20"/>
        </w:trPr>
        <w:tc>
          <w:tcPr>
            <w:tcW w:w="2355" w:type="pct"/>
            <w:tcBorders>
              <w:top w:val="nil"/>
              <w:bottom w:val="nil"/>
            </w:tcBorders>
            <w:shd w:val="clear" w:color="auto" w:fill="auto"/>
            <w:tcMar>
              <w:left w:w="288" w:type="dxa"/>
              <w:right w:w="115" w:type="dxa"/>
            </w:tcMar>
            <w:vAlign w:val="bottom"/>
            <w:hideMark/>
          </w:tcPr>
          <w:p w14:paraId="1B7079C4" w14:textId="77777777" w:rsidR="00C02916" w:rsidRPr="00B67DB3" w:rsidRDefault="00C02916" w:rsidP="00C02916">
            <w:pPr>
              <w:spacing w:after="0" w:line="240" w:lineRule="auto"/>
              <w:rPr>
                <w:sz w:val="20"/>
              </w:rPr>
            </w:pPr>
            <w:r w:rsidRPr="00B67DB3">
              <w:rPr>
                <w:sz w:val="20"/>
              </w:rPr>
              <w:t>Other</w:t>
            </w:r>
          </w:p>
        </w:tc>
        <w:tc>
          <w:tcPr>
            <w:tcW w:w="882" w:type="pct"/>
            <w:tcBorders>
              <w:top w:val="nil"/>
              <w:bottom w:val="nil"/>
            </w:tcBorders>
            <w:shd w:val="clear" w:color="auto" w:fill="auto"/>
            <w:noWrap/>
            <w:vAlign w:val="bottom"/>
            <w:hideMark/>
          </w:tcPr>
          <w:p w14:paraId="44FC03FF" w14:textId="77777777" w:rsidR="00C02916" w:rsidRPr="00B67DB3" w:rsidRDefault="00C02916" w:rsidP="00C02916">
            <w:pPr>
              <w:spacing w:after="0" w:line="240" w:lineRule="auto"/>
              <w:jc w:val="center"/>
              <w:rPr>
                <w:sz w:val="20"/>
              </w:rPr>
            </w:pPr>
            <w:r w:rsidRPr="00B67DB3">
              <w:rPr>
                <w:sz w:val="20"/>
              </w:rPr>
              <w:t>1.3%</w:t>
            </w:r>
          </w:p>
        </w:tc>
        <w:tc>
          <w:tcPr>
            <w:tcW w:w="882" w:type="pct"/>
            <w:tcBorders>
              <w:top w:val="nil"/>
              <w:bottom w:val="nil"/>
            </w:tcBorders>
            <w:vAlign w:val="bottom"/>
          </w:tcPr>
          <w:p w14:paraId="13323A40" w14:textId="77777777" w:rsidR="00C02916" w:rsidRPr="00B67DB3" w:rsidRDefault="00C02916" w:rsidP="00C02916">
            <w:pPr>
              <w:spacing w:after="0" w:line="240" w:lineRule="auto"/>
              <w:jc w:val="center"/>
              <w:rPr>
                <w:sz w:val="20"/>
              </w:rPr>
            </w:pPr>
            <w:r w:rsidRPr="00B67DB3">
              <w:rPr>
                <w:sz w:val="20"/>
              </w:rPr>
              <w:t>1.3%</w:t>
            </w:r>
          </w:p>
        </w:tc>
        <w:tc>
          <w:tcPr>
            <w:tcW w:w="881" w:type="pct"/>
            <w:tcBorders>
              <w:top w:val="nil"/>
              <w:bottom w:val="nil"/>
            </w:tcBorders>
            <w:vAlign w:val="bottom"/>
          </w:tcPr>
          <w:p w14:paraId="08F15490" w14:textId="77777777" w:rsidR="00C02916" w:rsidRPr="00B67DB3" w:rsidRDefault="00C02916" w:rsidP="00C02916">
            <w:pPr>
              <w:spacing w:after="0" w:line="240" w:lineRule="auto"/>
              <w:jc w:val="center"/>
              <w:rPr>
                <w:sz w:val="20"/>
              </w:rPr>
            </w:pPr>
            <w:r w:rsidRPr="00B67DB3">
              <w:rPr>
                <w:sz w:val="20"/>
              </w:rPr>
              <w:t>1.5%</w:t>
            </w:r>
          </w:p>
        </w:tc>
      </w:tr>
      <w:tr w:rsidR="00C02916" w:rsidRPr="004B64EF" w14:paraId="23886593" w14:textId="77777777" w:rsidTr="0078225A">
        <w:trPr>
          <w:trHeight w:val="20"/>
        </w:trPr>
        <w:tc>
          <w:tcPr>
            <w:tcW w:w="2355" w:type="pct"/>
            <w:tcBorders>
              <w:top w:val="nil"/>
              <w:bottom w:val="nil"/>
            </w:tcBorders>
            <w:shd w:val="clear" w:color="auto" w:fill="auto"/>
            <w:noWrap/>
            <w:vAlign w:val="bottom"/>
            <w:hideMark/>
          </w:tcPr>
          <w:p w14:paraId="699696D4" w14:textId="77777777" w:rsidR="00C02916" w:rsidRPr="00B67DB3" w:rsidRDefault="00C02916" w:rsidP="00C02916">
            <w:pPr>
              <w:spacing w:after="0" w:line="240" w:lineRule="auto"/>
              <w:rPr>
                <w:bCs/>
                <w:sz w:val="20"/>
              </w:rPr>
            </w:pPr>
            <w:r w:rsidRPr="00B67DB3">
              <w:rPr>
                <w:bCs/>
                <w:sz w:val="20"/>
              </w:rPr>
              <w:t>Comorbidities</w:t>
            </w:r>
          </w:p>
        </w:tc>
        <w:tc>
          <w:tcPr>
            <w:tcW w:w="882" w:type="pct"/>
            <w:tcBorders>
              <w:top w:val="nil"/>
              <w:bottom w:val="nil"/>
            </w:tcBorders>
            <w:shd w:val="clear" w:color="auto" w:fill="auto"/>
            <w:noWrap/>
            <w:vAlign w:val="bottom"/>
            <w:hideMark/>
          </w:tcPr>
          <w:p w14:paraId="51253521" w14:textId="77777777" w:rsidR="00C02916" w:rsidRPr="00B67DB3" w:rsidRDefault="00C02916" w:rsidP="00C02916">
            <w:pPr>
              <w:spacing w:after="0" w:line="240" w:lineRule="auto"/>
              <w:jc w:val="center"/>
              <w:rPr>
                <w:sz w:val="20"/>
              </w:rPr>
            </w:pPr>
          </w:p>
        </w:tc>
        <w:tc>
          <w:tcPr>
            <w:tcW w:w="882" w:type="pct"/>
            <w:tcBorders>
              <w:top w:val="nil"/>
              <w:bottom w:val="nil"/>
            </w:tcBorders>
            <w:vAlign w:val="bottom"/>
          </w:tcPr>
          <w:p w14:paraId="1B742555" w14:textId="77777777" w:rsidR="00C02916" w:rsidRPr="00B67DB3" w:rsidRDefault="00C02916" w:rsidP="00C02916">
            <w:pPr>
              <w:spacing w:after="0" w:line="240" w:lineRule="auto"/>
              <w:jc w:val="center"/>
              <w:rPr>
                <w:sz w:val="20"/>
              </w:rPr>
            </w:pPr>
          </w:p>
        </w:tc>
        <w:tc>
          <w:tcPr>
            <w:tcW w:w="881" w:type="pct"/>
            <w:tcBorders>
              <w:top w:val="nil"/>
              <w:bottom w:val="nil"/>
            </w:tcBorders>
            <w:vAlign w:val="bottom"/>
          </w:tcPr>
          <w:p w14:paraId="51C8E866" w14:textId="77777777" w:rsidR="00C02916" w:rsidRPr="00B67DB3" w:rsidRDefault="00C02916" w:rsidP="00C02916">
            <w:pPr>
              <w:spacing w:after="0" w:line="240" w:lineRule="auto"/>
              <w:jc w:val="center"/>
              <w:rPr>
                <w:sz w:val="20"/>
              </w:rPr>
            </w:pPr>
          </w:p>
        </w:tc>
      </w:tr>
      <w:tr w:rsidR="00C02916" w:rsidRPr="004B64EF" w14:paraId="297088A7" w14:textId="77777777" w:rsidTr="0078225A">
        <w:trPr>
          <w:trHeight w:val="20"/>
        </w:trPr>
        <w:tc>
          <w:tcPr>
            <w:tcW w:w="2355" w:type="pct"/>
            <w:tcBorders>
              <w:top w:val="nil"/>
              <w:bottom w:val="nil"/>
            </w:tcBorders>
            <w:shd w:val="clear" w:color="auto" w:fill="auto"/>
            <w:noWrap/>
            <w:tcMar>
              <w:left w:w="288" w:type="dxa"/>
              <w:right w:w="115" w:type="dxa"/>
            </w:tcMar>
            <w:vAlign w:val="bottom"/>
            <w:hideMark/>
          </w:tcPr>
          <w:p w14:paraId="42AD8E0C" w14:textId="77777777" w:rsidR="00C02916" w:rsidRPr="00B67DB3" w:rsidRDefault="00C02916" w:rsidP="00C02916">
            <w:pPr>
              <w:spacing w:after="0" w:line="240" w:lineRule="auto"/>
              <w:rPr>
                <w:sz w:val="20"/>
              </w:rPr>
            </w:pPr>
            <w:r w:rsidRPr="00B67DB3">
              <w:rPr>
                <w:sz w:val="20"/>
              </w:rPr>
              <w:t>Hypertension</w:t>
            </w:r>
          </w:p>
        </w:tc>
        <w:tc>
          <w:tcPr>
            <w:tcW w:w="882" w:type="pct"/>
            <w:tcBorders>
              <w:top w:val="nil"/>
              <w:bottom w:val="nil"/>
            </w:tcBorders>
            <w:shd w:val="clear" w:color="auto" w:fill="auto"/>
            <w:noWrap/>
            <w:vAlign w:val="bottom"/>
            <w:hideMark/>
          </w:tcPr>
          <w:p w14:paraId="172F2D71" w14:textId="77777777" w:rsidR="00C02916" w:rsidRPr="00B67DB3" w:rsidRDefault="00C02916" w:rsidP="00C02916">
            <w:pPr>
              <w:spacing w:after="0" w:line="240" w:lineRule="auto"/>
              <w:jc w:val="center"/>
              <w:rPr>
                <w:sz w:val="20"/>
              </w:rPr>
            </w:pPr>
            <w:r w:rsidRPr="00B67DB3">
              <w:rPr>
                <w:sz w:val="20"/>
              </w:rPr>
              <w:t>81.0%</w:t>
            </w:r>
          </w:p>
        </w:tc>
        <w:tc>
          <w:tcPr>
            <w:tcW w:w="882" w:type="pct"/>
            <w:tcBorders>
              <w:top w:val="nil"/>
              <w:bottom w:val="nil"/>
            </w:tcBorders>
            <w:vAlign w:val="bottom"/>
          </w:tcPr>
          <w:p w14:paraId="07EEFBAE" w14:textId="77777777" w:rsidR="00C02916" w:rsidRPr="00B67DB3" w:rsidRDefault="00C02916" w:rsidP="00C02916">
            <w:pPr>
              <w:spacing w:after="0" w:line="240" w:lineRule="auto"/>
              <w:jc w:val="center"/>
              <w:rPr>
                <w:sz w:val="20"/>
              </w:rPr>
            </w:pPr>
            <w:r w:rsidRPr="00B67DB3">
              <w:rPr>
                <w:sz w:val="20"/>
              </w:rPr>
              <w:t>78.5%</w:t>
            </w:r>
          </w:p>
        </w:tc>
        <w:tc>
          <w:tcPr>
            <w:tcW w:w="881" w:type="pct"/>
            <w:tcBorders>
              <w:top w:val="nil"/>
              <w:bottom w:val="nil"/>
            </w:tcBorders>
            <w:vAlign w:val="bottom"/>
          </w:tcPr>
          <w:p w14:paraId="7639FB74" w14:textId="77777777" w:rsidR="00C02916" w:rsidRPr="00B67DB3" w:rsidRDefault="00C02916" w:rsidP="00C02916">
            <w:pPr>
              <w:spacing w:after="0" w:line="240" w:lineRule="auto"/>
              <w:jc w:val="center"/>
              <w:rPr>
                <w:sz w:val="20"/>
              </w:rPr>
            </w:pPr>
            <w:r w:rsidRPr="00B67DB3">
              <w:rPr>
                <w:sz w:val="20"/>
              </w:rPr>
              <w:t>85.4%</w:t>
            </w:r>
          </w:p>
        </w:tc>
      </w:tr>
      <w:tr w:rsidR="00C02916" w:rsidRPr="004B64EF" w14:paraId="3F69A9B2" w14:textId="77777777" w:rsidTr="0078225A">
        <w:trPr>
          <w:trHeight w:val="20"/>
        </w:trPr>
        <w:tc>
          <w:tcPr>
            <w:tcW w:w="2355" w:type="pct"/>
            <w:tcBorders>
              <w:top w:val="nil"/>
              <w:bottom w:val="nil"/>
            </w:tcBorders>
            <w:shd w:val="clear" w:color="auto" w:fill="auto"/>
            <w:noWrap/>
            <w:tcMar>
              <w:left w:w="288" w:type="dxa"/>
              <w:right w:w="115" w:type="dxa"/>
            </w:tcMar>
            <w:vAlign w:val="bottom"/>
            <w:hideMark/>
          </w:tcPr>
          <w:p w14:paraId="5D373DB7" w14:textId="77777777" w:rsidR="00C02916" w:rsidRPr="00B67DB3" w:rsidRDefault="00C02916" w:rsidP="00C02916">
            <w:pPr>
              <w:spacing w:after="0" w:line="240" w:lineRule="auto"/>
              <w:rPr>
                <w:sz w:val="20"/>
              </w:rPr>
            </w:pPr>
            <w:r w:rsidRPr="00B67DB3">
              <w:rPr>
                <w:sz w:val="20"/>
              </w:rPr>
              <w:t>Heart Failure</w:t>
            </w:r>
          </w:p>
        </w:tc>
        <w:tc>
          <w:tcPr>
            <w:tcW w:w="882" w:type="pct"/>
            <w:tcBorders>
              <w:top w:val="nil"/>
              <w:bottom w:val="nil"/>
            </w:tcBorders>
            <w:shd w:val="clear" w:color="auto" w:fill="auto"/>
            <w:noWrap/>
            <w:vAlign w:val="bottom"/>
            <w:hideMark/>
          </w:tcPr>
          <w:p w14:paraId="2B478786" w14:textId="77777777" w:rsidR="00C02916" w:rsidRPr="00B67DB3" w:rsidRDefault="00C02916" w:rsidP="00C02916">
            <w:pPr>
              <w:spacing w:after="0" w:line="240" w:lineRule="auto"/>
              <w:jc w:val="center"/>
              <w:rPr>
                <w:sz w:val="20"/>
              </w:rPr>
            </w:pPr>
            <w:r w:rsidRPr="00B67DB3">
              <w:rPr>
                <w:sz w:val="20"/>
              </w:rPr>
              <w:t>33.6%</w:t>
            </w:r>
          </w:p>
        </w:tc>
        <w:tc>
          <w:tcPr>
            <w:tcW w:w="882" w:type="pct"/>
            <w:tcBorders>
              <w:top w:val="nil"/>
              <w:bottom w:val="nil"/>
            </w:tcBorders>
            <w:vAlign w:val="bottom"/>
          </w:tcPr>
          <w:p w14:paraId="7226E4B0" w14:textId="77777777" w:rsidR="00C02916" w:rsidRPr="00B67DB3" w:rsidRDefault="00C02916" w:rsidP="00C02916">
            <w:pPr>
              <w:spacing w:after="0" w:line="240" w:lineRule="auto"/>
              <w:jc w:val="center"/>
              <w:rPr>
                <w:sz w:val="20"/>
              </w:rPr>
            </w:pPr>
            <w:r w:rsidRPr="00B67DB3">
              <w:rPr>
                <w:sz w:val="20"/>
              </w:rPr>
              <w:t>24.4%</w:t>
            </w:r>
          </w:p>
        </w:tc>
        <w:tc>
          <w:tcPr>
            <w:tcW w:w="881" w:type="pct"/>
            <w:tcBorders>
              <w:top w:val="nil"/>
              <w:bottom w:val="nil"/>
            </w:tcBorders>
            <w:vAlign w:val="bottom"/>
          </w:tcPr>
          <w:p w14:paraId="592018F1" w14:textId="77777777" w:rsidR="00C02916" w:rsidRPr="00B67DB3" w:rsidRDefault="00C02916" w:rsidP="00C02916">
            <w:pPr>
              <w:spacing w:after="0" w:line="240" w:lineRule="auto"/>
              <w:jc w:val="center"/>
              <w:rPr>
                <w:sz w:val="20"/>
              </w:rPr>
            </w:pPr>
            <w:r w:rsidRPr="00B67DB3">
              <w:rPr>
                <w:sz w:val="20"/>
              </w:rPr>
              <w:t>50.1%</w:t>
            </w:r>
          </w:p>
        </w:tc>
      </w:tr>
      <w:tr w:rsidR="00C02916" w:rsidRPr="004B64EF" w14:paraId="4A9CE7B1" w14:textId="77777777" w:rsidTr="0078225A">
        <w:trPr>
          <w:trHeight w:val="20"/>
        </w:trPr>
        <w:tc>
          <w:tcPr>
            <w:tcW w:w="2355" w:type="pct"/>
            <w:tcBorders>
              <w:top w:val="nil"/>
              <w:bottom w:val="nil"/>
            </w:tcBorders>
            <w:shd w:val="clear" w:color="auto" w:fill="auto"/>
            <w:noWrap/>
            <w:tcMar>
              <w:left w:w="288" w:type="dxa"/>
              <w:right w:w="115" w:type="dxa"/>
            </w:tcMar>
            <w:vAlign w:val="bottom"/>
            <w:hideMark/>
          </w:tcPr>
          <w:p w14:paraId="539FEAD4" w14:textId="77777777" w:rsidR="00C02916" w:rsidRPr="00B67DB3" w:rsidRDefault="00C02916" w:rsidP="00C02916">
            <w:pPr>
              <w:spacing w:after="0" w:line="240" w:lineRule="auto"/>
              <w:rPr>
                <w:sz w:val="20"/>
              </w:rPr>
            </w:pPr>
            <w:r w:rsidRPr="00B67DB3">
              <w:rPr>
                <w:sz w:val="20"/>
              </w:rPr>
              <w:t>Diabetes Mellitus</w:t>
            </w:r>
          </w:p>
        </w:tc>
        <w:tc>
          <w:tcPr>
            <w:tcW w:w="882" w:type="pct"/>
            <w:tcBorders>
              <w:top w:val="nil"/>
              <w:bottom w:val="nil"/>
            </w:tcBorders>
            <w:shd w:val="clear" w:color="auto" w:fill="auto"/>
            <w:noWrap/>
            <w:vAlign w:val="bottom"/>
            <w:hideMark/>
          </w:tcPr>
          <w:p w14:paraId="3900A6B3" w14:textId="77777777" w:rsidR="00C02916" w:rsidRPr="00B67DB3" w:rsidRDefault="00C02916" w:rsidP="00C02916">
            <w:pPr>
              <w:spacing w:after="0" w:line="240" w:lineRule="auto"/>
              <w:jc w:val="center"/>
              <w:rPr>
                <w:sz w:val="20"/>
              </w:rPr>
            </w:pPr>
            <w:r w:rsidRPr="00B67DB3">
              <w:rPr>
                <w:sz w:val="20"/>
              </w:rPr>
              <w:t>37.0%</w:t>
            </w:r>
          </w:p>
        </w:tc>
        <w:tc>
          <w:tcPr>
            <w:tcW w:w="882" w:type="pct"/>
            <w:tcBorders>
              <w:top w:val="nil"/>
              <w:bottom w:val="nil"/>
            </w:tcBorders>
            <w:vAlign w:val="bottom"/>
          </w:tcPr>
          <w:p w14:paraId="6907F924" w14:textId="77777777" w:rsidR="00C02916" w:rsidRPr="00B67DB3" w:rsidRDefault="00C02916" w:rsidP="00C02916">
            <w:pPr>
              <w:spacing w:after="0" w:line="240" w:lineRule="auto"/>
              <w:jc w:val="center"/>
              <w:rPr>
                <w:sz w:val="20"/>
              </w:rPr>
            </w:pPr>
            <w:r w:rsidRPr="00B67DB3">
              <w:rPr>
                <w:sz w:val="20"/>
              </w:rPr>
              <w:t>36.0%</w:t>
            </w:r>
          </w:p>
        </w:tc>
        <w:tc>
          <w:tcPr>
            <w:tcW w:w="881" w:type="pct"/>
            <w:tcBorders>
              <w:top w:val="nil"/>
              <w:bottom w:val="nil"/>
            </w:tcBorders>
            <w:vAlign w:val="bottom"/>
          </w:tcPr>
          <w:p w14:paraId="71EDCB4B" w14:textId="77777777" w:rsidR="00C02916" w:rsidRPr="00B67DB3" w:rsidRDefault="00C02916" w:rsidP="00C02916">
            <w:pPr>
              <w:spacing w:after="0" w:line="240" w:lineRule="auto"/>
              <w:jc w:val="center"/>
              <w:rPr>
                <w:sz w:val="20"/>
              </w:rPr>
            </w:pPr>
            <w:r w:rsidRPr="00B67DB3">
              <w:rPr>
                <w:sz w:val="20"/>
              </w:rPr>
              <w:t>39.0%</w:t>
            </w:r>
          </w:p>
        </w:tc>
      </w:tr>
      <w:tr w:rsidR="00C02916" w:rsidRPr="004B64EF" w14:paraId="3B94A546" w14:textId="77777777" w:rsidTr="0078225A">
        <w:trPr>
          <w:trHeight w:val="20"/>
        </w:trPr>
        <w:tc>
          <w:tcPr>
            <w:tcW w:w="2355" w:type="pct"/>
            <w:tcBorders>
              <w:top w:val="nil"/>
              <w:bottom w:val="nil"/>
            </w:tcBorders>
            <w:shd w:val="clear" w:color="auto" w:fill="auto"/>
            <w:noWrap/>
            <w:tcMar>
              <w:left w:w="288" w:type="dxa"/>
              <w:right w:w="115" w:type="dxa"/>
            </w:tcMar>
            <w:vAlign w:val="bottom"/>
            <w:hideMark/>
          </w:tcPr>
          <w:p w14:paraId="00715D6D" w14:textId="77777777" w:rsidR="00C02916" w:rsidRPr="00B67DB3" w:rsidRDefault="00C02916" w:rsidP="00C02916">
            <w:pPr>
              <w:spacing w:after="0" w:line="240" w:lineRule="auto"/>
              <w:rPr>
                <w:sz w:val="20"/>
              </w:rPr>
            </w:pPr>
            <w:r w:rsidRPr="00B67DB3">
              <w:rPr>
                <w:sz w:val="20"/>
              </w:rPr>
              <w:t>Chronic Obstructive Pulmonary Disease</w:t>
            </w:r>
          </w:p>
        </w:tc>
        <w:tc>
          <w:tcPr>
            <w:tcW w:w="882" w:type="pct"/>
            <w:tcBorders>
              <w:top w:val="nil"/>
              <w:bottom w:val="nil"/>
            </w:tcBorders>
            <w:shd w:val="clear" w:color="auto" w:fill="auto"/>
            <w:noWrap/>
            <w:vAlign w:val="bottom"/>
            <w:hideMark/>
          </w:tcPr>
          <w:p w14:paraId="1819D632" w14:textId="77777777" w:rsidR="00C02916" w:rsidRPr="00B67DB3" w:rsidRDefault="00C02916" w:rsidP="00C02916">
            <w:pPr>
              <w:spacing w:after="0" w:line="240" w:lineRule="auto"/>
              <w:jc w:val="center"/>
              <w:rPr>
                <w:sz w:val="20"/>
              </w:rPr>
            </w:pPr>
            <w:r w:rsidRPr="00B67DB3">
              <w:rPr>
                <w:sz w:val="20"/>
              </w:rPr>
              <w:t>42.0%</w:t>
            </w:r>
          </w:p>
        </w:tc>
        <w:tc>
          <w:tcPr>
            <w:tcW w:w="882" w:type="pct"/>
            <w:tcBorders>
              <w:top w:val="nil"/>
              <w:bottom w:val="nil"/>
            </w:tcBorders>
            <w:vAlign w:val="bottom"/>
          </w:tcPr>
          <w:p w14:paraId="323B0D77" w14:textId="77777777" w:rsidR="00C02916" w:rsidRPr="00B67DB3" w:rsidRDefault="00C02916" w:rsidP="00C02916">
            <w:pPr>
              <w:spacing w:after="0" w:line="240" w:lineRule="auto"/>
              <w:jc w:val="center"/>
              <w:rPr>
                <w:sz w:val="20"/>
              </w:rPr>
            </w:pPr>
            <w:r w:rsidRPr="00B67DB3">
              <w:rPr>
                <w:sz w:val="20"/>
              </w:rPr>
              <w:t>43.4%</w:t>
            </w:r>
          </w:p>
        </w:tc>
        <w:tc>
          <w:tcPr>
            <w:tcW w:w="881" w:type="pct"/>
            <w:tcBorders>
              <w:top w:val="nil"/>
              <w:bottom w:val="nil"/>
            </w:tcBorders>
            <w:vAlign w:val="bottom"/>
          </w:tcPr>
          <w:p w14:paraId="1E805048" w14:textId="77777777" w:rsidR="00C02916" w:rsidRPr="00B67DB3" w:rsidRDefault="00C02916" w:rsidP="00C02916">
            <w:pPr>
              <w:spacing w:after="0" w:line="240" w:lineRule="auto"/>
              <w:jc w:val="center"/>
              <w:rPr>
                <w:sz w:val="20"/>
              </w:rPr>
            </w:pPr>
            <w:r w:rsidRPr="00B67DB3">
              <w:rPr>
                <w:sz w:val="20"/>
              </w:rPr>
              <w:t>39.6%</w:t>
            </w:r>
          </w:p>
        </w:tc>
      </w:tr>
      <w:tr w:rsidR="00C02916" w:rsidRPr="004B64EF" w14:paraId="7C6358DC" w14:textId="77777777" w:rsidTr="0078225A">
        <w:trPr>
          <w:trHeight w:val="20"/>
        </w:trPr>
        <w:tc>
          <w:tcPr>
            <w:tcW w:w="2355" w:type="pct"/>
            <w:tcBorders>
              <w:top w:val="nil"/>
              <w:bottom w:val="nil"/>
            </w:tcBorders>
            <w:shd w:val="clear" w:color="auto" w:fill="auto"/>
            <w:noWrap/>
            <w:tcMar>
              <w:left w:w="288" w:type="dxa"/>
              <w:right w:w="115" w:type="dxa"/>
            </w:tcMar>
            <w:vAlign w:val="bottom"/>
            <w:hideMark/>
          </w:tcPr>
          <w:p w14:paraId="509538B8" w14:textId="77777777" w:rsidR="00C02916" w:rsidRPr="00B67DB3" w:rsidRDefault="00C02916" w:rsidP="00C02916">
            <w:pPr>
              <w:spacing w:after="0" w:line="240" w:lineRule="auto"/>
              <w:rPr>
                <w:sz w:val="20"/>
              </w:rPr>
            </w:pPr>
            <w:r w:rsidRPr="00B67DB3">
              <w:rPr>
                <w:sz w:val="20"/>
              </w:rPr>
              <w:t>Coronary Atherosclerosis</w:t>
            </w:r>
          </w:p>
        </w:tc>
        <w:tc>
          <w:tcPr>
            <w:tcW w:w="882" w:type="pct"/>
            <w:tcBorders>
              <w:top w:val="nil"/>
              <w:bottom w:val="nil"/>
            </w:tcBorders>
            <w:shd w:val="clear" w:color="auto" w:fill="auto"/>
            <w:noWrap/>
            <w:vAlign w:val="bottom"/>
            <w:hideMark/>
          </w:tcPr>
          <w:p w14:paraId="07ADDB8A" w14:textId="77777777" w:rsidR="00C02916" w:rsidRPr="00B67DB3" w:rsidRDefault="00C02916" w:rsidP="00C02916">
            <w:pPr>
              <w:spacing w:after="0" w:line="240" w:lineRule="auto"/>
              <w:jc w:val="center"/>
              <w:rPr>
                <w:sz w:val="20"/>
              </w:rPr>
            </w:pPr>
            <w:r w:rsidRPr="00B67DB3">
              <w:rPr>
                <w:sz w:val="20"/>
              </w:rPr>
              <w:t>34.6%</w:t>
            </w:r>
          </w:p>
        </w:tc>
        <w:tc>
          <w:tcPr>
            <w:tcW w:w="882" w:type="pct"/>
            <w:tcBorders>
              <w:top w:val="nil"/>
              <w:bottom w:val="nil"/>
            </w:tcBorders>
            <w:vAlign w:val="bottom"/>
          </w:tcPr>
          <w:p w14:paraId="33CBF7CE" w14:textId="77777777" w:rsidR="00C02916" w:rsidRPr="00B67DB3" w:rsidRDefault="00C02916" w:rsidP="00C02916">
            <w:pPr>
              <w:spacing w:after="0" w:line="240" w:lineRule="auto"/>
              <w:jc w:val="center"/>
              <w:rPr>
                <w:sz w:val="20"/>
              </w:rPr>
            </w:pPr>
            <w:r w:rsidRPr="00B67DB3">
              <w:rPr>
                <w:sz w:val="20"/>
              </w:rPr>
              <w:t>31.0%</w:t>
            </w:r>
          </w:p>
        </w:tc>
        <w:tc>
          <w:tcPr>
            <w:tcW w:w="881" w:type="pct"/>
            <w:tcBorders>
              <w:top w:val="nil"/>
              <w:bottom w:val="nil"/>
            </w:tcBorders>
            <w:vAlign w:val="bottom"/>
          </w:tcPr>
          <w:p w14:paraId="32EE55EE" w14:textId="77777777" w:rsidR="00C02916" w:rsidRPr="00B67DB3" w:rsidRDefault="00C02916" w:rsidP="00C02916">
            <w:pPr>
              <w:spacing w:after="0" w:line="240" w:lineRule="auto"/>
              <w:jc w:val="center"/>
              <w:rPr>
                <w:sz w:val="20"/>
              </w:rPr>
            </w:pPr>
            <w:r w:rsidRPr="00B67DB3">
              <w:rPr>
                <w:sz w:val="20"/>
              </w:rPr>
              <w:t>41.1%</w:t>
            </w:r>
          </w:p>
        </w:tc>
      </w:tr>
      <w:tr w:rsidR="00C02916" w:rsidRPr="004B64EF" w14:paraId="78D1A68F" w14:textId="77777777" w:rsidTr="0078225A">
        <w:trPr>
          <w:trHeight w:val="20"/>
        </w:trPr>
        <w:tc>
          <w:tcPr>
            <w:tcW w:w="2355" w:type="pct"/>
            <w:tcBorders>
              <w:top w:val="nil"/>
              <w:bottom w:val="nil"/>
            </w:tcBorders>
            <w:shd w:val="clear" w:color="auto" w:fill="auto"/>
            <w:tcMar>
              <w:left w:w="288" w:type="dxa"/>
              <w:right w:w="115" w:type="dxa"/>
            </w:tcMar>
            <w:vAlign w:val="bottom"/>
          </w:tcPr>
          <w:p w14:paraId="0A54E21E" w14:textId="77777777" w:rsidR="00C02916" w:rsidRPr="00B67DB3" w:rsidRDefault="00C02916" w:rsidP="00C02916">
            <w:pPr>
              <w:spacing w:after="0" w:line="240" w:lineRule="auto"/>
              <w:rPr>
                <w:sz w:val="20"/>
              </w:rPr>
            </w:pPr>
            <w:r w:rsidRPr="00B67DB3">
              <w:rPr>
                <w:sz w:val="20"/>
              </w:rPr>
              <w:t>Renal Disease</w:t>
            </w:r>
          </w:p>
        </w:tc>
        <w:tc>
          <w:tcPr>
            <w:tcW w:w="882" w:type="pct"/>
            <w:tcBorders>
              <w:top w:val="nil"/>
              <w:bottom w:val="nil"/>
            </w:tcBorders>
            <w:shd w:val="clear" w:color="auto" w:fill="auto"/>
            <w:noWrap/>
            <w:vAlign w:val="bottom"/>
          </w:tcPr>
          <w:p w14:paraId="7573457A" w14:textId="77777777" w:rsidR="00C02916" w:rsidRPr="00B67DB3" w:rsidRDefault="00C02916" w:rsidP="00C02916">
            <w:pPr>
              <w:spacing w:after="0" w:line="240" w:lineRule="auto"/>
              <w:jc w:val="center"/>
              <w:rPr>
                <w:sz w:val="20"/>
              </w:rPr>
            </w:pPr>
            <w:r w:rsidRPr="00B67DB3">
              <w:rPr>
                <w:sz w:val="20"/>
              </w:rPr>
              <w:t>23.1%</w:t>
            </w:r>
          </w:p>
        </w:tc>
        <w:tc>
          <w:tcPr>
            <w:tcW w:w="882" w:type="pct"/>
            <w:tcBorders>
              <w:top w:val="nil"/>
              <w:bottom w:val="nil"/>
            </w:tcBorders>
            <w:vAlign w:val="bottom"/>
          </w:tcPr>
          <w:p w14:paraId="623D5C71" w14:textId="77777777" w:rsidR="00C02916" w:rsidRPr="00B67DB3" w:rsidRDefault="00C02916" w:rsidP="00C02916">
            <w:pPr>
              <w:spacing w:after="0" w:line="240" w:lineRule="auto"/>
              <w:jc w:val="center"/>
              <w:rPr>
                <w:sz w:val="20"/>
              </w:rPr>
            </w:pPr>
            <w:r w:rsidRPr="00B67DB3">
              <w:rPr>
                <w:sz w:val="20"/>
              </w:rPr>
              <w:t>18.1%</w:t>
            </w:r>
          </w:p>
        </w:tc>
        <w:tc>
          <w:tcPr>
            <w:tcW w:w="881" w:type="pct"/>
            <w:tcBorders>
              <w:top w:val="nil"/>
              <w:bottom w:val="nil"/>
            </w:tcBorders>
            <w:vAlign w:val="bottom"/>
          </w:tcPr>
          <w:p w14:paraId="67105675" w14:textId="77777777" w:rsidR="00C02916" w:rsidRPr="00B67DB3" w:rsidRDefault="00C02916" w:rsidP="00C02916">
            <w:pPr>
              <w:spacing w:after="0" w:line="240" w:lineRule="auto"/>
              <w:jc w:val="center"/>
              <w:rPr>
                <w:sz w:val="20"/>
              </w:rPr>
            </w:pPr>
            <w:r w:rsidRPr="00B67DB3">
              <w:rPr>
                <w:sz w:val="20"/>
              </w:rPr>
              <w:t>32.2%</w:t>
            </w:r>
          </w:p>
        </w:tc>
      </w:tr>
      <w:tr w:rsidR="00C02916" w:rsidRPr="004B64EF" w14:paraId="797207E8" w14:textId="77777777" w:rsidTr="0078225A">
        <w:trPr>
          <w:trHeight w:val="20"/>
        </w:trPr>
        <w:tc>
          <w:tcPr>
            <w:tcW w:w="2355" w:type="pct"/>
            <w:tcBorders>
              <w:top w:val="nil"/>
              <w:bottom w:val="nil"/>
            </w:tcBorders>
            <w:shd w:val="clear" w:color="auto" w:fill="auto"/>
            <w:tcMar>
              <w:left w:w="288" w:type="dxa"/>
              <w:right w:w="115" w:type="dxa"/>
            </w:tcMar>
            <w:vAlign w:val="bottom"/>
          </w:tcPr>
          <w:p w14:paraId="1DEFB6E9" w14:textId="77777777" w:rsidR="00C02916" w:rsidRPr="00B67DB3" w:rsidRDefault="00C02916" w:rsidP="00C02916">
            <w:pPr>
              <w:spacing w:after="0" w:line="240" w:lineRule="auto"/>
              <w:rPr>
                <w:sz w:val="20"/>
              </w:rPr>
            </w:pPr>
            <w:r w:rsidRPr="00B67DB3">
              <w:rPr>
                <w:sz w:val="20"/>
              </w:rPr>
              <w:t>Liver Disease</w:t>
            </w:r>
          </w:p>
        </w:tc>
        <w:tc>
          <w:tcPr>
            <w:tcW w:w="882" w:type="pct"/>
            <w:tcBorders>
              <w:top w:val="nil"/>
              <w:bottom w:val="nil"/>
            </w:tcBorders>
            <w:shd w:val="clear" w:color="auto" w:fill="auto"/>
            <w:noWrap/>
            <w:vAlign w:val="bottom"/>
          </w:tcPr>
          <w:p w14:paraId="1048BEF9" w14:textId="77777777" w:rsidR="00C02916" w:rsidRPr="00B67DB3" w:rsidRDefault="00C02916" w:rsidP="00C02916">
            <w:pPr>
              <w:spacing w:after="0" w:line="240" w:lineRule="auto"/>
              <w:jc w:val="center"/>
              <w:rPr>
                <w:sz w:val="20"/>
              </w:rPr>
            </w:pPr>
            <w:r w:rsidRPr="00B67DB3">
              <w:rPr>
                <w:sz w:val="20"/>
              </w:rPr>
              <w:t>20.3%</w:t>
            </w:r>
          </w:p>
        </w:tc>
        <w:tc>
          <w:tcPr>
            <w:tcW w:w="882" w:type="pct"/>
            <w:tcBorders>
              <w:top w:val="nil"/>
              <w:bottom w:val="nil"/>
            </w:tcBorders>
            <w:vAlign w:val="bottom"/>
          </w:tcPr>
          <w:p w14:paraId="51D2FE05" w14:textId="77777777" w:rsidR="00C02916" w:rsidRPr="00B67DB3" w:rsidRDefault="00C02916" w:rsidP="00C02916">
            <w:pPr>
              <w:spacing w:after="0" w:line="240" w:lineRule="auto"/>
              <w:jc w:val="center"/>
              <w:rPr>
                <w:sz w:val="20"/>
              </w:rPr>
            </w:pPr>
            <w:r w:rsidRPr="00B67DB3">
              <w:rPr>
                <w:sz w:val="20"/>
              </w:rPr>
              <w:t>25.1%</w:t>
            </w:r>
          </w:p>
        </w:tc>
        <w:tc>
          <w:tcPr>
            <w:tcW w:w="881" w:type="pct"/>
            <w:tcBorders>
              <w:top w:val="nil"/>
              <w:bottom w:val="nil"/>
            </w:tcBorders>
            <w:vAlign w:val="bottom"/>
          </w:tcPr>
          <w:p w14:paraId="2667DC10" w14:textId="77777777" w:rsidR="00C02916" w:rsidRPr="00B67DB3" w:rsidRDefault="00C02916" w:rsidP="00C02916">
            <w:pPr>
              <w:spacing w:after="0" w:line="240" w:lineRule="auto"/>
              <w:jc w:val="center"/>
              <w:rPr>
                <w:sz w:val="20"/>
              </w:rPr>
            </w:pPr>
            <w:r w:rsidRPr="00B67DB3">
              <w:rPr>
                <w:sz w:val="20"/>
              </w:rPr>
              <w:t>11.6%</w:t>
            </w:r>
          </w:p>
        </w:tc>
      </w:tr>
      <w:tr w:rsidR="00C02916" w:rsidRPr="004B64EF" w14:paraId="5360A871" w14:textId="77777777" w:rsidTr="0078225A">
        <w:trPr>
          <w:trHeight w:val="20"/>
        </w:trPr>
        <w:tc>
          <w:tcPr>
            <w:tcW w:w="2355" w:type="pct"/>
            <w:tcBorders>
              <w:top w:val="nil"/>
              <w:bottom w:val="nil"/>
            </w:tcBorders>
            <w:shd w:val="clear" w:color="auto" w:fill="auto"/>
            <w:vAlign w:val="bottom"/>
            <w:hideMark/>
          </w:tcPr>
          <w:p w14:paraId="26A65508" w14:textId="77777777" w:rsidR="00C02916" w:rsidRPr="00B67DB3" w:rsidRDefault="00C02916" w:rsidP="00C02916">
            <w:pPr>
              <w:spacing w:after="0" w:line="240" w:lineRule="auto"/>
              <w:rPr>
                <w:bCs/>
                <w:sz w:val="20"/>
              </w:rPr>
            </w:pPr>
            <w:r w:rsidRPr="00B67DB3">
              <w:rPr>
                <w:bCs/>
                <w:sz w:val="20"/>
              </w:rPr>
              <w:t>Part D Low-Income Subsidy at Admission</w:t>
            </w:r>
          </w:p>
        </w:tc>
        <w:tc>
          <w:tcPr>
            <w:tcW w:w="882" w:type="pct"/>
            <w:tcBorders>
              <w:top w:val="nil"/>
              <w:bottom w:val="nil"/>
            </w:tcBorders>
            <w:shd w:val="clear" w:color="auto" w:fill="auto"/>
            <w:noWrap/>
            <w:vAlign w:val="bottom"/>
            <w:hideMark/>
          </w:tcPr>
          <w:p w14:paraId="5618D039" w14:textId="77777777" w:rsidR="00C02916" w:rsidRPr="00B67DB3" w:rsidRDefault="00C02916" w:rsidP="00C02916">
            <w:pPr>
              <w:spacing w:after="0" w:line="240" w:lineRule="auto"/>
              <w:jc w:val="center"/>
              <w:rPr>
                <w:sz w:val="20"/>
              </w:rPr>
            </w:pPr>
          </w:p>
        </w:tc>
        <w:tc>
          <w:tcPr>
            <w:tcW w:w="882" w:type="pct"/>
            <w:tcBorders>
              <w:top w:val="nil"/>
              <w:bottom w:val="nil"/>
            </w:tcBorders>
            <w:vAlign w:val="bottom"/>
          </w:tcPr>
          <w:p w14:paraId="10F8FD04" w14:textId="77777777" w:rsidR="00C02916" w:rsidRPr="00B67DB3" w:rsidRDefault="00C02916" w:rsidP="00C02916">
            <w:pPr>
              <w:spacing w:after="0" w:line="240" w:lineRule="auto"/>
              <w:jc w:val="center"/>
              <w:rPr>
                <w:sz w:val="20"/>
              </w:rPr>
            </w:pPr>
          </w:p>
        </w:tc>
        <w:tc>
          <w:tcPr>
            <w:tcW w:w="881" w:type="pct"/>
            <w:tcBorders>
              <w:top w:val="nil"/>
              <w:bottom w:val="nil"/>
            </w:tcBorders>
            <w:vAlign w:val="bottom"/>
          </w:tcPr>
          <w:p w14:paraId="3B0F41EB" w14:textId="77777777" w:rsidR="00C02916" w:rsidRPr="00B67DB3" w:rsidRDefault="00C02916" w:rsidP="00C02916">
            <w:pPr>
              <w:spacing w:after="0" w:line="240" w:lineRule="auto"/>
              <w:jc w:val="center"/>
              <w:rPr>
                <w:sz w:val="20"/>
              </w:rPr>
            </w:pPr>
          </w:p>
        </w:tc>
      </w:tr>
      <w:tr w:rsidR="00C02916" w:rsidRPr="004B64EF" w14:paraId="65BEC533" w14:textId="77777777" w:rsidTr="0078225A">
        <w:trPr>
          <w:trHeight w:val="20"/>
        </w:trPr>
        <w:tc>
          <w:tcPr>
            <w:tcW w:w="2355" w:type="pct"/>
            <w:tcBorders>
              <w:top w:val="nil"/>
              <w:bottom w:val="nil"/>
            </w:tcBorders>
            <w:shd w:val="clear" w:color="auto" w:fill="auto"/>
            <w:noWrap/>
            <w:tcMar>
              <w:left w:w="288" w:type="dxa"/>
              <w:right w:w="115" w:type="dxa"/>
            </w:tcMar>
            <w:vAlign w:val="bottom"/>
            <w:hideMark/>
          </w:tcPr>
          <w:p w14:paraId="3E2AC93F" w14:textId="77777777" w:rsidR="00C02916" w:rsidRPr="00B67DB3" w:rsidRDefault="00C02916" w:rsidP="00C02916">
            <w:pPr>
              <w:spacing w:after="0" w:line="240" w:lineRule="auto"/>
              <w:rPr>
                <w:sz w:val="20"/>
              </w:rPr>
            </w:pPr>
            <w:r w:rsidRPr="00B67DB3">
              <w:rPr>
                <w:sz w:val="20"/>
              </w:rPr>
              <w:t>Yes</w:t>
            </w:r>
          </w:p>
        </w:tc>
        <w:tc>
          <w:tcPr>
            <w:tcW w:w="882" w:type="pct"/>
            <w:tcBorders>
              <w:top w:val="nil"/>
              <w:bottom w:val="nil"/>
            </w:tcBorders>
            <w:shd w:val="clear" w:color="auto" w:fill="auto"/>
            <w:noWrap/>
            <w:vAlign w:val="bottom"/>
            <w:hideMark/>
          </w:tcPr>
          <w:p w14:paraId="0A7759B2" w14:textId="77777777" w:rsidR="00C02916" w:rsidRPr="00B67DB3" w:rsidRDefault="00C02916" w:rsidP="00C02916">
            <w:pPr>
              <w:spacing w:after="0" w:line="240" w:lineRule="auto"/>
              <w:jc w:val="center"/>
              <w:rPr>
                <w:sz w:val="20"/>
              </w:rPr>
            </w:pPr>
            <w:r w:rsidRPr="00B67DB3">
              <w:rPr>
                <w:sz w:val="20"/>
              </w:rPr>
              <w:t>41.5%</w:t>
            </w:r>
          </w:p>
        </w:tc>
        <w:tc>
          <w:tcPr>
            <w:tcW w:w="882" w:type="pct"/>
            <w:tcBorders>
              <w:top w:val="nil"/>
              <w:bottom w:val="nil"/>
            </w:tcBorders>
            <w:vAlign w:val="bottom"/>
          </w:tcPr>
          <w:p w14:paraId="1FB8B30B" w14:textId="77777777" w:rsidR="00C02916" w:rsidRPr="00B67DB3" w:rsidRDefault="00C02916" w:rsidP="00C02916">
            <w:pPr>
              <w:spacing w:after="0" w:line="240" w:lineRule="auto"/>
              <w:jc w:val="center"/>
              <w:rPr>
                <w:sz w:val="20"/>
              </w:rPr>
            </w:pPr>
            <w:r w:rsidRPr="00B67DB3">
              <w:rPr>
                <w:sz w:val="20"/>
              </w:rPr>
              <w:t>38.2%</w:t>
            </w:r>
          </w:p>
        </w:tc>
        <w:tc>
          <w:tcPr>
            <w:tcW w:w="881" w:type="pct"/>
            <w:tcBorders>
              <w:top w:val="nil"/>
              <w:bottom w:val="nil"/>
            </w:tcBorders>
            <w:vAlign w:val="bottom"/>
          </w:tcPr>
          <w:p w14:paraId="0BB97B60" w14:textId="77777777" w:rsidR="00C02916" w:rsidRPr="00B67DB3" w:rsidRDefault="00C02916" w:rsidP="00C02916">
            <w:pPr>
              <w:spacing w:after="0" w:line="240" w:lineRule="auto"/>
              <w:jc w:val="center"/>
              <w:rPr>
                <w:sz w:val="20"/>
              </w:rPr>
            </w:pPr>
            <w:r w:rsidRPr="00B67DB3">
              <w:rPr>
                <w:sz w:val="20"/>
              </w:rPr>
              <w:t>47.3%</w:t>
            </w:r>
          </w:p>
        </w:tc>
      </w:tr>
      <w:tr w:rsidR="00C02916" w:rsidRPr="004B64EF" w14:paraId="14463B84" w14:textId="77777777" w:rsidTr="0078225A">
        <w:trPr>
          <w:trHeight w:val="20"/>
        </w:trPr>
        <w:tc>
          <w:tcPr>
            <w:tcW w:w="2355" w:type="pct"/>
            <w:tcBorders>
              <w:top w:val="nil"/>
              <w:bottom w:val="nil"/>
            </w:tcBorders>
            <w:shd w:val="clear" w:color="auto" w:fill="auto"/>
            <w:vAlign w:val="bottom"/>
          </w:tcPr>
          <w:p w14:paraId="62A01FA0" w14:textId="77777777" w:rsidR="00C02916" w:rsidRPr="00B67DB3" w:rsidRDefault="00C02916" w:rsidP="00C02916">
            <w:pPr>
              <w:spacing w:after="0" w:line="240" w:lineRule="auto"/>
              <w:rPr>
                <w:sz w:val="20"/>
              </w:rPr>
            </w:pPr>
            <w:r w:rsidRPr="00B67DB3">
              <w:rPr>
                <w:bCs/>
                <w:sz w:val="20"/>
              </w:rPr>
              <w:t>Unique Medications in Year Prior to Admission</w:t>
            </w:r>
          </w:p>
        </w:tc>
        <w:tc>
          <w:tcPr>
            <w:tcW w:w="882" w:type="pct"/>
            <w:tcBorders>
              <w:top w:val="nil"/>
              <w:bottom w:val="nil"/>
            </w:tcBorders>
            <w:shd w:val="clear" w:color="auto" w:fill="auto"/>
            <w:noWrap/>
            <w:vAlign w:val="bottom"/>
          </w:tcPr>
          <w:p w14:paraId="33EA1EC2" w14:textId="77777777" w:rsidR="00C02916" w:rsidRPr="00B67DB3" w:rsidRDefault="00C02916" w:rsidP="00C02916">
            <w:pPr>
              <w:spacing w:after="0" w:line="240" w:lineRule="auto"/>
              <w:jc w:val="center"/>
              <w:rPr>
                <w:sz w:val="20"/>
              </w:rPr>
            </w:pPr>
          </w:p>
        </w:tc>
        <w:tc>
          <w:tcPr>
            <w:tcW w:w="882" w:type="pct"/>
            <w:tcBorders>
              <w:top w:val="nil"/>
              <w:bottom w:val="nil"/>
            </w:tcBorders>
            <w:vAlign w:val="bottom"/>
          </w:tcPr>
          <w:p w14:paraId="37AAC5F4" w14:textId="77777777" w:rsidR="00C02916" w:rsidRPr="00B67DB3" w:rsidRDefault="00C02916" w:rsidP="00C02916">
            <w:pPr>
              <w:spacing w:after="0" w:line="240" w:lineRule="auto"/>
              <w:jc w:val="center"/>
              <w:rPr>
                <w:sz w:val="20"/>
              </w:rPr>
            </w:pPr>
          </w:p>
        </w:tc>
        <w:tc>
          <w:tcPr>
            <w:tcW w:w="881" w:type="pct"/>
            <w:tcBorders>
              <w:top w:val="nil"/>
              <w:bottom w:val="nil"/>
            </w:tcBorders>
            <w:vAlign w:val="bottom"/>
          </w:tcPr>
          <w:p w14:paraId="2D78F470" w14:textId="77777777" w:rsidR="00C02916" w:rsidRPr="00B67DB3" w:rsidRDefault="00C02916" w:rsidP="00C02916">
            <w:pPr>
              <w:spacing w:after="0" w:line="240" w:lineRule="auto"/>
              <w:jc w:val="center"/>
              <w:rPr>
                <w:sz w:val="20"/>
              </w:rPr>
            </w:pPr>
          </w:p>
        </w:tc>
      </w:tr>
      <w:tr w:rsidR="00C02916" w:rsidRPr="004B64EF" w14:paraId="623FF8BD" w14:textId="77777777" w:rsidTr="0078225A">
        <w:trPr>
          <w:trHeight w:val="20"/>
        </w:trPr>
        <w:tc>
          <w:tcPr>
            <w:tcW w:w="2355" w:type="pct"/>
            <w:tcBorders>
              <w:top w:val="nil"/>
              <w:bottom w:val="single" w:sz="4" w:space="0" w:color="auto"/>
            </w:tcBorders>
            <w:shd w:val="clear" w:color="auto" w:fill="auto"/>
            <w:tcMar>
              <w:left w:w="288" w:type="dxa"/>
              <w:right w:w="115" w:type="dxa"/>
            </w:tcMar>
            <w:vAlign w:val="bottom"/>
          </w:tcPr>
          <w:p w14:paraId="6565EDB9" w14:textId="77777777" w:rsidR="00C02916" w:rsidRPr="00B67DB3" w:rsidRDefault="00C02916" w:rsidP="00C02916">
            <w:pPr>
              <w:spacing w:after="0" w:line="240" w:lineRule="auto"/>
              <w:rPr>
                <w:sz w:val="20"/>
              </w:rPr>
            </w:pPr>
            <w:r w:rsidRPr="00B67DB3">
              <w:rPr>
                <w:sz w:val="20"/>
              </w:rPr>
              <w:t>Mean (SD)</w:t>
            </w:r>
          </w:p>
        </w:tc>
        <w:tc>
          <w:tcPr>
            <w:tcW w:w="882" w:type="pct"/>
            <w:tcBorders>
              <w:top w:val="nil"/>
              <w:bottom w:val="single" w:sz="4" w:space="0" w:color="auto"/>
            </w:tcBorders>
            <w:shd w:val="clear" w:color="auto" w:fill="auto"/>
            <w:noWrap/>
            <w:vAlign w:val="bottom"/>
          </w:tcPr>
          <w:p w14:paraId="125DC9F2" w14:textId="77777777" w:rsidR="00C02916" w:rsidRPr="00B67DB3" w:rsidRDefault="00C02916" w:rsidP="00C02916">
            <w:pPr>
              <w:spacing w:after="0" w:line="240" w:lineRule="auto"/>
              <w:jc w:val="center"/>
              <w:rPr>
                <w:sz w:val="20"/>
              </w:rPr>
            </w:pPr>
            <w:r w:rsidRPr="00B67DB3">
              <w:rPr>
                <w:sz w:val="20"/>
              </w:rPr>
              <w:t>14.7 (7.2)</w:t>
            </w:r>
          </w:p>
        </w:tc>
        <w:tc>
          <w:tcPr>
            <w:tcW w:w="882" w:type="pct"/>
            <w:tcBorders>
              <w:top w:val="nil"/>
              <w:bottom w:val="single" w:sz="4" w:space="0" w:color="auto"/>
            </w:tcBorders>
            <w:vAlign w:val="bottom"/>
          </w:tcPr>
          <w:p w14:paraId="3319066E" w14:textId="77777777" w:rsidR="00C02916" w:rsidRPr="00B67DB3" w:rsidRDefault="00C02916" w:rsidP="00C02916">
            <w:pPr>
              <w:spacing w:after="0" w:line="240" w:lineRule="auto"/>
              <w:jc w:val="center"/>
              <w:rPr>
                <w:sz w:val="20"/>
              </w:rPr>
            </w:pPr>
            <w:r w:rsidRPr="00B67DB3">
              <w:rPr>
                <w:sz w:val="20"/>
              </w:rPr>
              <w:t>14.8 (7.1)</w:t>
            </w:r>
          </w:p>
        </w:tc>
        <w:tc>
          <w:tcPr>
            <w:tcW w:w="881" w:type="pct"/>
            <w:tcBorders>
              <w:top w:val="nil"/>
              <w:bottom w:val="single" w:sz="4" w:space="0" w:color="auto"/>
            </w:tcBorders>
            <w:vAlign w:val="bottom"/>
          </w:tcPr>
          <w:p w14:paraId="621888AB" w14:textId="77777777" w:rsidR="00C02916" w:rsidRPr="007C76C5" w:rsidRDefault="00C02916" w:rsidP="00C02916">
            <w:pPr>
              <w:spacing w:after="0" w:line="240" w:lineRule="auto"/>
              <w:jc w:val="center"/>
              <w:rPr>
                <w:sz w:val="20"/>
                <w:vertAlign w:val="superscript"/>
              </w:rPr>
            </w:pPr>
            <w:r w:rsidRPr="00B67DB3">
              <w:rPr>
                <w:sz w:val="20"/>
              </w:rPr>
              <w:t>14.7 (7.2)</w:t>
            </w:r>
          </w:p>
        </w:tc>
      </w:tr>
    </w:tbl>
    <w:p w14:paraId="7669A335" w14:textId="77777777" w:rsidR="000079CA" w:rsidRDefault="000079CA" w:rsidP="00FC7B75">
      <w:pPr>
        <w:ind w:firstLine="720"/>
        <w:rPr>
          <w:rFonts w:cs="Arial"/>
          <w:szCs w:val="22"/>
        </w:rPr>
      </w:pPr>
    </w:p>
    <w:p w14:paraId="7F8C505F" w14:textId="77777777" w:rsidR="0078225A" w:rsidRDefault="0078225A" w:rsidP="00FC7B75">
      <w:pPr>
        <w:ind w:firstLine="720"/>
        <w:rPr>
          <w:rFonts w:cs="Arial"/>
          <w:szCs w:val="22"/>
        </w:rPr>
      </w:pPr>
    </w:p>
    <w:p w14:paraId="578F527A" w14:textId="4836F338" w:rsidR="0078225A" w:rsidRDefault="0078225A" w:rsidP="0078225A">
      <w:pPr>
        <w:ind w:firstLine="720"/>
        <w:rPr>
          <w:rFonts w:cs="Arial"/>
          <w:szCs w:val="22"/>
        </w:rPr>
      </w:pPr>
      <w:r w:rsidRPr="00725D15">
        <w:rPr>
          <w:rFonts w:cs="Arial"/>
          <w:szCs w:val="22"/>
        </w:rPr>
        <w:lastRenderedPageBreak/>
        <w:t>Levothyroxine, furosemide, morphine, and omeprazole were among the most common medications obtained through Part D after hospice admission across all primary admission diagnoses (</w:t>
      </w:r>
      <w:r w:rsidR="00C35635">
        <w:rPr>
          <w:rFonts w:cs="Arial"/>
          <w:b/>
          <w:szCs w:val="22"/>
        </w:rPr>
        <w:t>TABLE VI, TABLE V</w:t>
      </w:r>
      <w:r>
        <w:rPr>
          <w:rFonts w:cs="Arial"/>
          <w:b/>
          <w:szCs w:val="22"/>
        </w:rPr>
        <w:t>II</w:t>
      </w:r>
      <w:r w:rsidRPr="00725D15">
        <w:rPr>
          <w:rFonts w:cs="Arial"/>
          <w:szCs w:val="22"/>
        </w:rPr>
        <w:t>). For both cancer and non-cancer hospice admissions, medication classes frequently observed among the top 25 included antihypertensives, opioid analgesics, proton pump inhibitors, anticoagulants and quinolone antibiotics. Antidepressants and anti-dementia medications were among the medications most frequently received by patients admitted for any non-cancer cause (</w:t>
      </w:r>
      <w:r w:rsidR="00C35635">
        <w:rPr>
          <w:rFonts w:cs="Arial"/>
          <w:b/>
          <w:szCs w:val="22"/>
        </w:rPr>
        <w:t>TABLE V</w:t>
      </w:r>
      <w:r>
        <w:rPr>
          <w:rFonts w:cs="Arial"/>
          <w:b/>
          <w:szCs w:val="22"/>
        </w:rPr>
        <w:t>I</w:t>
      </w:r>
      <w:r w:rsidRPr="00725D15">
        <w:rPr>
          <w:rFonts w:cs="Arial"/>
          <w:szCs w:val="22"/>
        </w:rPr>
        <w:t>). Receipt of disease- and symptom-directed therapy was prevalent across specific non-cancer admission diagnosis groups, including bronchodilators and steroids in patients admitted for lung disease, donepezil and memantine in patients admitted for dementia, and cardiovascular medications in patients admitted for heart disease (</w:t>
      </w:r>
      <w:r w:rsidR="00C35635">
        <w:rPr>
          <w:rFonts w:cs="Arial"/>
          <w:b/>
          <w:szCs w:val="22"/>
        </w:rPr>
        <w:t>TABLE VI</w:t>
      </w:r>
      <w:r>
        <w:rPr>
          <w:rFonts w:cs="Arial"/>
          <w:b/>
          <w:szCs w:val="22"/>
        </w:rPr>
        <w:t>I</w:t>
      </w:r>
      <w:r w:rsidRPr="00725D15">
        <w:rPr>
          <w:rFonts w:cs="Arial"/>
          <w:szCs w:val="22"/>
        </w:rPr>
        <w:t>).</w:t>
      </w:r>
    </w:p>
    <w:p w14:paraId="4F781044" w14:textId="77777777" w:rsidR="0078225A" w:rsidRDefault="0078225A" w:rsidP="00FC7B75">
      <w:pPr>
        <w:ind w:firstLine="720"/>
        <w:rPr>
          <w:rFonts w:cs="Arial"/>
          <w:szCs w:val="22"/>
        </w:rPr>
      </w:pPr>
    </w:p>
    <w:p w14:paraId="4C14DDD7" w14:textId="77777777" w:rsidR="0078225A" w:rsidRDefault="0078225A" w:rsidP="00FC7B75">
      <w:pPr>
        <w:ind w:firstLine="720"/>
        <w:rPr>
          <w:rFonts w:cs="Arial"/>
          <w:szCs w:val="22"/>
        </w:rPr>
      </w:pPr>
    </w:p>
    <w:p w14:paraId="305BF633" w14:textId="77777777" w:rsidR="0078225A" w:rsidRDefault="0078225A" w:rsidP="00FC7B75">
      <w:pPr>
        <w:ind w:firstLine="720"/>
        <w:rPr>
          <w:rFonts w:cs="Arial"/>
          <w:szCs w:val="22"/>
        </w:rPr>
      </w:pPr>
    </w:p>
    <w:p w14:paraId="5300E13C" w14:textId="77777777" w:rsidR="0078225A" w:rsidRDefault="0078225A" w:rsidP="00FC7B75">
      <w:pPr>
        <w:ind w:firstLine="720"/>
        <w:rPr>
          <w:rFonts w:cs="Arial"/>
          <w:szCs w:val="22"/>
        </w:rPr>
      </w:pPr>
    </w:p>
    <w:p w14:paraId="63CDAB6A" w14:textId="77777777" w:rsidR="0078225A" w:rsidRDefault="0078225A" w:rsidP="00FC7B75">
      <w:pPr>
        <w:ind w:firstLine="720"/>
        <w:rPr>
          <w:rFonts w:cs="Arial"/>
          <w:szCs w:val="22"/>
        </w:rPr>
      </w:pPr>
    </w:p>
    <w:p w14:paraId="6435DB92" w14:textId="77777777" w:rsidR="0078225A" w:rsidRDefault="0078225A" w:rsidP="00FC7B75">
      <w:pPr>
        <w:ind w:firstLine="720"/>
        <w:rPr>
          <w:rFonts w:cs="Arial"/>
          <w:szCs w:val="22"/>
        </w:rPr>
      </w:pPr>
    </w:p>
    <w:p w14:paraId="0135569F" w14:textId="77777777" w:rsidR="0078225A" w:rsidRDefault="0078225A" w:rsidP="00FC7B75">
      <w:pPr>
        <w:ind w:firstLine="720"/>
        <w:rPr>
          <w:rFonts w:cs="Arial"/>
          <w:szCs w:val="22"/>
        </w:rPr>
      </w:pPr>
    </w:p>
    <w:p w14:paraId="7648B86C" w14:textId="77777777" w:rsidR="0078225A" w:rsidRDefault="0078225A" w:rsidP="00FC7B75">
      <w:pPr>
        <w:ind w:firstLine="720"/>
        <w:rPr>
          <w:rFonts w:cs="Arial"/>
          <w:szCs w:val="22"/>
        </w:rPr>
      </w:pPr>
    </w:p>
    <w:p w14:paraId="5ED7FCF2" w14:textId="77777777" w:rsidR="0078225A" w:rsidRDefault="0078225A" w:rsidP="00FC7B75">
      <w:pPr>
        <w:ind w:firstLine="720"/>
        <w:rPr>
          <w:rFonts w:cs="Arial"/>
          <w:szCs w:val="22"/>
        </w:rPr>
      </w:pPr>
    </w:p>
    <w:p w14:paraId="1F0FC315" w14:textId="77777777" w:rsidR="0078225A" w:rsidRDefault="0078225A" w:rsidP="00FC7B75">
      <w:pPr>
        <w:ind w:firstLine="720"/>
        <w:rPr>
          <w:rFonts w:cs="Arial"/>
          <w:szCs w:val="22"/>
        </w:rPr>
      </w:pPr>
    </w:p>
    <w:p w14:paraId="3ABBB713" w14:textId="77777777" w:rsidR="0078225A" w:rsidRDefault="0078225A" w:rsidP="00FC7B75">
      <w:pPr>
        <w:ind w:firstLine="720"/>
        <w:rPr>
          <w:rFonts w:cs="Arial"/>
          <w:szCs w:val="22"/>
        </w:rPr>
      </w:pPr>
    </w:p>
    <w:p w14:paraId="2B97A634" w14:textId="29DBD5A3" w:rsidR="0078225A" w:rsidRDefault="00C35635" w:rsidP="00BF412B">
      <w:pPr>
        <w:spacing w:after="0" w:line="240" w:lineRule="auto"/>
        <w:jc w:val="center"/>
        <w:rPr>
          <w:rFonts w:cs="Arial"/>
          <w:b/>
          <w:szCs w:val="22"/>
        </w:rPr>
      </w:pPr>
      <w:r>
        <w:rPr>
          <w:rFonts w:cs="Arial"/>
          <w:b/>
          <w:szCs w:val="22"/>
        </w:rPr>
        <w:lastRenderedPageBreak/>
        <w:t>TABLE VI</w:t>
      </w:r>
    </w:p>
    <w:p w14:paraId="0EFEA4B2" w14:textId="77777777" w:rsidR="003C1890" w:rsidRPr="00C41A45" w:rsidRDefault="003C1890" w:rsidP="00BF412B">
      <w:pPr>
        <w:spacing w:after="0" w:line="240" w:lineRule="auto"/>
        <w:jc w:val="center"/>
        <w:rPr>
          <w:rFonts w:cs="Arial"/>
          <w:b/>
          <w:szCs w:val="22"/>
        </w:rPr>
      </w:pPr>
    </w:p>
    <w:p w14:paraId="73CFE996" w14:textId="12ED58A4" w:rsidR="0078225A" w:rsidRPr="00C41A45" w:rsidRDefault="000F64B1" w:rsidP="000F64B1">
      <w:pPr>
        <w:pStyle w:val="Caption"/>
        <w:ind w:left="-90"/>
        <w:rPr>
          <w:caps w:val="0"/>
          <w:szCs w:val="22"/>
        </w:rPr>
      </w:pPr>
      <w:bookmarkStart w:id="80" w:name="_Toc507327155"/>
      <w:bookmarkStart w:id="81" w:name="_Toc507329275"/>
      <w:r w:rsidRPr="006646BF">
        <w:t>TOP 25 MEDICATIONS RECEIVED AFTER HOSPICE ADMISSION THROUGH MEDICARE PART D, OVERALL AND BY CANCER VS NON-CANCER PRIMARY ADMISSION DIAGNOSIS</w:t>
      </w:r>
      <w:bookmarkEnd w:id="80"/>
      <w:bookmarkEnd w:id="81"/>
    </w:p>
    <w:tbl>
      <w:tblPr>
        <w:tblW w:w="0" w:type="auto"/>
        <w:jc w:val="center"/>
        <w:tblBorders>
          <w:top w:val="single" w:sz="4" w:space="0" w:color="auto"/>
          <w:bottom w:val="single" w:sz="4" w:space="0" w:color="auto"/>
        </w:tblBorders>
        <w:tblLook w:val="04A0" w:firstRow="1" w:lastRow="0" w:firstColumn="1" w:lastColumn="0" w:noHBand="0" w:noVBand="1"/>
      </w:tblPr>
      <w:tblGrid>
        <w:gridCol w:w="706"/>
        <w:gridCol w:w="2160"/>
        <w:gridCol w:w="495"/>
        <w:gridCol w:w="239"/>
        <w:gridCol w:w="2391"/>
        <w:gridCol w:w="495"/>
        <w:gridCol w:w="225"/>
        <w:gridCol w:w="2154"/>
        <w:gridCol w:w="495"/>
      </w:tblGrid>
      <w:tr w:rsidR="003C1890" w:rsidRPr="00272761" w14:paraId="65C66E34" w14:textId="77777777" w:rsidTr="00C26A79">
        <w:trPr>
          <w:trHeight w:val="255"/>
          <w:jc w:val="center"/>
        </w:trPr>
        <w:tc>
          <w:tcPr>
            <w:tcW w:w="706" w:type="dxa"/>
            <w:tcBorders>
              <w:top w:val="single" w:sz="4" w:space="0" w:color="auto"/>
              <w:left w:val="nil"/>
              <w:bottom w:val="nil"/>
              <w:right w:val="nil"/>
            </w:tcBorders>
            <w:shd w:val="clear" w:color="auto" w:fill="FFFFFF" w:themeFill="background1"/>
            <w:noWrap/>
            <w:vAlign w:val="center"/>
            <w:hideMark/>
          </w:tcPr>
          <w:p w14:paraId="4361D8A6" w14:textId="77777777" w:rsidR="003C1890" w:rsidRDefault="003C1890" w:rsidP="0078225A">
            <w:pPr>
              <w:spacing w:after="0" w:line="240" w:lineRule="auto"/>
              <w:rPr>
                <w:b/>
                <w:sz w:val="20"/>
              </w:rPr>
            </w:pPr>
          </w:p>
          <w:p w14:paraId="0D87E34B" w14:textId="77777777" w:rsidR="003C1890" w:rsidRPr="0078225A" w:rsidRDefault="003C1890" w:rsidP="0078225A">
            <w:pPr>
              <w:spacing w:after="0" w:line="240" w:lineRule="auto"/>
              <w:rPr>
                <w:b/>
                <w:sz w:val="20"/>
              </w:rPr>
            </w:pPr>
          </w:p>
        </w:tc>
        <w:tc>
          <w:tcPr>
            <w:tcW w:w="2655" w:type="dxa"/>
            <w:gridSpan w:val="2"/>
            <w:tcBorders>
              <w:top w:val="single" w:sz="4" w:space="0" w:color="auto"/>
              <w:left w:val="nil"/>
              <w:bottom w:val="nil"/>
              <w:right w:val="nil"/>
            </w:tcBorders>
            <w:shd w:val="clear" w:color="auto" w:fill="FFFFFF" w:themeFill="background1"/>
            <w:noWrap/>
            <w:vAlign w:val="center"/>
            <w:hideMark/>
          </w:tcPr>
          <w:p w14:paraId="132C4301" w14:textId="04EE73CC" w:rsidR="003C1890" w:rsidRPr="00C26A79" w:rsidRDefault="003C1890" w:rsidP="002B65B9">
            <w:pPr>
              <w:spacing w:after="0" w:line="240" w:lineRule="auto"/>
              <w:jc w:val="center"/>
              <w:rPr>
                <w:b/>
                <w:bCs/>
                <w:sz w:val="20"/>
              </w:rPr>
            </w:pPr>
            <w:r w:rsidRPr="00C26A79">
              <w:rPr>
                <w:b/>
                <w:bCs/>
                <w:sz w:val="20"/>
              </w:rPr>
              <w:t>All Patients (n=88,957)</w:t>
            </w:r>
          </w:p>
        </w:tc>
        <w:tc>
          <w:tcPr>
            <w:tcW w:w="239" w:type="dxa"/>
            <w:tcBorders>
              <w:top w:val="single" w:sz="4" w:space="0" w:color="auto"/>
              <w:left w:val="nil"/>
              <w:bottom w:val="nil"/>
              <w:right w:val="nil"/>
            </w:tcBorders>
            <w:shd w:val="clear" w:color="auto" w:fill="FFFFFF" w:themeFill="background1"/>
          </w:tcPr>
          <w:p w14:paraId="4D2967BD" w14:textId="77777777" w:rsidR="003C1890" w:rsidRPr="00C26A79" w:rsidRDefault="003C1890" w:rsidP="003C1890">
            <w:pPr>
              <w:spacing w:after="0" w:line="240" w:lineRule="auto"/>
              <w:jc w:val="center"/>
              <w:rPr>
                <w:b/>
                <w:bCs/>
                <w:sz w:val="20"/>
              </w:rPr>
            </w:pPr>
          </w:p>
        </w:tc>
        <w:tc>
          <w:tcPr>
            <w:tcW w:w="2886" w:type="dxa"/>
            <w:gridSpan w:val="2"/>
            <w:tcBorders>
              <w:top w:val="single" w:sz="4" w:space="0" w:color="auto"/>
              <w:left w:val="nil"/>
              <w:bottom w:val="nil"/>
              <w:right w:val="nil"/>
            </w:tcBorders>
            <w:shd w:val="clear" w:color="auto" w:fill="FFFFFF" w:themeFill="background1"/>
            <w:vAlign w:val="center"/>
          </w:tcPr>
          <w:p w14:paraId="048EC007" w14:textId="2F5E3BD0" w:rsidR="003C1890" w:rsidRPr="00C26A79" w:rsidRDefault="003C1890" w:rsidP="003C1890">
            <w:pPr>
              <w:spacing w:after="0" w:line="240" w:lineRule="auto"/>
              <w:jc w:val="center"/>
              <w:rPr>
                <w:b/>
                <w:bCs/>
                <w:sz w:val="20"/>
              </w:rPr>
            </w:pPr>
            <w:r w:rsidRPr="00C26A79">
              <w:rPr>
                <w:b/>
                <w:bCs/>
                <w:sz w:val="20"/>
              </w:rPr>
              <w:t>Cancer (n=57,204)</w:t>
            </w:r>
          </w:p>
        </w:tc>
        <w:tc>
          <w:tcPr>
            <w:tcW w:w="225" w:type="dxa"/>
            <w:tcBorders>
              <w:top w:val="single" w:sz="4" w:space="0" w:color="auto"/>
              <w:left w:val="nil"/>
              <w:bottom w:val="nil"/>
              <w:right w:val="nil"/>
            </w:tcBorders>
            <w:shd w:val="clear" w:color="auto" w:fill="FFFFFF" w:themeFill="background1"/>
            <w:vAlign w:val="center"/>
          </w:tcPr>
          <w:p w14:paraId="411E77C6" w14:textId="77777777" w:rsidR="003C1890" w:rsidRPr="00C26A79" w:rsidRDefault="003C1890" w:rsidP="003C1890">
            <w:pPr>
              <w:spacing w:after="0" w:line="240" w:lineRule="auto"/>
              <w:jc w:val="center"/>
              <w:rPr>
                <w:b/>
                <w:bCs/>
                <w:sz w:val="20"/>
              </w:rPr>
            </w:pPr>
          </w:p>
        </w:tc>
        <w:tc>
          <w:tcPr>
            <w:tcW w:w="2649" w:type="dxa"/>
            <w:gridSpan w:val="2"/>
            <w:tcBorders>
              <w:top w:val="single" w:sz="4" w:space="0" w:color="auto"/>
              <w:left w:val="nil"/>
              <w:bottom w:val="nil"/>
              <w:right w:val="nil"/>
            </w:tcBorders>
            <w:shd w:val="clear" w:color="auto" w:fill="FFFFFF" w:themeFill="background1"/>
            <w:vAlign w:val="center"/>
          </w:tcPr>
          <w:p w14:paraId="4AC0E964" w14:textId="0C30A45F" w:rsidR="003C1890" w:rsidRPr="00C26A79" w:rsidRDefault="003C1890" w:rsidP="003C1890">
            <w:pPr>
              <w:spacing w:after="0" w:line="240" w:lineRule="auto"/>
              <w:jc w:val="center"/>
              <w:rPr>
                <w:b/>
                <w:bCs/>
                <w:sz w:val="20"/>
              </w:rPr>
            </w:pPr>
            <w:r w:rsidRPr="00C26A79">
              <w:rPr>
                <w:b/>
                <w:bCs/>
                <w:sz w:val="20"/>
              </w:rPr>
              <w:t>Non-Cancer (n=31,753)</w:t>
            </w:r>
          </w:p>
        </w:tc>
      </w:tr>
      <w:tr w:rsidR="003C1890" w:rsidRPr="00272761" w14:paraId="7E970ECF" w14:textId="77777777" w:rsidTr="00C26A79">
        <w:trPr>
          <w:trHeight w:val="144"/>
          <w:jc w:val="center"/>
        </w:trPr>
        <w:tc>
          <w:tcPr>
            <w:tcW w:w="706" w:type="dxa"/>
            <w:tcBorders>
              <w:top w:val="nil"/>
              <w:left w:val="nil"/>
              <w:bottom w:val="single" w:sz="4" w:space="0" w:color="auto"/>
              <w:right w:val="nil"/>
            </w:tcBorders>
            <w:shd w:val="clear" w:color="auto" w:fill="FFFFFF" w:themeFill="background1"/>
            <w:noWrap/>
            <w:vAlign w:val="center"/>
            <w:hideMark/>
          </w:tcPr>
          <w:p w14:paraId="087EA8AC" w14:textId="77777777" w:rsidR="003C1890" w:rsidRPr="0078225A" w:rsidRDefault="003C1890" w:rsidP="0078225A">
            <w:pPr>
              <w:spacing w:after="0" w:line="240" w:lineRule="auto"/>
              <w:rPr>
                <w:b/>
                <w:sz w:val="20"/>
              </w:rPr>
            </w:pPr>
            <w:r w:rsidRPr="0078225A">
              <w:rPr>
                <w:b/>
                <w:sz w:val="20"/>
              </w:rPr>
              <w:t>Rank</w:t>
            </w:r>
          </w:p>
        </w:tc>
        <w:tc>
          <w:tcPr>
            <w:tcW w:w="2160" w:type="dxa"/>
            <w:tcBorders>
              <w:top w:val="nil"/>
              <w:left w:val="nil"/>
              <w:bottom w:val="single" w:sz="4" w:space="0" w:color="auto"/>
              <w:right w:val="nil"/>
            </w:tcBorders>
            <w:shd w:val="clear" w:color="auto" w:fill="FFFFFF" w:themeFill="background1"/>
            <w:noWrap/>
            <w:vAlign w:val="center"/>
            <w:hideMark/>
          </w:tcPr>
          <w:p w14:paraId="7E19718C" w14:textId="77777777" w:rsidR="003C1890" w:rsidRPr="0078225A" w:rsidRDefault="003C1890" w:rsidP="0078225A">
            <w:pPr>
              <w:spacing w:after="0" w:line="240" w:lineRule="auto"/>
              <w:jc w:val="center"/>
              <w:rPr>
                <w:b/>
                <w:bCs/>
                <w:sz w:val="20"/>
              </w:rPr>
            </w:pPr>
            <w:r w:rsidRPr="0078225A">
              <w:rPr>
                <w:b/>
                <w:bCs/>
                <w:sz w:val="20"/>
              </w:rPr>
              <w:t>Medication</w:t>
            </w:r>
          </w:p>
        </w:tc>
        <w:tc>
          <w:tcPr>
            <w:tcW w:w="495" w:type="dxa"/>
            <w:tcBorders>
              <w:top w:val="nil"/>
              <w:left w:val="nil"/>
              <w:bottom w:val="single" w:sz="4" w:space="0" w:color="auto"/>
              <w:right w:val="nil"/>
            </w:tcBorders>
            <w:shd w:val="clear" w:color="auto" w:fill="FFFFFF" w:themeFill="background1"/>
            <w:noWrap/>
            <w:vAlign w:val="center"/>
            <w:hideMark/>
          </w:tcPr>
          <w:p w14:paraId="3126085D" w14:textId="77777777" w:rsidR="003C1890" w:rsidRPr="0078225A" w:rsidRDefault="003C1890" w:rsidP="0078225A">
            <w:pPr>
              <w:spacing w:after="0" w:line="240" w:lineRule="auto"/>
              <w:jc w:val="center"/>
              <w:rPr>
                <w:b/>
                <w:bCs/>
                <w:sz w:val="20"/>
              </w:rPr>
            </w:pPr>
            <w:r w:rsidRPr="0078225A">
              <w:rPr>
                <w:b/>
                <w:bCs/>
                <w:sz w:val="20"/>
              </w:rPr>
              <w:t>%</w:t>
            </w:r>
          </w:p>
        </w:tc>
        <w:tc>
          <w:tcPr>
            <w:tcW w:w="239" w:type="dxa"/>
            <w:tcBorders>
              <w:top w:val="nil"/>
              <w:left w:val="nil"/>
              <w:bottom w:val="single" w:sz="4" w:space="0" w:color="auto"/>
              <w:right w:val="nil"/>
            </w:tcBorders>
            <w:shd w:val="clear" w:color="auto" w:fill="FFFFFF" w:themeFill="background1"/>
          </w:tcPr>
          <w:p w14:paraId="15AE153A" w14:textId="77777777" w:rsidR="003C1890" w:rsidRPr="0078225A" w:rsidRDefault="003C1890" w:rsidP="0078225A">
            <w:pPr>
              <w:spacing w:after="0" w:line="240" w:lineRule="auto"/>
              <w:jc w:val="center"/>
              <w:rPr>
                <w:b/>
                <w:bCs/>
                <w:sz w:val="20"/>
              </w:rPr>
            </w:pPr>
          </w:p>
        </w:tc>
        <w:tc>
          <w:tcPr>
            <w:tcW w:w="2391" w:type="dxa"/>
            <w:tcBorders>
              <w:top w:val="nil"/>
              <w:left w:val="nil"/>
              <w:bottom w:val="single" w:sz="4" w:space="0" w:color="auto"/>
              <w:right w:val="nil"/>
            </w:tcBorders>
            <w:shd w:val="clear" w:color="auto" w:fill="FFFFFF" w:themeFill="background1"/>
            <w:vAlign w:val="center"/>
          </w:tcPr>
          <w:p w14:paraId="1B1B9F0B" w14:textId="487D9AF2" w:rsidR="003C1890" w:rsidRPr="0078225A" w:rsidRDefault="003C1890" w:rsidP="0078225A">
            <w:pPr>
              <w:spacing w:after="0" w:line="240" w:lineRule="auto"/>
              <w:jc w:val="center"/>
              <w:rPr>
                <w:b/>
                <w:bCs/>
                <w:sz w:val="20"/>
              </w:rPr>
            </w:pPr>
            <w:r w:rsidRPr="0078225A">
              <w:rPr>
                <w:b/>
                <w:bCs/>
                <w:sz w:val="20"/>
              </w:rPr>
              <w:t>Medication</w:t>
            </w:r>
          </w:p>
        </w:tc>
        <w:tc>
          <w:tcPr>
            <w:tcW w:w="495" w:type="dxa"/>
            <w:tcBorders>
              <w:top w:val="nil"/>
              <w:left w:val="nil"/>
              <w:bottom w:val="single" w:sz="4" w:space="0" w:color="auto"/>
              <w:right w:val="nil"/>
            </w:tcBorders>
            <w:shd w:val="clear" w:color="auto" w:fill="FFFFFF" w:themeFill="background1"/>
            <w:vAlign w:val="center"/>
          </w:tcPr>
          <w:p w14:paraId="0DB138E0" w14:textId="77777777" w:rsidR="003C1890" w:rsidRPr="0078225A" w:rsidRDefault="003C1890" w:rsidP="0078225A">
            <w:pPr>
              <w:spacing w:after="0" w:line="240" w:lineRule="auto"/>
              <w:jc w:val="center"/>
              <w:rPr>
                <w:b/>
                <w:bCs/>
                <w:sz w:val="20"/>
              </w:rPr>
            </w:pPr>
            <w:r w:rsidRPr="0078225A">
              <w:rPr>
                <w:b/>
                <w:bCs/>
                <w:sz w:val="20"/>
              </w:rPr>
              <w:t>%</w:t>
            </w:r>
          </w:p>
        </w:tc>
        <w:tc>
          <w:tcPr>
            <w:tcW w:w="225" w:type="dxa"/>
            <w:tcBorders>
              <w:top w:val="nil"/>
              <w:left w:val="nil"/>
              <w:bottom w:val="single" w:sz="4" w:space="0" w:color="auto"/>
              <w:right w:val="nil"/>
            </w:tcBorders>
            <w:shd w:val="clear" w:color="auto" w:fill="FFFFFF" w:themeFill="background1"/>
          </w:tcPr>
          <w:p w14:paraId="32298B57" w14:textId="77777777" w:rsidR="003C1890" w:rsidRPr="0078225A" w:rsidRDefault="003C1890" w:rsidP="0078225A">
            <w:pPr>
              <w:spacing w:after="0" w:line="240" w:lineRule="auto"/>
              <w:jc w:val="center"/>
              <w:rPr>
                <w:b/>
                <w:bCs/>
                <w:sz w:val="20"/>
              </w:rPr>
            </w:pPr>
          </w:p>
        </w:tc>
        <w:tc>
          <w:tcPr>
            <w:tcW w:w="2154" w:type="dxa"/>
            <w:tcBorders>
              <w:top w:val="nil"/>
              <w:left w:val="nil"/>
              <w:bottom w:val="single" w:sz="4" w:space="0" w:color="auto"/>
              <w:right w:val="nil"/>
            </w:tcBorders>
            <w:shd w:val="clear" w:color="auto" w:fill="FFFFFF" w:themeFill="background1"/>
            <w:vAlign w:val="center"/>
          </w:tcPr>
          <w:p w14:paraId="62DF8E9D" w14:textId="48E5C7A9" w:rsidR="003C1890" w:rsidRPr="0078225A" w:rsidRDefault="003C1890" w:rsidP="0078225A">
            <w:pPr>
              <w:spacing w:after="0" w:line="240" w:lineRule="auto"/>
              <w:jc w:val="center"/>
              <w:rPr>
                <w:b/>
                <w:bCs/>
                <w:sz w:val="20"/>
              </w:rPr>
            </w:pPr>
            <w:r w:rsidRPr="0078225A">
              <w:rPr>
                <w:b/>
                <w:bCs/>
                <w:sz w:val="20"/>
              </w:rPr>
              <w:t>Medication</w:t>
            </w:r>
          </w:p>
        </w:tc>
        <w:tc>
          <w:tcPr>
            <w:tcW w:w="495" w:type="dxa"/>
            <w:tcBorders>
              <w:top w:val="nil"/>
              <w:left w:val="nil"/>
              <w:bottom w:val="single" w:sz="4" w:space="0" w:color="auto"/>
              <w:right w:val="nil"/>
            </w:tcBorders>
            <w:shd w:val="clear" w:color="auto" w:fill="FFFFFF" w:themeFill="background1"/>
            <w:vAlign w:val="center"/>
          </w:tcPr>
          <w:p w14:paraId="356F0171" w14:textId="77777777" w:rsidR="003C1890" w:rsidRPr="0078225A" w:rsidRDefault="003C1890" w:rsidP="0078225A">
            <w:pPr>
              <w:spacing w:after="0" w:line="240" w:lineRule="auto"/>
              <w:jc w:val="center"/>
              <w:rPr>
                <w:b/>
                <w:bCs/>
                <w:sz w:val="20"/>
              </w:rPr>
            </w:pPr>
            <w:r w:rsidRPr="0078225A">
              <w:rPr>
                <w:b/>
                <w:bCs/>
                <w:sz w:val="20"/>
              </w:rPr>
              <w:t>%</w:t>
            </w:r>
          </w:p>
        </w:tc>
      </w:tr>
      <w:tr w:rsidR="003C1890" w:rsidRPr="00272761" w14:paraId="01BAFF66" w14:textId="77777777" w:rsidTr="00C26A79">
        <w:trPr>
          <w:trHeight w:val="144"/>
          <w:jc w:val="center"/>
        </w:trPr>
        <w:tc>
          <w:tcPr>
            <w:tcW w:w="706" w:type="dxa"/>
            <w:tcBorders>
              <w:top w:val="single" w:sz="4" w:space="0" w:color="auto"/>
            </w:tcBorders>
            <w:shd w:val="clear" w:color="auto" w:fill="FFFFFF" w:themeFill="background1"/>
            <w:noWrap/>
            <w:vAlign w:val="center"/>
            <w:hideMark/>
          </w:tcPr>
          <w:p w14:paraId="04201556" w14:textId="0408A8B7" w:rsidR="003C1890" w:rsidRPr="003C1890" w:rsidRDefault="003C1890" w:rsidP="0078225A">
            <w:pPr>
              <w:spacing w:after="0" w:line="240" w:lineRule="auto"/>
              <w:rPr>
                <w:rFonts w:cs="Arial"/>
                <w:szCs w:val="22"/>
              </w:rPr>
            </w:pPr>
            <w:r>
              <w:rPr>
                <w:rFonts w:cs="Arial"/>
                <w:sz w:val="20"/>
              </w:rPr>
              <w:t>1</w:t>
            </w:r>
          </w:p>
        </w:tc>
        <w:tc>
          <w:tcPr>
            <w:tcW w:w="2160" w:type="dxa"/>
            <w:tcBorders>
              <w:top w:val="single" w:sz="4" w:space="0" w:color="auto"/>
            </w:tcBorders>
            <w:shd w:val="clear" w:color="auto" w:fill="FFFFFF" w:themeFill="background1"/>
            <w:noWrap/>
            <w:vAlign w:val="center"/>
            <w:hideMark/>
          </w:tcPr>
          <w:p w14:paraId="5DDF3AB7" w14:textId="77777777" w:rsidR="003C1890" w:rsidRPr="003C1890" w:rsidRDefault="003C1890" w:rsidP="0078225A">
            <w:pPr>
              <w:spacing w:after="0" w:line="240" w:lineRule="auto"/>
              <w:jc w:val="both"/>
              <w:rPr>
                <w:rFonts w:cs="Arial"/>
                <w:sz w:val="20"/>
              </w:rPr>
            </w:pPr>
            <w:r w:rsidRPr="003C1890">
              <w:rPr>
                <w:rFonts w:cs="Arial"/>
                <w:sz w:val="20"/>
              </w:rPr>
              <w:t xml:space="preserve">Levothyroxine </w:t>
            </w:r>
          </w:p>
        </w:tc>
        <w:tc>
          <w:tcPr>
            <w:tcW w:w="495" w:type="dxa"/>
            <w:tcBorders>
              <w:top w:val="single" w:sz="4" w:space="0" w:color="auto"/>
            </w:tcBorders>
            <w:shd w:val="clear" w:color="auto" w:fill="FFFFFF" w:themeFill="background1"/>
            <w:noWrap/>
            <w:vAlign w:val="center"/>
            <w:hideMark/>
          </w:tcPr>
          <w:p w14:paraId="57DC5A57" w14:textId="77777777" w:rsidR="003C1890" w:rsidRPr="003C1890" w:rsidRDefault="003C1890" w:rsidP="0078225A">
            <w:pPr>
              <w:spacing w:after="0" w:line="240" w:lineRule="auto"/>
              <w:jc w:val="center"/>
              <w:rPr>
                <w:rFonts w:cs="Arial"/>
                <w:sz w:val="20"/>
              </w:rPr>
            </w:pPr>
            <w:r w:rsidRPr="003C1890">
              <w:rPr>
                <w:rFonts w:cs="Arial"/>
                <w:sz w:val="20"/>
              </w:rPr>
              <w:t>7.7</w:t>
            </w:r>
          </w:p>
        </w:tc>
        <w:tc>
          <w:tcPr>
            <w:tcW w:w="239" w:type="dxa"/>
            <w:tcBorders>
              <w:top w:val="single" w:sz="4" w:space="0" w:color="auto"/>
            </w:tcBorders>
            <w:shd w:val="clear" w:color="auto" w:fill="FFFFFF" w:themeFill="background1"/>
          </w:tcPr>
          <w:p w14:paraId="55339A6D" w14:textId="77777777" w:rsidR="003C1890" w:rsidRPr="003C1890" w:rsidRDefault="003C1890" w:rsidP="0078225A">
            <w:pPr>
              <w:spacing w:after="0" w:line="240" w:lineRule="auto"/>
              <w:rPr>
                <w:rFonts w:cs="Arial"/>
                <w:sz w:val="20"/>
              </w:rPr>
            </w:pPr>
          </w:p>
        </w:tc>
        <w:tc>
          <w:tcPr>
            <w:tcW w:w="2391" w:type="dxa"/>
            <w:tcBorders>
              <w:top w:val="single" w:sz="4" w:space="0" w:color="auto"/>
            </w:tcBorders>
            <w:shd w:val="clear" w:color="auto" w:fill="FFFFFF" w:themeFill="background1"/>
            <w:vAlign w:val="center"/>
          </w:tcPr>
          <w:p w14:paraId="3B82AFF8" w14:textId="52710758" w:rsidR="003C1890" w:rsidRPr="003C1890" w:rsidRDefault="003C1890" w:rsidP="0078225A">
            <w:pPr>
              <w:spacing w:after="0" w:line="240" w:lineRule="auto"/>
              <w:rPr>
                <w:rFonts w:cs="Arial"/>
                <w:sz w:val="20"/>
              </w:rPr>
            </w:pPr>
            <w:r w:rsidRPr="003C1890">
              <w:rPr>
                <w:rFonts w:cs="Arial"/>
                <w:sz w:val="20"/>
              </w:rPr>
              <w:t>Furosemide</w:t>
            </w:r>
          </w:p>
        </w:tc>
        <w:tc>
          <w:tcPr>
            <w:tcW w:w="495" w:type="dxa"/>
            <w:tcBorders>
              <w:top w:val="single" w:sz="4" w:space="0" w:color="auto"/>
            </w:tcBorders>
            <w:shd w:val="clear" w:color="auto" w:fill="FFFFFF" w:themeFill="background1"/>
            <w:vAlign w:val="center"/>
          </w:tcPr>
          <w:p w14:paraId="1FA59A4F" w14:textId="77777777" w:rsidR="003C1890" w:rsidRPr="003C1890" w:rsidRDefault="003C1890" w:rsidP="0078225A">
            <w:pPr>
              <w:spacing w:after="0" w:line="240" w:lineRule="auto"/>
              <w:jc w:val="center"/>
              <w:rPr>
                <w:rFonts w:cs="Arial"/>
                <w:sz w:val="20"/>
              </w:rPr>
            </w:pPr>
            <w:r w:rsidRPr="003C1890">
              <w:rPr>
                <w:rFonts w:cs="Arial"/>
                <w:sz w:val="20"/>
              </w:rPr>
              <w:t>6.7</w:t>
            </w:r>
          </w:p>
        </w:tc>
        <w:tc>
          <w:tcPr>
            <w:tcW w:w="225" w:type="dxa"/>
            <w:tcBorders>
              <w:top w:val="single" w:sz="4" w:space="0" w:color="auto"/>
            </w:tcBorders>
            <w:shd w:val="clear" w:color="auto" w:fill="FFFFFF" w:themeFill="background1"/>
          </w:tcPr>
          <w:p w14:paraId="0F0FBA1B" w14:textId="77777777" w:rsidR="003C1890" w:rsidRPr="003C1890" w:rsidRDefault="003C1890" w:rsidP="0078225A">
            <w:pPr>
              <w:spacing w:after="0" w:line="240" w:lineRule="auto"/>
              <w:rPr>
                <w:rFonts w:cs="Arial"/>
                <w:sz w:val="20"/>
              </w:rPr>
            </w:pPr>
          </w:p>
        </w:tc>
        <w:tc>
          <w:tcPr>
            <w:tcW w:w="2154" w:type="dxa"/>
            <w:tcBorders>
              <w:top w:val="single" w:sz="4" w:space="0" w:color="auto"/>
            </w:tcBorders>
            <w:shd w:val="clear" w:color="auto" w:fill="FFFFFF" w:themeFill="background1"/>
            <w:vAlign w:val="center"/>
          </w:tcPr>
          <w:p w14:paraId="2F1D7AAE" w14:textId="7ED3667D" w:rsidR="003C1890" w:rsidRPr="003C1890" w:rsidRDefault="003C1890" w:rsidP="0078225A">
            <w:pPr>
              <w:spacing w:after="0" w:line="240" w:lineRule="auto"/>
              <w:rPr>
                <w:rFonts w:cs="Arial"/>
                <w:sz w:val="20"/>
              </w:rPr>
            </w:pPr>
            <w:r w:rsidRPr="003C1890">
              <w:rPr>
                <w:rFonts w:cs="Arial"/>
                <w:sz w:val="20"/>
              </w:rPr>
              <w:t xml:space="preserve">Levothyroxine </w:t>
            </w:r>
          </w:p>
        </w:tc>
        <w:tc>
          <w:tcPr>
            <w:tcW w:w="495" w:type="dxa"/>
            <w:tcBorders>
              <w:top w:val="single" w:sz="4" w:space="0" w:color="auto"/>
            </w:tcBorders>
            <w:shd w:val="clear" w:color="auto" w:fill="FFFFFF" w:themeFill="background1"/>
            <w:vAlign w:val="center"/>
          </w:tcPr>
          <w:p w14:paraId="18F81E9C" w14:textId="77777777" w:rsidR="003C1890" w:rsidRPr="003C1890" w:rsidRDefault="003C1890" w:rsidP="0078225A">
            <w:pPr>
              <w:spacing w:after="0" w:line="240" w:lineRule="auto"/>
              <w:jc w:val="center"/>
              <w:rPr>
                <w:rFonts w:cs="Arial"/>
                <w:sz w:val="20"/>
              </w:rPr>
            </w:pPr>
            <w:r w:rsidRPr="003C1890">
              <w:rPr>
                <w:rFonts w:cs="Arial"/>
                <w:sz w:val="20"/>
              </w:rPr>
              <w:t>9.9</w:t>
            </w:r>
          </w:p>
        </w:tc>
      </w:tr>
      <w:tr w:rsidR="003C1890" w:rsidRPr="00272761" w14:paraId="433A8236" w14:textId="77777777" w:rsidTr="00C26A79">
        <w:trPr>
          <w:trHeight w:val="144"/>
          <w:jc w:val="center"/>
        </w:trPr>
        <w:tc>
          <w:tcPr>
            <w:tcW w:w="706" w:type="dxa"/>
            <w:shd w:val="clear" w:color="auto" w:fill="FFFFFF" w:themeFill="background1"/>
            <w:noWrap/>
            <w:vAlign w:val="center"/>
            <w:hideMark/>
          </w:tcPr>
          <w:p w14:paraId="7DE48C6C" w14:textId="77777777" w:rsidR="003C1890" w:rsidRPr="003C1890" w:rsidRDefault="003C1890" w:rsidP="0078225A">
            <w:pPr>
              <w:spacing w:after="0" w:line="240" w:lineRule="auto"/>
              <w:rPr>
                <w:rFonts w:cs="Arial"/>
                <w:sz w:val="20"/>
              </w:rPr>
            </w:pPr>
            <w:r w:rsidRPr="003C1890">
              <w:rPr>
                <w:rFonts w:cs="Arial"/>
                <w:sz w:val="20"/>
              </w:rPr>
              <w:t>2</w:t>
            </w:r>
          </w:p>
        </w:tc>
        <w:tc>
          <w:tcPr>
            <w:tcW w:w="2160" w:type="dxa"/>
            <w:shd w:val="clear" w:color="auto" w:fill="FFFFFF" w:themeFill="background1"/>
            <w:noWrap/>
            <w:vAlign w:val="center"/>
            <w:hideMark/>
          </w:tcPr>
          <w:p w14:paraId="43EBF70F" w14:textId="77777777" w:rsidR="003C1890" w:rsidRPr="003C1890" w:rsidRDefault="003C1890" w:rsidP="0078225A">
            <w:pPr>
              <w:spacing w:after="0" w:line="240" w:lineRule="auto"/>
              <w:jc w:val="both"/>
              <w:rPr>
                <w:rFonts w:cs="Arial"/>
                <w:sz w:val="20"/>
              </w:rPr>
            </w:pPr>
            <w:r w:rsidRPr="003C1890">
              <w:rPr>
                <w:rFonts w:cs="Arial"/>
                <w:sz w:val="20"/>
              </w:rPr>
              <w:t>Furosemide</w:t>
            </w:r>
          </w:p>
        </w:tc>
        <w:tc>
          <w:tcPr>
            <w:tcW w:w="495" w:type="dxa"/>
            <w:shd w:val="clear" w:color="auto" w:fill="FFFFFF" w:themeFill="background1"/>
            <w:noWrap/>
            <w:vAlign w:val="center"/>
            <w:hideMark/>
          </w:tcPr>
          <w:p w14:paraId="4E71D38A" w14:textId="77777777" w:rsidR="003C1890" w:rsidRPr="003C1890" w:rsidRDefault="003C1890" w:rsidP="0078225A">
            <w:pPr>
              <w:spacing w:after="0" w:line="240" w:lineRule="auto"/>
              <w:jc w:val="center"/>
              <w:rPr>
                <w:rFonts w:cs="Arial"/>
                <w:sz w:val="20"/>
              </w:rPr>
            </w:pPr>
            <w:r w:rsidRPr="003C1890">
              <w:rPr>
                <w:rFonts w:cs="Arial"/>
                <w:sz w:val="20"/>
              </w:rPr>
              <w:t>7.7</w:t>
            </w:r>
          </w:p>
        </w:tc>
        <w:tc>
          <w:tcPr>
            <w:tcW w:w="239" w:type="dxa"/>
            <w:shd w:val="clear" w:color="auto" w:fill="FFFFFF" w:themeFill="background1"/>
          </w:tcPr>
          <w:p w14:paraId="30433C34"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7FCD2DD8" w14:textId="37B8312C" w:rsidR="003C1890" w:rsidRPr="003C1890" w:rsidRDefault="003C1890" w:rsidP="0078225A">
            <w:pPr>
              <w:spacing w:after="0" w:line="240" w:lineRule="auto"/>
              <w:rPr>
                <w:rFonts w:cs="Arial"/>
                <w:sz w:val="20"/>
              </w:rPr>
            </w:pPr>
            <w:r w:rsidRPr="003C1890">
              <w:rPr>
                <w:rFonts w:cs="Arial"/>
                <w:sz w:val="20"/>
              </w:rPr>
              <w:t xml:space="preserve">Levothyroxine </w:t>
            </w:r>
          </w:p>
        </w:tc>
        <w:tc>
          <w:tcPr>
            <w:tcW w:w="495" w:type="dxa"/>
            <w:shd w:val="clear" w:color="auto" w:fill="FFFFFF" w:themeFill="background1"/>
            <w:vAlign w:val="center"/>
          </w:tcPr>
          <w:p w14:paraId="7D64BA11" w14:textId="77777777" w:rsidR="003C1890" w:rsidRPr="003C1890" w:rsidRDefault="003C1890" w:rsidP="0078225A">
            <w:pPr>
              <w:spacing w:after="0" w:line="240" w:lineRule="auto"/>
              <w:jc w:val="center"/>
              <w:rPr>
                <w:rFonts w:cs="Arial"/>
                <w:sz w:val="20"/>
              </w:rPr>
            </w:pPr>
            <w:r w:rsidRPr="003C1890">
              <w:rPr>
                <w:rFonts w:cs="Arial"/>
                <w:sz w:val="20"/>
              </w:rPr>
              <w:t>6.5</w:t>
            </w:r>
          </w:p>
        </w:tc>
        <w:tc>
          <w:tcPr>
            <w:tcW w:w="225" w:type="dxa"/>
            <w:shd w:val="clear" w:color="auto" w:fill="FFFFFF" w:themeFill="background1"/>
          </w:tcPr>
          <w:p w14:paraId="234622C7"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1C430F18" w14:textId="6963587A" w:rsidR="003C1890" w:rsidRPr="003C1890" w:rsidRDefault="003C1890" w:rsidP="0078225A">
            <w:pPr>
              <w:spacing w:after="0" w:line="240" w:lineRule="auto"/>
              <w:rPr>
                <w:rFonts w:cs="Arial"/>
                <w:sz w:val="20"/>
              </w:rPr>
            </w:pPr>
            <w:r w:rsidRPr="003C1890">
              <w:rPr>
                <w:rFonts w:cs="Arial"/>
                <w:sz w:val="20"/>
              </w:rPr>
              <w:t>Furosemide</w:t>
            </w:r>
          </w:p>
        </w:tc>
        <w:tc>
          <w:tcPr>
            <w:tcW w:w="495" w:type="dxa"/>
            <w:shd w:val="clear" w:color="auto" w:fill="FFFFFF" w:themeFill="background1"/>
            <w:vAlign w:val="center"/>
          </w:tcPr>
          <w:p w14:paraId="53A6DB5E" w14:textId="77777777" w:rsidR="003C1890" w:rsidRPr="003C1890" w:rsidRDefault="003C1890" w:rsidP="0078225A">
            <w:pPr>
              <w:spacing w:after="0" w:line="240" w:lineRule="auto"/>
              <w:jc w:val="center"/>
              <w:rPr>
                <w:rFonts w:cs="Arial"/>
                <w:sz w:val="20"/>
              </w:rPr>
            </w:pPr>
            <w:r w:rsidRPr="003C1890">
              <w:rPr>
                <w:rFonts w:cs="Arial"/>
                <w:sz w:val="20"/>
              </w:rPr>
              <w:t>9.5</w:t>
            </w:r>
          </w:p>
        </w:tc>
      </w:tr>
      <w:tr w:rsidR="003C1890" w:rsidRPr="00272761" w14:paraId="7822533F" w14:textId="77777777" w:rsidTr="00C26A79">
        <w:trPr>
          <w:trHeight w:val="144"/>
          <w:jc w:val="center"/>
        </w:trPr>
        <w:tc>
          <w:tcPr>
            <w:tcW w:w="706" w:type="dxa"/>
            <w:shd w:val="clear" w:color="auto" w:fill="FFFFFF" w:themeFill="background1"/>
            <w:noWrap/>
            <w:vAlign w:val="center"/>
            <w:hideMark/>
          </w:tcPr>
          <w:p w14:paraId="36A21C06" w14:textId="77777777" w:rsidR="003C1890" w:rsidRPr="003C1890" w:rsidRDefault="003C1890" w:rsidP="0078225A">
            <w:pPr>
              <w:spacing w:after="0" w:line="240" w:lineRule="auto"/>
              <w:rPr>
                <w:rFonts w:cs="Arial"/>
                <w:sz w:val="20"/>
              </w:rPr>
            </w:pPr>
            <w:r w:rsidRPr="003C1890">
              <w:rPr>
                <w:rFonts w:cs="Arial"/>
                <w:sz w:val="20"/>
              </w:rPr>
              <w:t>3</w:t>
            </w:r>
          </w:p>
        </w:tc>
        <w:tc>
          <w:tcPr>
            <w:tcW w:w="2160" w:type="dxa"/>
            <w:shd w:val="clear" w:color="auto" w:fill="FFFFFF" w:themeFill="background1"/>
            <w:noWrap/>
            <w:vAlign w:val="center"/>
            <w:hideMark/>
          </w:tcPr>
          <w:p w14:paraId="0419D3D2" w14:textId="77777777" w:rsidR="003C1890" w:rsidRPr="003C1890" w:rsidRDefault="003C1890" w:rsidP="0078225A">
            <w:pPr>
              <w:spacing w:after="0" w:line="240" w:lineRule="auto"/>
              <w:jc w:val="both"/>
              <w:rPr>
                <w:rFonts w:cs="Arial"/>
                <w:sz w:val="20"/>
              </w:rPr>
            </w:pPr>
            <w:r w:rsidRPr="003C1890">
              <w:rPr>
                <w:rFonts w:cs="Arial"/>
                <w:sz w:val="20"/>
              </w:rPr>
              <w:t xml:space="preserve">Morphine </w:t>
            </w:r>
          </w:p>
        </w:tc>
        <w:tc>
          <w:tcPr>
            <w:tcW w:w="495" w:type="dxa"/>
            <w:shd w:val="clear" w:color="auto" w:fill="FFFFFF" w:themeFill="background1"/>
            <w:noWrap/>
            <w:vAlign w:val="center"/>
            <w:hideMark/>
          </w:tcPr>
          <w:p w14:paraId="6DDFD742" w14:textId="77777777" w:rsidR="003C1890" w:rsidRPr="003C1890" w:rsidRDefault="003C1890" w:rsidP="0078225A">
            <w:pPr>
              <w:spacing w:after="0" w:line="240" w:lineRule="auto"/>
              <w:jc w:val="center"/>
              <w:rPr>
                <w:rFonts w:cs="Arial"/>
                <w:sz w:val="20"/>
              </w:rPr>
            </w:pPr>
            <w:r w:rsidRPr="003C1890">
              <w:rPr>
                <w:rFonts w:cs="Arial"/>
                <w:sz w:val="20"/>
              </w:rPr>
              <w:t>6.7</w:t>
            </w:r>
          </w:p>
        </w:tc>
        <w:tc>
          <w:tcPr>
            <w:tcW w:w="239" w:type="dxa"/>
            <w:shd w:val="clear" w:color="auto" w:fill="FFFFFF" w:themeFill="background1"/>
          </w:tcPr>
          <w:p w14:paraId="4ACF2D5E"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3F51F31E" w14:textId="1E695ADA" w:rsidR="003C1890" w:rsidRPr="003C1890" w:rsidRDefault="003C1890" w:rsidP="0078225A">
            <w:pPr>
              <w:spacing w:after="0" w:line="240" w:lineRule="auto"/>
              <w:rPr>
                <w:rFonts w:cs="Arial"/>
                <w:sz w:val="20"/>
              </w:rPr>
            </w:pPr>
            <w:r w:rsidRPr="003C1890">
              <w:rPr>
                <w:rFonts w:cs="Arial"/>
                <w:sz w:val="20"/>
              </w:rPr>
              <w:t xml:space="preserve">Morphine </w:t>
            </w:r>
          </w:p>
        </w:tc>
        <w:tc>
          <w:tcPr>
            <w:tcW w:w="495" w:type="dxa"/>
            <w:shd w:val="clear" w:color="auto" w:fill="FFFFFF" w:themeFill="background1"/>
            <w:vAlign w:val="center"/>
          </w:tcPr>
          <w:p w14:paraId="45E88E5B" w14:textId="77777777" w:rsidR="003C1890" w:rsidRPr="003C1890" w:rsidRDefault="003C1890" w:rsidP="0078225A">
            <w:pPr>
              <w:spacing w:after="0" w:line="240" w:lineRule="auto"/>
              <w:jc w:val="center"/>
              <w:rPr>
                <w:rFonts w:cs="Arial"/>
                <w:sz w:val="20"/>
              </w:rPr>
            </w:pPr>
            <w:r w:rsidRPr="003C1890">
              <w:rPr>
                <w:rFonts w:cs="Arial"/>
                <w:sz w:val="20"/>
              </w:rPr>
              <w:t>6.0</w:t>
            </w:r>
          </w:p>
        </w:tc>
        <w:tc>
          <w:tcPr>
            <w:tcW w:w="225" w:type="dxa"/>
            <w:shd w:val="clear" w:color="auto" w:fill="FFFFFF" w:themeFill="background1"/>
          </w:tcPr>
          <w:p w14:paraId="2467ED7E"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05AA0557" w14:textId="54B0F9B1" w:rsidR="003C1890" w:rsidRPr="003C1890" w:rsidRDefault="003C1890" w:rsidP="0078225A">
            <w:pPr>
              <w:spacing w:after="0" w:line="240" w:lineRule="auto"/>
              <w:rPr>
                <w:rFonts w:cs="Arial"/>
                <w:sz w:val="20"/>
              </w:rPr>
            </w:pPr>
            <w:r w:rsidRPr="003C1890">
              <w:rPr>
                <w:rFonts w:cs="Arial"/>
                <w:sz w:val="20"/>
              </w:rPr>
              <w:t xml:space="preserve">Morphine </w:t>
            </w:r>
          </w:p>
        </w:tc>
        <w:tc>
          <w:tcPr>
            <w:tcW w:w="495" w:type="dxa"/>
            <w:shd w:val="clear" w:color="auto" w:fill="FFFFFF" w:themeFill="background1"/>
            <w:vAlign w:val="center"/>
          </w:tcPr>
          <w:p w14:paraId="669B8AA2" w14:textId="77777777" w:rsidR="003C1890" w:rsidRPr="003C1890" w:rsidRDefault="003C1890" w:rsidP="0078225A">
            <w:pPr>
              <w:spacing w:after="0" w:line="240" w:lineRule="auto"/>
              <w:jc w:val="center"/>
              <w:rPr>
                <w:rFonts w:cs="Arial"/>
                <w:sz w:val="20"/>
              </w:rPr>
            </w:pPr>
            <w:r w:rsidRPr="003C1890">
              <w:rPr>
                <w:rFonts w:cs="Arial"/>
                <w:sz w:val="20"/>
              </w:rPr>
              <w:t>7.9</w:t>
            </w:r>
          </w:p>
        </w:tc>
      </w:tr>
      <w:tr w:rsidR="003C1890" w:rsidRPr="00272761" w14:paraId="05AC2F38" w14:textId="77777777" w:rsidTr="00C26A79">
        <w:trPr>
          <w:trHeight w:val="144"/>
          <w:jc w:val="center"/>
        </w:trPr>
        <w:tc>
          <w:tcPr>
            <w:tcW w:w="706" w:type="dxa"/>
            <w:shd w:val="clear" w:color="auto" w:fill="FFFFFF" w:themeFill="background1"/>
            <w:noWrap/>
            <w:vAlign w:val="center"/>
            <w:hideMark/>
          </w:tcPr>
          <w:p w14:paraId="57E09564" w14:textId="77777777" w:rsidR="003C1890" w:rsidRPr="003C1890" w:rsidRDefault="003C1890" w:rsidP="0078225A">
            <w:pPr>
              <w:spacing w:after="0" w:line="240" w:lineRule="auto"/>
              <w:rPr>
                <w:rFonts w:cs="Arial"/>
                <w:sz w:val="20"/>
              </w:rPr>
            </w:pPr>
            <w:r w:rsidRPr="003C1890">
              <w:rPr>
                <w:rFonts w:cs="Arial"/>
                <w:sz w:val="20"/>
              </w:rPr>
              <w:t>4</w:t>
            </w:r>
          </w:p>
        </w:tc>
        <w:tc>
          <w:tcPr>
            <w:tcW w:w="2160" w:type="dxa"/>
            <w:shd w:val="clear" w:color="auto" w:fill="FFFFFF" w:themeFill="background1"/>
            <w:noWrap/>
            <w:vAlign w:val="center"/>
            <w:hideMark/>
          </w:tcPr>
          <w:p w14:paraId="5DD000C2" w14:textId="77777777" w:rsidR="003C1890" w:rsidRPr="003C1890" w:rsidRDefault="003C1890" w:rsidP="0078225A">
            <w:pPr>
              <w:spacing w:after="0" w:line="240" w:lineRule="auto"/>
              <w:jc w:val="both"/>
              <w:rPr>
                <w:rFonts w:cs="Arial"/>
                <w:sz w:val="20"/>
              </w:rPr>
            </w:pPr>
            <w:r w:rsidRPr="003C1890">
              <w:rPr>
                <w:rFonts w:cs="Arial"/>
                <w:sz w:val="20"/>
              </w:rPr>
              <w:t>Omeprazole</w:t>
            </w:r>
          </w:p>
        </w:tc>
        <w:tc>
          <w:tcPr>
            <w:tcW w:w="495" w:type="dxa"/>
            <w:shd w:val="clear" w:color="auto" w:fill="FFFFFF" w:themeFill="background1"/>
            <w:noWrap/>
            <w:vAlign w:val="center"/>
            <w:hideMark/>
          </w:tcPr>
          <w:p w14:paraId="0FB9EDBE" w14:textId="77777777" w:rsidR="003C1890" w:rsidRPr="003C1890" w:rsidRDefault="003C1890" w:rsidP="0078225A">
            <w:pPr>
              <w:spacing w:after="0" w:line="240" w:lineRule="auto"/>
              <w:jc w:val="center"/>
              <w:rPr>
                <w:rFonts w:cs="Arial"/>
                <w:sz w:val="20"/>
              </w:rPr>
            </w:pPr>
            <w:r w:rsidRPr="003C1890">
              <w:rPr>
                <w:rFonts w:cs="Arial"/>
                <w:sz w:val="20"/>
              </w:rPr>
              <w:t>6.0</w:t>
            </w:r>
          </w:p>
        </w:tc>
        <w:tc>
          <w:tcPr>
            <w:tcW w:w="239" w:type="dxa"/>
            <w:shd w:val="clear" w:color="auto" w:fill="FFFFFF" w:themeFill="background1"/>
          </w:tcPr>
          <w:p w14:paraId="39640C0C"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6AE24EA3" w14:textId="090C56A1" w:rsidR="003C1890" w:rsidRPr="003C1890" w:rsidRDefault="003C1890" w:rsidP="0078225A">
            <w:pPr>
              <w:spacing w:after="0" w:line="240" w:lineRule="auto"/>
              <w:rPr>
                <w:rFonts w:cs="Arial"/>
                <w:sz w:val="20"/>
              </w:rPr>
            </w:pPr>
            <w:r w:rsidRPr="003C1890">
              <w:rPr>
                <w:rFonts w:cs="Arial"/>
                <w:sz w:val="20"/>
              </w:rPr>
              <w:t>Omeprazole</w:t>
            </w:r>
          </w:p>
        </w:tc>
        <w:tc>
          <w:tcPr>
            <w:tcW w:w="495" w:type="dxa"/>
            <w:shd w:val="clear" w:color="auto" w:fill="FFFFFF" w:themeFill="background1"/>
            <w:vAlign w:val="center"/>
          </w:tcPr>
          <w:p w14:paraId="06EFC166" w14:textId="77777777" w:rsidR="003C1890" w:rsidRPr="003C1890" w:rsidRDefault="003C1890" w:rsidP="0078225A">
            <w:pPr>
              <w:spacing w:after="0" w:line="240" w:lineRule="auto"/>
              <w:jc w:val="center"/>
              <w:rPr>
                <w:rFonts w:cs="Arial"/>
                <w:sz w:val="20"/>
              </w:rPr>
            </w:pPr>
            <w:r w:rsidRPr="003C1890">
              <w:rPr>
                <w:rFonts w:cs="Arial"/>
                <w:sz w:val="20"/>
              </w:rPr>
              <w:t>5.6</w:t>
            </w:r>
          </w:p>
        </w:tc>
        <w:tc>
          <w:tcPr>
            <w:tcW w:w="225" w:type="dxa"/>
            <w:shd w:val="clear" w:color="auto" w:fill="FFFFFF" w:themeFill="background1"/>
          </w:tcPr>
          <w:p w14:paraId="4CF6E89B"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36DB1509" w14:textId="420ECDB8" w:rsidR="003C1890" w:rsidRPr="003C1890" w:rsidRDefault="003C1890" w:rsidP="0078225A">
            <w:pPr>
              <w:spacing w:after="0" w:line="240" w:lineRule="auto"/>
              <w:rPr>
                <w:rFonts w:cs="Arial"/>
                <w:sz w:val="20"/>
              </w:rPr>
            </w:pPr>
            <w:r w:rsidRPr="003C1890">
              <w:rPr>
                <w:rFonts w:cs="Arial"/>
                <w:sz w:val="20"/>
              </w:rPr>
              <w:t>Omeprazole</w:t>
            </w:r>
          </w:p>
        </w:tc>
        <w:tc>
          <w:tcPr>
            <w:tcW w:w="495" w:type="dxa"/>
            <w:shd w:val="clear" w:color="auto" w:fill="FFFFFF" w:themeFill="background1"/>
            <w:vAlign w:val="center"/>
          </w:tcPr>
          <w:p w14:paraId="0DC2CFD7" w14:textId="77777777" w:rsidR="003C1890" w:rsidRPr="003C1890" w:rsidRDefault="003C1890" w:rsidP="0078225A">
            <w:pPr>
              <w:spacing w:after="0" w:line="240" w:lineRule="auto"/>
              <w:jc w:val="center"/>
              <w:rPr>
                <w:rFonts w:cs="Arial"/>
                <w:sz w:val="20"/>
              </w:rPr>
            </w:pPr>
            <w:r w:rsidRPr="003C1890">
              <w:rPr>
                <w:rFonts w:cs="Arial"/>
                <w:sz w:val="20"/>
              </w:rPr>
              <w:t>6.6</w:t>
            </w:r>
          </w:p>
        </w:tc>
      </w:tr>
      <w:tr w:rsidR="003C1890" w:rsidRPr="00272761" w14:paraId="09C04F88" w14:textId="77777777" w:rsidTr="00C26A79">
        <w:trPr>
          <w:trHeight w:val="144"/>
          <w:jc w:val="center"/>
        </w:trPr>
        <w:tc>
          <w:tcPr>
            <w:tcW w:w="706" w:type="dxa"/>
            <w:shd w:val="clear" w:color="auto" w:fill="FFFFFF" w:themeFill="background1"/>
            <w:noWrap/>
            <w:vAlign w:val="center"/>
            <w:hideMark/>
          </w:tcPr>
          <w:p w14:paraId="399C2F17" w14:textId="77777777" w:rsidR="003C1890" w:rsidRPr="003C1890" w:rsidRDefault="003C1890" w:rsidP="0078225A">
            <w:pPr>
              <w:spacing w:after="0" w:line="240" w:lineRule="auto"/>
              <w:rPr>
                <w:rFonts w:cs="Arial"/>
                <w:sz w:val="20"/>
              </w:rPr>
            </w:pPr>
            <w:r w:rsidRPr="003C1890">
              <w:rPr>
                <w:rFonts w:cs="Arial"/>
                <w:sz w:val="20"/>
              </w:rPr>
              <w:t>5</w:t>
            </w:r>
          </w:p>
        </w:tc>
        <w:tc>
          <w:tcPr>
            <w:tcW w:w="2160" w:type="dxa"/>
            <w:shd w:val="clear" w:color="auto" w:fill="FFFFFF" w:themeFill="background1"/>
            <w:noWrap/>
            <w:vAlign w:val="center"/>
            <w:hideMark/>
          </w:tcPr>
          <w:p w14:paraId="37C76497" w14:textId="77777777" w:rsidR="003C1890" w:rsidRPr="003C1890" w:rsidRDefault="003C1890" w:rsidP="0078225A">
            <w:pPr>
              <w:spacing w:after="0" w:line="240" w:lineRule="auto"/>
              <w:jc w:val="both"/>
              <w:rPr>
                <w:rFonts w:cs="Arial"/>
                <w:sz w:val="20"/>
              </w:rPr>
            </w:pPr>
            <w:r w:rsidRPr="003C1890">
              <w:rPr>
                <w:rFonts w:cs="Arial"/>
                <w:sz w:val="20"/>
              </w:rPr>
              <w:t>Potassium Chloride</w:t>
            </w:r>
          </w:p>
        </w:tc>
        <w:tc>
          <w:tcPr>
            <w:tcW w:w="495" w:type="dxa"/>
            <w:shd w:val="clear" w:color="auto" w:fill="FFFFFF" w:themeFill="background1"/>
            <w:noWrap/>
            <w:vAlign w:val="center"/>
            <w:hideMark/>
          </w:tcPr>
          <w:p w14:paraId="776AC985" w14:textId="77777777" w:rsidR="003C1890" w:rsidRPr="003C1890" w:rsidRDefault="003C1890" w:rsidP="0078225A">
            <w:pPr>
              <w:spacing w:after="0" w:line="240" w:lineRule="auto"/>
              <w:jc w:val="center"/>
              <w:rPr>
                <w:rFonts w:cs="Arial"/>
                <w:sz w:val="20"/>
              </w:rPr>
            </w:pPr>
            <w:r w:rsidRPr="003C1890">
              <w:rPr>
                <w:rFonts w:cs="Arial"/>
                <w:sz w:val="20"/>
              </w:rPr>
              <w:t>5.5</w:t>
            </w:r>
          </w:p>
        </w:tc>
        <w:tc>
          <w:tcPr>
            <w:tcW w:w="239" w:type="dxa"/>
            <w:shd w:val="clear" w:color="auto" w:fill="FFFFFF" w:themeFill="background1"/>
          </w:tcPr>
          <w:p w14:paraId="79385571"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56C1FD42" w14:textId="4E2EEC9E" w:rsidR="003C1890" w:rsidRPr="003C1890" w:rsidRDefault="003C1890" w:rsidP="0078225A">
            <w:pPr>
              <w:spacing w:after="0" w:line="240" w:lineRule="auto"/>
              <w:rPr>
                <w:rFonts w:cs="Arial"/>
                <w:sz w:val="20"/>
              </w:rPr>
            </w:pPr>
            <w:r w:rsidRPr="003C1890">
              <w:rPr>
                <w:rFonts w:cs="Arial"/>
                <w:sz w:val="20"/>
              </w:rPr>
              <w:t>Hydrocodone/APAP</w:t>
            </w:r>
          </w:p>
        </w:tc>
        <w:tc>
          <w:tcPr>
            <w:tcW w:w="495" w:type="dxa"/>
            <w:shd w:val="clear" w:color="auto" w:fill="FFFFFF" w:themeFill="background1"/>
            <w:vAlign w:val="center"/>
          </w:tcPr>
          <w:p w14:paraId="6B1DB640" w14:textId="77777777" w:rsidR="003C1890" w:rsidRPr="003C1890" w:rsidRDefault="003C1890" w:rsidP="0078225A">
            <w:pPr>
              <w:spacing w:after="0" w:line="240" w:lineRule="auto"/>
              <w:jc w:val="center"/>
              <w:rPr>
                <w:rFonts w:cs="Arial"/>
                <w:sz w:val="20"/>
              </w:rPr>
            </w:pPr>
            <w:r w:rsidRPr="003C1890">
              <w:rPr>
                <w:rFonts w:cs="Arial"/>
                <w:sz w:val="20"/>
              </w:rPr>
              <w:t>5.3</w:t>
            </w:r>
          </w:p>
        </w:tc>
        <w:tc>
          <w:tcPr>
            <w:tcW w:w="225" w:type="dxa"/>
            <w:shd w:val="clear" w:color="auto" w:fill="FFFFFF" w:themeFill="background1"/>
          </w:tcPr>
          <w:p w14:paraId="208C3804"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6DE596F4" w14:textId="37465734" w:rsidR="003C1890" w:rsidRPr="003C1890" w:rsidRDefault="003C1890" w:rsidP="0078225A">
            <w:pPr>
              <w:spacing w:after="0" w:line="240" w:lineRule="auto"/>
              <w:rPr>
                <w:rFonts w:cs="Arial"/>
                <w:sz w:val="20"/>
              </w:rPr>
            </w:pPr>
            <w:r w:rsidRPr="003C1890">
              <w:rPr>
                <w:rFonts w:cs="Arial"/>
                <w:sz w:val="20"/>
              </w:rPr>
              <w:t>Potassium Chloride</w:t>
            </w:r>
          </w:p>
        </w:tc>
        <w:tc>
          <w:tcPr>
            <w:tcW w:w="495" w:type="dxa"/>
            <w:shd w:val="clear" w:color="auto" w:fill="FFFFFF" w:themeFill="background1"/>
            <w:vAlign w:val="center"/>
          </w:tcPr>
          <w:p w14:paraId="1BDD0973" w14:textId="77777777" w:rsidR="003C1890" w:rsidRPr="003C1890" w:rsidRDefault="003C1890" w:rsidP="0078225A">
            <w:pPr>
              <w:spacing w:after="0" w:line="240" w:lineRule="auto"/>
              <w:jc w:val="center"/>
              <w:rPr>
                <w:rFonts w:cs="Arial"/>
                <w:sz w:val="20"/>
              </w:rPr>
            </w:pPr>
            <w:r w:rsidRPr="003C1890">
              <w:rPr>
                <w:rFonts w:cs="Arial"/>
                <w:sz w:val="20"/>
              </w:rPr>
              <w:t>6.5</w:t>
            </w:r>
          </w:p>
        </w:tc>
      </w:tr>
      <w:tr w:rsidR="003C1890" w:rsidRPr="00272761" w14:paraId="6CFE9361" w14:textId="77777777" w:rsidTr="00C26A79">
        <w:trPr>
          <w:trHeight w:val="144"/>
          <w:jc w:val="center"/>
        </w:trPr>
        <w:tc>
          <w:tcPr>
            <w:tcW w:w="706" w:type="dxa"/>
            <w:shd w:val="clear" w:color="auto" w:fill="FFFFFF" w:themeFill="background1"/>
            <w:noWrap/>
            <w:vAlign w:val="center"/>
            <w:hideMark/>
          </w:tcPr>
          <w:p w14:paraId="31B7C436" w14:textId="77777777" w:rsidR="003C1890" w:rsidRPr="003C1890" w:rsidRDefault="003C1890" w:rsidP="0078225A">
            <w:pPr>
              <w:spacing w:after="0" w:line="240" w:lineRule="auto"/>
              <w:rPr>
                <w:rFonts w:cs="Arial"/>
                <w:sz w:val="20"/>
              </w:rPr>
            </w:pPr>
            <w:r w:rsidRPr="003C1890">
              <w:rPr>
                <w:rFonts w:cs="Arial"/>
                <w:sz w:val="20"/>
              </w:rPr>
              <w:t>6</w:t>
            </w:r>
          </w:p>
        </w:tc>
        <w:tc>
          <w:tcPr>
            <w:tcW w:w="2160" w:type="dxa"/>
            <w:shd w:val="clear" w:color="auto" w:fill="FFFFFF" w:themeFill="background1"/>
            <w:noWrap/>
            <w:vAlign w:val="center"/>
            <w:hideMark/>
          </w:tcPr>
          <w:p w14:paraId="71EF211C" w14:textId="77777777" w:rsidR="003C1890" w:rsidRPr="003C1890" w:rsidRDefault="003C1890" w:rsidP="0078225A">
            <w:pPr>
              <w:spacing w:after="0" w:line="240" w:lineRule="auto"/>
              <w:jc w:val="both"/>
              <w:rPr>
                <w:rFonts w:cs="Arial"/>
                <w:sz w:val="20"/>
              </w:rPr>
            </w:pPr>
            <w:r w:rsidRPr="003C1890">
              <w:rPr>
                <w:rFonts w:cs="Arial"/>
                <w:sz w:val="20"/>
              </w:rPr>
              <w:t>Hydrocodone/APAP</w:t>
            </w:r>
          </w:p>
        </w:tc>
        <w:tc>
          <w:tcPr>
            <w:tcW w:w="495" w:type="dxa"/>
            <w:shd w:val="clear" w:color="auto" w:fill="FFFFFF" w:themeFill="background1"/>
            <w:noWrap/>
            <w:vAlign w:val="center"/>
            <w:hideMark/>
          </w:tcPr>
          <w:p w14:paraId="7DD612AC" w14:textId="77777777" w:rsidR="003C1890" w:rsidRPr="003C1890" w:rsidRDefault="003C1890" w:rsidP="0078225A">
            <w:pPr>
              <w:spacing w:after="0" w:line="240" w:lineRule="auto"/>
              <w:jc w:val="center"/>
              <w:rPr>
                <w:rFonts w:cs="Arial"/>
                <w:sz w:val="20"/>
              </w:rPr>
            </w:pPr>
            <w:r w:rsidRPr="003C1890">
              <w:rPr>
                <w:rFonts w:cs="Arial"/>
                <w:sz w:val="20"/>
              </w:rPr>
              <w:t>5.1</w:t>
            </w:r>
          </w:p>
        </w:tc>
        <w:tc>
          <w:tcPr>
            <w:tcW w:w="239" w:type="dxa"/>
            <w:shd w:val="clear" w:color="auto" w:fill="FFFFFF" w:themeFill="background1"/>
          </w:tcPr>
          <w:p w14:paraId="14FEE447"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18975915" w14:textId="0132CD69" w:rsidR="003C1890" w:rsidRPr="003C1890" w:rsidRDefault="003C1890" w:rsidP="0078225A">
            <w:pPr>
              <w:spacing w:after="0" w:line="240" w:lineRule="auto"/>
              <w:rPr>
                <w:rFonts w:cs="Arial"/>
                <w:sz w:val="20"/>
              </w:rPr>
            </w:pPr>
            <w:r w:rsidRPr="003C1890">
              <w:rPr>
                <w:rFonts w:cs="Arial"/>
                <w:sz w:val="20"/>
              </w:rPr>
              <w:t>Potassium Chloride</w:t>
            </w:r>
          </w:p>
        </w:tc>
        <w:tc>
          <w:tcPr>
            <w:tcW w:w="495" w:type="dxa"/>
            <w:shd w:val="clear" w:color="auto" w:fill="FFFFFF" w:themeFill="background1"/>
            <w:vAlign w:val="center"/>
          </w:tcPr>
          <w:p w14:paraId="01413334" w14:textId="77777777" w:rsidR="003C1890" w:rsidRPr="003C1890" w:rsidRDefault="003C1890" w:rsidP="0078225A">
            <w:pPr>
              <w:spacing w:after="0" w:line="240" w:lineRule="auto"/>
              <w:jc w:val="center"/>
              <w:rPr>
                <w:rFonts w:cs="Arial"/>
                <w:sz w:val="20"/>
              </w:rPr>
            </w:pPr>
            <w:r w:rsidRPr="003C1890">
              <w:rPr>
                <w:rFonts w:cs="Arial"/>
                <w:sz w:val="20"/>
              </w:rPr>
              <w:t>5.0</w:t>
            </w:r>
          </w:p>
        </w:tc>
        <w:tc>
          <w:tcPr>
            <w:tcW w:w="225" w:type="dxa"/>
            <w:shd w:val="clear" w:color="auto" w:fill="FFFFFF" w:themeFill="background1"/>
          </w:tcPr>
          <w:p w14:paraId="44300AF6"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3D560AB0" w14:textId="3E4DA7ED" w:rsidR="003C1890" w:rsidRPr="003C1890" w:rsidRDefault="003C1890" w:rsidP="0078225A">
            <w:pPr>
              <w:spacing w:after="0" w:line="240" w:lineRule="auto"/>
              <w:rPr>
                <w:rFonts w:cs="Arial"/>
                <w:sz w:val="20"/>
              </w:rPr>
            </w:pPr>
            <w:r w:rsidRPr="003C1890">
              <w:rPr>
                <w:rFonts w:cs="Arial"/>
                <w:sz w:val="20"/>
              </w:rPr>
              <w:t>Metoprolol Tartrate</w:t>
            </w:r>
          </w:p>
        </w:tc>
        <w:tc>
          <w:tcPr>
            <w:tcW w:w="495" w:type="dxa"/>
            <w:shd w:val="clear" w:color="auto" w:fill="FFFFFF" w:themeFill="background1"/>
            <w:vAlign w:val="center"/>
          </w:tcPr>
          <w:p w14:paraId="28E4CFA4" w14:textId="77777777" w:rsidR="003C1890" w:rsidRPr="003C1890" w:rsidRDefault="003C1890" w:rsidP="0078225A">
            <w:pPr>
              <w:spacing w:after="0" w:line="240" w:lineRule="auto"/>
              <w:jc w:val="center"/>
              <w:rPr>
                <w:rFonts w:cs="Arial"/>
                <w:sz w:val="20"/>
              </w:rPr>
            </w:pPr>
            <w:r w:rsidRPr="003C1890">
              <w:rPr>
                <w:rFonts w:cs="Arial"/>
                <w:sz w:val="20"/>
              </w:rPr>
              <w:t>5.4</w:t>
            </w:r>
          </w:p>
        </w:tc>
      </w:tr>
      <w:tr w:rsidR="003C1890" w:rsidRPr="00272761" w14:paraId="44FD01CD" w14:textId="77777777" w:rsidTr="00C26A79">
        <w:trPr>
          <w:trHeight w:val="144"/>
          <w:jc w:val="center"/>
        </w:trPr>
        <w:tc>
          <w:tcPr>
            <w:tcW w:w="706" w:type="dxa"/>
            <w:shd w:val="clear" w:color="auto" w:fill="FFFFFF" w:themeFill="background1"/>
            <w:noWrap/>
            <w:vAlign w:val="center"/>
            <w:hideMark/>
          </w:tcPr>
          <w:p w14:paraId="7D68D10B" w14:textId="77777777" w:rsidR="003C1890" w:rsidRPr="003C1890" w:rsidRDefault="003C1890" w:rsidP="0078225A">
            <w:pPr>
              <w:spacing w:after="0" w:line="240" w:lineRule="auto"/>
              <w:rPr>
                <w:rFonts w:cs="Arial"/>
                <w:sz w:val="20"/>
              </w:rPr>
            </w:pPr>
            <w:r w:rsidRPr="003C1890">
              <w:rPr>
                <w:rFonts w:cs="Arial"/>
                <w:sz w:val="20"/>
              </w:rPr>
              <w:t>7</w:t>
            </w:r>
          </w:p>
        </w:tc>
        <w:tc>
          <w:tcPr>
            <w:tcW w:w="2160" w:type="dxa"/>
            <w:shd w:val="clear" w:color="auto" w:fill="FFFFFF" w:themeFill="background1"/>
            <w:noWrap/>
            <w:vAlign w:val="center"/>
            <w:hideMark/>
          </w:tcPr>
          <w:p w14:paraId="392886E9" w14:textId="77777777" w:rsidR="003C1890" w:rsidRPr="003C1890" w:rsidRDefault="003C1890" w:rsidP="0078225A">
            <w:pPr>
              <w:spacing w:after="0" w:line="240" w:lineRule="auto"/>
              <w:jc w:val="both"/>
              <w:rPr>
                <w:rFonts w:cs="Arial"/>
                <w:sz w:val="20"/>
              </w:rPr>
            </w:pPr>
            <w:r w:rsidRPr="003C1890">
              <w:rPr>
                <w:rFonts w:cs="Arial"/>
                <w:sz w:val="20"/>
              </w:rPr>
              <w:t>Metoprolol Tartrate</w:t>
            </w:r>
          </w:p>
        </w:tc>
        <w:tc>
          <w:tcPr>
            <w:tcW w:w="495" w:type="dxa"/>
            <w:shd w:val="clear" w:color="auto" w:fill="FFFFFF" w:themeFill="background1"/>
            <w:noWrap/>
            <w:vAlign w:val="center"/>
            <w:hideMark/>
          </w:tcPr>
          <w:p w14:paraId="62CC727B" w14:textId="77777777" w:rsidR="003C1890" w:rsidRPr="003C1890" w:rsidRDefault="003C1890" w:rsidP="0078225A">
            <w:pPr>
              <w:spacing w:after="0" w:line="240" w:lineRule="auto"/>
              <w:jc w:val="center"/>
              <w:rPr>
                <w:rFonts w:cs="Arial"/>
                <w:sz w:val="20"/>
              </w:rPr>
            </w:pPr>
            <w:r w:rsidRPr="003C1890">
              <w:rPr>
                <w:rFonts w:cs="Arial"/>
                <w:sz w:val="20"/>
              </w:rPr>
              <w:t>4.9</w:t>
            </w:r>
          </w:p>
        </w:tc>
        <w:tc>
          <w:tcPr>
            <w:tcW w:w="239" w:type="dxa"/>
            <w:shd w:val="clear" w:color="auto" w:fill="FFFFFF" w:themeFill="background1"/>
          </w:tcPr>
          <w:p w14:paraId="3163A28F"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5850D0B8" w14:textId="118834F0" w:rsidR="003C1890" w:rsidRPr="003C1890" w:rsidRDefault="003C1890" w:rsidP="0078225A">
            <w:pPr>
              <w:spacing w:after="0" w:line="240" w:lineRule="auto"/>
              <w:rPr>
                <w:rFonts w:cs="Arial"/>
                <w:sz w:val="20"/>
              </w:rPr>
            </w:pPr>
            <w:r w:rsidRPr="003C1890">
              <w:rPr>
                <w:rFonts w:cs="Arial"/>
                <w:sz w:val="20"/>
              </w:rPr>
              <w:t>Metoprolol Tartrate</w:t>
            </w:r>
          </w:p>
        </w:tc>
        <w:tc>
          <w:tcPr>
            <w:tcW w:w="495" w:type="dxa"/>
            <w:shd w:val="clear" w:color="auto" w:fill="FFFFFF" w:themeFill="background1"/>
            <w:vAlign w:val="center"/>
          </w:tcPr>
          <w:p w14:paraId="2F63FC3C" w14:textId="77777777" w:rsidR="003C1890" w:rsidRPr="003C1890" w:rsidRDefault="003C1890" w:rsidP="0078225A">
            <w:pPr>
              <w:spacing w:after="0" w:line="240" w:lineRule="auto"/>
              <w:jc w:val="center"/>
              <w:rPr>
                <w:rFonts w:cs="Arial"/>
                <w:sz w:val="20"/>
              </w:rPr>
            </w:pPr>
            <w:r w:rsidRPr="003C1890">
              <w:rPr>
                <w:rFonts w:cs="Arial"/>
                <w:sz w:val="20"/>
              </w:rPr>
              <w:t>4.6</w:t>
            </w:r>
          </w:p>
        </w:tc>
        <w:tc>
          <w:tcPr>
            <w:tcW w:w="225" w:type="dxa"/>
            <w:shd w:val="clear" w:color="auto" w:fill="FFFFFF" w:themeFill="background1"/>
          </w:tcPr>
          <w:p w14:paraId="52A1EC5C"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29D05806" w14:textId="02214D5F" w:rsidR="003C1890" w:rsidRPr="003C1890" w:rsidRDefault="003C1890" w:rsidP="0078225A">
            <w:pPr>
              <w:spacing w:after="0" w:line="240" w:lineRule="auto"/>
              <w:rPr>
                <w:rFonts w:cs="Arial"/>
                <w:sz w:val="20"/>
              </w:rPr>
            </w:pPr>
            <w:r w:rsidRPr="003C1890">
              <w:rPr>
                <w:rFonts w:cs="Arial"/>
                <w:sz w:val="20"/>
              </w:rPr>
              <w:t>Hydrocodone/APAP</w:t>
            </w:r>
          </w:p>
        </w:tc>
        <w:tc>
          <w:tcPr>
            <w:tcW w:w="495" w:type="dxa"/>
            <w:shd w:val="clear" w:color="auto" w:fill="FFFFFF" w:themeFill="background1"/>
            <w:vAlign w:val="center"/>
          </w:tcPr>
          <w:p w14:paraId="38CDA9EF" w14:textId="77777777" w:rsidR="003C1890" w:rsidRPr="003C1890" w:rsidRDefault="003C1890" w:rsidP="0078225A">
            <w:pPr>
              <w:spacing w:after="0" w:line="240" w:lineRule="auto"/>
              <w:jc w:val="center"/>
              <w:rPr>
                <w:rFonts w:cs="Arial"/>
                <w:sz w:val="20"/>
              </w:rPr>
            </w:pPr>
            <w:r w:rsidRPr="003C1890">
              <w:rPr>
                <w:rFonts w:cs="Arial"/>
                <w:sz w:val="20"/>
              </w:rPr>
              <w:t>4.6</w:t>
            </w:r>
          </w:p>
        </w:tc>
      </w:tr>
      <w:tr w:rsidR="003C1890" w:rsidRPr="00272761" w14:paraId="4360FDBD" w14:textId="77777777" w:rsidTr="00C26A79">
        <w:trPr>
          <w:trHeight w:val="144"/>
          <w:jc w:val="center"/>
        </w:trPr>
        <w:tc>
          <w:tcPr>
            <w:tcW w:w="706" w:type="dxa"/>
            <w:shd w:val="clear" w:color="auto" w:fill="FFFFFF" w:themeFill="background1"/>
            <w:noWrap/>
            <w:vAlign w:val="center"/>
            <w:hideMark/>
          </w:tcPr>
          <w:p w14:paraId="393AF65B" w14:textId="77777777" w:rsidR="003C1890" w:rsidRPr="003C1890" w:rsidRDefault="003C1890" w:rsidP="0078225A">
            <w:pPr>
              <w:spacing w:after="0" w:line="240" w:lineRule="auto"/>
              <w:rPr>
                <w:rFonts w:cs="Arial"/>
                <w:sz w:val="20"/>
              </w:rPr>
            </w:pPr>
            <w:r w:rsidRPr="003C1890">
              <w:rPr>
                <w:rFonts w:cs="Arial"/>
                <w:sz w:val="20"/>
              </w:rPr>
              <w:t>8</w:t>
            </w:r>
          </w:p>
        </w:tc>
        <w:tc>
          <w:tcPr>
            <w:tcW w:w="2160" w:type="dxa"/>
            <w:shd w:val="clear" w:color="auto" w:fill="FFFFFF" w:themeFill="background1"/>
            <w:noWrap/>
            <w:vAlign w:val="center"/>
            <w:hideMark/>
          </w:tcPr>
          <w:p w14:paraId="2609D594" w14:textId="77777777" w:rsidR="003C1890" w:rsidRPr="003C1890" w:rsidRDefault="003C1890" w:rsidP="0078225A">
            <w:pPr>
              <w:spacing w:after="0" w:line="240" w:lineRule="auto"/>
              <w:jc w:val="both"/>
              <w:rPr>
                <w:rFonts w:cs="Arial"/>
                <w:sz w:val="20"/>
              </w:rPr>
            </w:pPr>
            <w:r w:rsidRPr="003C1890">
              <w:rPr>
                <w:rFonts w:cs="Arial"/>
                <w:sz w:val="20"/>
              </w:rPr>
              <w:t xml:space="preserve">Amlodipine </w:t>
            </w:r>
          </w:p>
        </w:tc>
        <w:tc>
          <w:tcPr>
            <w:tcW w:w="495" w:type="dxa"/>
            <w:shd w:val="clear" w:color="auto" w:fill="FFFFFF" w:themeFill="background1"/>
            <w:noWrap/>
            <w:vAlign w:val="center"/>
            <w:hideMark/>
          </w:tcPr>
          <w:p w14:paraId="62536468" w14:textId="77777777" w:rsidR="003C1890" w:rsidRPr="003C1890" w:rsidRDefault="003C1890" w:rsidP="0078225A">
            <w:pPr>
              <w:spacing w:after="0" w:line="240" w:lineRule="auto"/>
              <w:jc w:val="center"/>
              <w:rPr>
                <w:rFonts w:cs="Arial"/>
                <w:sz w:val="20"/>
              </w:rPr>
            </w:pPr>
            <w:r w:rsidRPr="003C1890">
              <w:rPr>
                <w:rFonts w:cs="Arial"/>
                <w:sz w:val="20"/>
              </w:rPr>
              <w:t>4.2</w:t>
            </w:r>
          </w:p>
        </w:tc>
        <w:tc>
          <w:tcPr>
            <w:tcW w:w="239" w:type="dxa"/>
            <w:shd w:val="clear" w:color="auto" w:fill="FFFFFF" w:themeFill="background1"/>
          </w:tcPr>
          <w:p w14:paraId="3E2FE452"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343FDB39" w14:textId="56600F18" w:rsidR="003C1890" w:rsidRPr="003C1890" w:rsidRDefault="003C1890" w:rsidP="0078225A">
            <w:pPr>
              <w:spacing w:after="0" w:line="240" w:lineRule="auto"/>
              <w:rPr>
                <w:rFonts w:cs="Arial"/>
                <w:sz w:val="20"/>
              </w:rPr>
            </w:pPr>
            <w:r w:rsidRPr="003C1890">
              <w:rPr>
                <w:rFonts w:cs="Arial"/>
                <w:sz w:val="20"/>
              </w:rPr>
              <w:t xml:space="preserve">Amlodipine </w:t>
            </w:r>
          </w:p>
        </w:tc>
        <w:tc>
          <w:tcPr>
            <w:tcW w:w="495" w:type="dxa"/>
            <w:shd w:val="clear" w:color="auto" w:fill="FFFFFF" w:themeFill="background1"/>
            <w:vAlign w:val="center"/>
          </w:tcPr>
          <w:p w14:paraId="10C9F3B3" w14:textId="77777777" w:rsidR="003C1890" w:rsidRPr="003C1890" w:rsidRDefault="003C1890" w:rsidP="0078225A">
            <w:pPr>
              <w:spacing w:after="0" w:line="240" w:lineRule="auto"/>
              <w:jc w:val="center"/>
              <w:rPr>
                <w:rFonts w:cs="Arial"/>
                <w:sz w:val="20"/>
              </w:rPr>
            </w:pPr>
            <w:r w:rsidRPr="003C1890">
              <w:rPr>
                <w:rFonts w:cs="Arial"/>
                <w:sz w:val="20"/>
              </w:rPr>
              <w:t>4.1</w:t>
            </w:r>
          </w:p>
        </w:tc>
        <w:tc>
          <w:tcPr>
            <w:tcW w:w="225" w:type="dxa"/>
            <w:shd w:val="clear" w:color="auto" w:fill="FFFFFF" w:themeFill="background1"/>
          </w:tcPr>
          <w:p w14:paraId="681AF899"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2E96D346" w14:textId="28F55DC4" w:rsidR="003C1890" w:rsidRPr="003C1890" w:rsidRDefault="003C1890" w:rsidP="0078225A">
            <w:pPr>
              <w:spacing w:after="0" w:line="240" w:lineRule="auto"/>
              <w:rPr>
                <w:rFonts w:cs="Arial"/>
                <w:sz w:val="20"/>
              </w:rPr>
            </w:pPr>
            <w:r w:rsidRPr="003C1890">
              <w:rPr>
                <w:rFonts w:cs="Arial"/>
                <w:sz w:val="20"/>
              </w:rPr>
              <w:t xml:space="preserve">Donepezil </w:t>
            </w:r>
          </w:p>
        </w:tc>
        <w:tc>
          <w:tcPr>
            <w:tcW w:w="495" w:type="dxa"/>
            <w:shd w:val="clear" w:color="auto" w:fill="FFFFFF" w:themeFill="background1"/>
            <w:vAlign w:val="center"/>
          </w:tcPr>
          <w:p w14:paraId="6B33F593" w14:textId="77777777" w:rsidR="003C1890" w:rsidRPr="003C1890" w:rsidRDefault="003C1890" w:rsidP="0078225A">
            <w:pPr>
              <w:spacing w:after="0" w:line="240" w:lineRule="auto"/>
              <w:jc w:val="center"/>
              <w:rPr>
                <w:rFonts w:cs="Arial"/>
                <w:sz w:val="20"/>
              </w:rPr>
            </w:pPr>
            <w:r w:rsidRPr="003C1890">
              <w:rPr>
                <w:rFonts w:cs="Arial"/>
                <w:sz w:val="20"/>
              </w:rPr>
              <w:t>4.5</w:t>
            </w:r>
          </w:p>
        </w:tc>
      </w:tr>
      <w:tr w:rsidR="003C1890" w:rsidRPr="00272761" w14:paraId="4A84ACF4" w14:textId="77777777" w:rsidTr="00C26A79">
        <w:trPr>
          <w:trHeight w:val="144"/>
          <w:jc w:val="center"/>
        </w:trPr>
        <w:tc>
          <w:tcPr>
            <w:tcW w:w="706" w:type="dxa"/>
            <w:shd w:val="clear" w:color="auto" w:fill="FFFFFF" w:themeFill="background1"/>
            <w:noWrap/>
            <w:vAlign w:val="center"/>
            <w:hideMark/>
          </w:tcPr>
          <w:p w14:paraId="7AF326E1" w14:textId="77777777" w:rsidR="003C1890" w:rsidRPr="003C1890" w:rsidRDefault="003C1890" w:rsidP="0078225A">
            <w:pPr>
              <w:spacing w:after="0" w:line="240" w:lineRule="auto"/>
              <w:rPr>
                <w:rFonts w:cs="Arial"/>
                <w:sz w:val="20"/>
              </w:rPr>
            </w:pPr>
            <w:r w:rsidRPr="003C1890">
              <w:rPr>
                <w:rFonts w:cs="Arial"/>
                <w:sz w:val="20"/>
              </w:rPr>
              <w:t>9</w:t>
            </w:r>
          </w:p>
        </w:tc>
        <w:tc>
          <w:tcPr>
            <w:tcW w:w="2160" w:type="dxa"/>
            <w:shd w:val="clear" w:color="auto" w:fill="FFFFFF" w:themeFill="background1"/>
            <w:noWrap/>
            <w:vAlign w:val="center"/>
            <w:hideMark/>
          </w:tcPr>
          <w:p w14:paraId="5D27832B" w14:textId="77777777" w:rsidR="003C1890" w:rsidRPr="003C1890" w:rsidRDefault="003C1890" w:rsidP="0078225A">
            <w:pPr>
              <w:spacing w:after="0" w:line="240" w:lineRule="auto"/>
              <w:jc w:val="both"/>
              <w:rPr>
                <w:rFonts w:cs="Arial"/>
                <w:sz w:val="20"/>
              </w:rPr>
            </w:pPr>
            <w:r w:rsidRPr="003C1890">
              <w:rPr>
                <w:rFonts w:cs="Arial"/>
                <w:sz w:val="20"/>
              </w:rPr>
              <w:t>Lisinopril</w:t>
            </w:r>
          </w:p>
        </w:tc>
        <w:tc>
          <w:tcPr>
            <w:tcW w:w="495" w:type="dxa"/>
            <w:shd w:val="clear" w:color="auto" w:fill="FFFFFF" w:themeFill="background1"/>
            <w:noWrap/>
            <w:vAlign w:val="center"/>
            <w:hideMark/>
          </w:tcPr>
          <w:p w14:paraId="4FDFE528" w14:textId="77777777" w:rsidR="003C1890" w:rsidRPr="003C1890" w:rsidRDefault="003C1890" w:rsidP="0078225A">
            <w:pPr>
              <w:spacing w:after="0" w:line="240" w:lineRule="auto"/>
              <w:jc w:val="center"/>
              <w:rPr>
                <w:rFonts w:cs="Arial"/>
                <w:sz w:val="20"/>
              </w:rPr>
            </w:pPr>
            <w:r w:rsidRPr="003C1890">
              <w:rPr>
                <w:rFonts w:cs="Arial"/>
                <w:sz w:val="20"/>
              </w:rPr>
              <w:t>3.9</w:t>
            </w:r>
          </w:p>
        </w:tc>
        <w:tc>
          <w:tcPr>
            <w:tcW w:w="239" w:type="dxa"/>
            <w:shd w:val="clear" w:color="auto" w:fill="FFFFFF" w:themeFill="background1"/>
          </w:tcPr>
          <w:p w14:paraId="7B12F9E3"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5B6715E2" w14:textId="4E5702CB" w:rsidR="003C1890" w:rsidRPr="003C1890" w:rsidRDefault="003C1890" w:rsidP="0078225A">
            <w:pPr>
              <w:spacing w:after="0" w:line="240" w:lineRule="auto"/>
              <w:rPr>
                <w:rFonts w:cs="Arial"/>
                <w:sz w:val="20"/>
              </w:rPr>
            </w:pPr>
            <w:r w:rsidRPr="003C1890">
              <w:rPr>
                <w:rFonts w:cs="Arial"/>
                <w:sz w:val="20"/>
              </w:rPr>
              <w:t>Lisinopril</w:t>
            </w:r>
          </w:p>
        </w:tc>
        <w:tc>
          <w:tcPr>
            <w:tcW w:w="495" w:type="dxa"/>
            <w:shd w:val="clear" w:color="auto" w:fill="FFFFFF" w:themeFill="background1"/>
            <w:vAlign w:val="center"/>
          </w:tcPr>
          <w:p w14:paraId="1CBF5D97" w14:textId="77777777" w:rsidR="003C1890" w:rsidRPr="003C1890" w:rsidRDefault="003C1890" w:rsidP="0078225A">
            <w:pPr>
              <w:spacing w:after="0" w:line="240" w:lineRule="auto"/>
              <w:jc w:val="center"/>
              <w:rPr>
                <w:rFonts w:cs="Arial"/>
                <w:sz w:val="20"/>
              </w:rPr>
            </w:pPr>
            <w:r w:rsidRPr="003C1890">
              <w:rPr>
                <w:rFonts w:cs="Arial"/>
                <w:sz w:val="20"/>
              </w:rPr>
              <w:t>3.6</w:t>
            </w:r>
          </w:p>
        </w:tc>
        <w:tc>
          <w:tcPr>
            <w:tcW w:w="225" w:type="dxa"/>
            <w:shd w:val="clear" w:color="auto" w:fill="FFFFFF" w:themeFill="background1"/>
          </w:tcPr>
          <w:p w14:paraId="7A182849"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74761F34" w14:textId="6DC001F6" w:rsidR="003C1890" w:rsidRPr="003C1890" w:rsidRDefault="003C1890" w:rsidP="0078225A">
            <w:pPr>
              <w:spacing w:after="0" w:line="240" w:lineRule="auto"/>
              <w:rPr>
                <w:rFonts w:cs="Arial"/>
                <w:sz w:val="20"/>
              </w:rPr>
            </w:pPr>
            <w:r w:rsidRPr="003C1890">
              <w:rPr>
                <w:rFonts w:cs="Arial"/>
                <w:sz w:val="20"/>
              </w:rPr>
              <w:t>Lisinopril</w:t>
            </w:r>
          </w:p>
        </w:tc>
        <w:tc>
          <w:tcPr>
            <w:tcW w:w="495" w:type="dxa"/>
            <w:shd w:val="clear" w:color="auto" w:fill="FFFFFF" w:themeFill="background1"/>
            <w:vAlign w:val="center"/>
          </w:tcPr>
          <w:p w14:paraId="7297F451" w14:textId="77777777" w:rsidR="003C1890" w:rsidRPr="003C1890" w:rsidRDefault="003C1890" w:rsidP="0078225A">
            <w:pPr>
              <w:spacing w:after="0" w:line="240" w:lineRule="auto"/>
              <w:jc w:val="center"/>
              <w:rPr>
                <w:rFonts w:cs="Arial"/>
                <w:sz w:val="20"/>
              </w:rPr>
            </w:pPr>
            <w:r w:rsidRPr="003C1890">
              <w:rPr>
                <w:rFonts w:cs="Arial"/>
                <w:sz w:val="20"/>
              </w:rPr>
              <w:t>4.5</w:t>
            </w:r>
          </w:p>
        </w:tc>
      </w:tr>
      <w:tr w:rsidR="003C1890" w:rsidRPr="00272761" w14:paraId="23D545A7" w14:textId="77777777" w:rsidTr="00C26A79">
        <w:trPr>
          <w:trHeight w:val="144"/>
          <w:jc w:val="center"/>
        </w:trPr>
        <w:tc>
          <w:tcPr>
            <w:tcW w:w="706" w:type="dxa"/>
            <w:shd w:val="clear" w:color="auto" w:fill="FFFFFF" w:themeFill="background1"/>
            <w:noWrap/>
            <w:vAlign w:val="center"/>
            <w:hideMark/>
          </w:tcPr>
          <w:p w14:paraId="5EEBEB46" w14:textId="77777777" w:rsidR="003C1890" w:rsidRPr="003C1890" w:rsidRDefault="003C1890" w:rsidP="0078225A">
            <w:pPr>
              <w:spacing w:after="0" w:line="240" w:lineRule="auto"/>
              <w:rPr>
                <w:rFonts w:cs="Arial"/>
                <w:sz w:val="20"/>
              </w:rPr>
            </w:pPr>
            <w:r w:rsidRPr="003C1890">
              <w:rPr>
                <w:rFonts w:cs="Arial"/>
                <w:sz w:val="20"/>
              </w:rPr>
              <w:t>10</w:t>
            </w:r>
          </w:p>
        </w:tc>
        <w:tc>
          <w:tcPr>
            <w:tcW w:w="2160" w:type="dxa"/>
            <w:shd w:val="clear" w:color="auto" w:fill="FFFFFF" w:themeFill="background1"/>
            <w:noWrap/>
            <w:vAlign w:val="center"/>
            <w:hideMark/>
          </w:tcPr>
          <w:p w14:paraId="1BADC615" w14:textId="77777777" w:rsidR="003C1890" w:rsidRPr="003C1890" w:rsidRDefault="003C1890" w:rsidP="0078225A">
            <w:pPr>
              <w:spacing w:after="0" w:line="240" w:lineRule="auto"/>
              <w:jc w:val="both"/>
              <w:rPr>
                <w:rFonts w:cs="Arial"/>
                <w:sz w:val="20"/>
              </w:rPr>
            </w:pPr>
            <w:r w:rsidRPr="003C1890">
              <w:rPr>
                <w:rFonts w:cs="Arial"/>
                <w:sz w:val="20"/>
              </w:rPr>
              <w:t>Insulin</w:t>
            </w:r>
          </w:p>
        </w:tc>
        <w:tc>
          <w:tcPr>
            <w:tcW w:w="495" w:type="dxa"/>
            <w:shd w:val="clear" w:color="auto" w:fill="FFFFFF" w:themeFill="background1"/>
            <w:noWrap/>
            <w:vAlign w:val="center"/>
            <w:hideMark/>
          </w:tcPr>
          <w:p w14:paraId="7494CB73" w14:textId="77777777" w:rsidR="003C1890" w:rsidRPr="003C1890" w:rsidRDefault="003C1890" w:rsidP="0078225A">
            <w:pPr>
              <w:spacing w:after="0" w:line="240" w:lineRule="auto"/>
              <w:jc w:val="center"/>
              <w:rPr>
                <w:rFonts w:cs="Arial"/>
                <w:sz w:val="20"/>
              </w:rPr>
            </w:pPr>
            <w:r w:rsidRPr="003C1890">
              <w:rPr>
                <w:rFonts w:cs="Arial"/>
                <w:sz w:val="20"/>
              </w:rPr>
              <w:t>3.7</w:t>
            </w:r>
          </w:p>
        </w:tc>
        <w:tc>
          <w:tcPr>
            <w:tcW w:w="239" w:type="dxa"/>
            <w:shd w:val="clear" w:color="auto" w:fill="FFFFFF" w:themeFill="background1"/>
          </w:tcPr>
          <w:p w14:paraId="6073881B"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0B4DE0FC" w14:textId="220978FF" w:rsidR="003C1890" w:rsidRPr="003C1890" w:rsidRDefault="003C1890" w:rsidP="0078225A">
            <w:pPr>
              <w:spacing w:after="0" w:line="240" w:lineRule="auto"/>
              <w:rPr>
                <w:rFonts w:cs="Arial"/>
                <w:sz w:val="20"/>
              </w:rPr>
            </w:pPr>
            <w:r w:rsidRPr="003C1890">
              <w:rPr>
                <w:rFonts w:cs="Arial"/>
                <w:sz w:val="20"/>
              </w:rPr>
              <w:t>Oxycodone +/- APAP</w:t>
            </w:r>
          </w:p>
        </w:tc>
        <w:tc>
          <w:tcPr>
            <w:tcW w:w="495" w:type="dxa"/>
            <w:shd w:val="clear" w:color="auto" w:fill="FFFFFF" w:themeFill="background1"/>
            <w:vAlign w:val="center"/>
          </w:tcPr>
          <w:p w14:paraId="45BCCDBB" w14:textId="77777777" w:rsidR="003C1890" w:rsidRPr="003C1890" w:rsidRDefault="003C1890" w:rsidP="0078225A">
            <w:pPr>
              <w:spacing w:after="0" w:line="240" w:lineRule="auto"/>
              <w:jc w:val="center"/>
              <w:rPr>
                <w:rFonts w:cs="Arial"/>
                <w:sz w:val="20"/>
              </w:rPr>
            </w:pPr>
            <w:r w:rsidRPr="003C1890">
              <w:rPr>
                <w:rFonts w:cs="Arial"/>
                <w:sz w:val="20"/>
              </w:rPr>
              <w:t>3.6</w:t>
            </w:r>
          </w:p>
        </w:tc>
        <w:tc>
          <w:tcPr>
            <w:tcW w:w="225" w:type="dxa"/>
            <w:shd w:val="clear" w:color="auto" w:fill="FFFFFF" w:themeFill="background1"/>
          </w:tcPr>
          <w:p w14:paraId="07EC4622"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772D62E3" w14:textId="0BCE6458" w:rsidR="003C1890" w:rsidRPr="003C1890" w:rsidRDefault="003C1890" w:rsidP="0078225A">
            <w:pPr>
              <w:spacing w:after="0" w:line="240" w:lineRule="auto"/>
              <w:rPr>
                <w:rFonts w:cs="Arial"/>
                <w:sz w:val="20"/>
              </w:rPr>
            </w:pPr>
            <w:r w:rsidRPr="003C1890">
              <w:rPr>
                <w:rFonts w:cs="Arial"/>
                <w:sz w:val="20"/>
              </w:rPr>
              <w:t>Insulin</w:t>
            </w:r>
          </w:p>
        </w:tc>
        <w:tc>
          <w:tcPr>
            <w:tcW w:w="495" w:type="dxa"/>
            <w:shd w:val="clear" w:color="auto" w:fill="FFFFFF" w:themeFill="background1"/>
            <w:vAlign w:val="center"/>
          </w:tcPr>
          <w:p w14:paraId="23378425" w14:textId="77777777" w:rsidR="003C1890" w:rsidRPr="003C1890" w:rsidRDefault="003C1890" w:rsidP="0078225A">
            <w:pPr>
              <w:spacing w:after="0" w:line="240" w:lineRule="auto"/>
              <w:jc w:val="center"/>
              <w:rPr>
                <w:rFonts w:cs="Arial"/>
                <w:sz w:val="20"/>
              </w:rPr>
            </w:pPr>
            <w:r w:rsidRPr="003C1890">
              <w:rPr>
                <w:rFonts w:cs="Arial"/>
                <w:sz w:val="20"/>
              </w:rPr>
              <w:t>4.4</w:t>
            </w:r>
          </w:p>
        </w:tc>
      </w:tr>
      <w:tr w:rsidR="003C1890" w:rsidRPr="00272761" w14:paraId="4D817BAD" w14:textId="77777777" w:rsidTr="00C26A79">
        <w:trPr>
          <w:trHeight w:val="144"/>
          <w:jc w:val="center"/>
        </w:trPr>
        <w:tc>
          <w:tcPr>
            <w:tcW w:w="706" w:type="dxa"/>
            <w:shd w:val="clear" w:color="auto" w:fill="FFFFFF" w:themeFill="background1"/>
            <w:noWrap/>
            <w:vAlign w:val="center"/>
            <w:hideMark/>
          </w:tcPr>
          <w:p w14:paraId="47DDD2B6" w14:textId="77777777" w:rsidR="003C1890" w:rsidRPr="003C1890" w:rsidRDefault="003C1890" w:rsidP="0078225A">
            <w:pPr>
              <w:spacing w:after="0" w:line="240" w:lineRule="auto"/>
              <w:rPr>
                <w:rFonts w:cs="Arial"/>
                <w:sz w:val="20"/>
              </w:rPr>
            </w:pPr>
            <w:r w:rsidRPr="003C1890">
              <w:rPr>
                <w:rFonts w:cs="Arial"/>
                <w:sz w:val="20"/>
              </w:rPr>
              <w:t>11</w:t>
            </w:r>
          </w:p>
        </w:tc>
        <w:tc>
          <w:tcPr>
            <w:tcW w:w="2160" w:type="dxa"/>
            <w:shd w:val="clear" w:color="auto" w:fill="FFFFFF" w:themeFill="background1"/>
            <w:noWrap/>
            <w:vAlign w:val="center"/>
            <w:hideMark/>
          </w:tcPr>
          <w:p w14:paraId="23E96F0E" w14:textId="77777777" w:rsidR="003C1890" w:rsidRPr="003C1890" w:rsidRDefault="003C1890" w:rsidP="0078225A">
            <w:pPr>
              <w:spacing w:after="0" w:line="240" w:lineRule="auto"/>
              <w:jc w:val="both"/>
              <w:rPr>
                <w:rFonts w:cs="Arial"/>
                <w:sz w:val="20"/>
              </w:rPr>
            </w:pPr>
            <w:r w:rsidRPr="003C1890">
              <w:rPr>
                <w:rFonts w:cs="Arial"/>
                <w:sz w:val="20"/>
              </w:rPr>
              <w:t>Levofloxacin</w:t>
            </w:r>
          </w:p>
        </w:tc>
        <w:tc>
          <w:tcPr>
            <w:tcW w:w="495" w:type="dxa"/>
            <w:shd w:val="clear" w:color="auto" w:fill="FFFFFF" w:themeFill="background1"/>
            <w:noWrap/>
            <w:vAlign w:val="center"/>
            <w:hideMark/>
          </w:tcPr>
          <w:p w14:paraId="4D5624E2" w14:textId="77777777" w:rsidR="003C1890" w:rsidRPr="003C1890" w:rsidRDefault="003C1890" w:rsidP="0078225A">
            <w:pPr>
              <w:spacing w:after="0" w:line="240" w:lineRule="auto"/>
              <w:jc w:val="center"/>
              <w:rPr>
                <w:rFonts w:cs="Arial"/>
                <w:sz w:val="20"/>
              </w:rPr>
            </w:pPr>
            <w:r w:rsidRPr="003C1890">
              <w:rPr>
                <w:rFonts w:cs="Arial"/>
                <w:sz w:val="20"/>
              </w:rPr>
              <w:t>3.4</w:t>
            </w:r>
          </w:p>
        </w:tc>
        <w:tc>
          <w:tcPr>
            <w:tcW w:w="239" w:type="dxa"/>
            <w:shd w:val="clear" w:color="auto" w:fill="FFFFFF" w:themeFill="background1"/>
          </w:tcPr>
          <w:p w14:paraId="723935E5"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7CD1BFCC" w14:textId="4B3959DC" w:rsidR="003C1890" w:rsidRPr="003C1890" w:rsidRDefault="003C1890" w:rsidP="0078225A">
            <w:pPr>
              <w:spacing w:after="0" w:line="240" w:lineRule="auto"/>
              <w:rPr>
                <w:rFonts w:cs="Arial"/>
                <w:sz w:val="20"/>
              </w:rPr>
            </w:pPr>
            <w:r w:rsidRPr="003C1890">
              <w:rPr>
                <w:rFonts w:cs="Arial"/>
                <w:sz w:val="20"/>
              </w:rPr>
              <w:t>Fentanyl</w:t>
            </w:r>
          </w:p>
        </w:tc>
        <w:tc>
          <w:tcPr>
            <w:tcW w:w="495" w:type="dxa"/>
            <w:shd w:val="clear" w:color="auto" w:fill="FFFFFF" w:themeFill="background1"/>
            <w:vAlign w:val="center"/>
          </w:tcPr>
          <w:p w14:paraId="15B8032D" w14:textId="77777777" w:rsidR="003C1890" w:rsidRPr="003C1890" w:rsidRDefault="003C1890" w:rsidP="0078225A">
            <w:pPr>
              <w:spacing w:after="0" w:line="240" w:lineRule="auto"/>
              <w:jc w:val="center"/>
              <w:rPr>
                <w:rFonts w:cs="Arial"/>
                <w:sz w:val="20"/>
              </w:rPr>
            </w:pPr>
            <w:r w:rsidRPr="003C1890">
              <w:rPr>
                <w:rFonts w:cs="Arial"/>
                <w:sz w:val="20"/>
              </w:rPr>
              <w:t>3.5</w:t>
            </w:r>
          </w:p>
        </w:tc>
        <w:tc>
          <w:tcPr>
            <w:tcW w:w="225" w:type="dxa"/>
            <w:shd w:val="clear" w:color="auto" w:fill="FFFFFF" w:themeFill="background1"/>
          </w:tcPr>
          <w:p w14:paraId="793251F3"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4F5E97CF" w14:textId="0E4B48BE" w:rsidR="003C1890" w:rsidRPr="003C1890" w:rsidRDefault="003C1890" w:rsidP="0078225A">
            <w:pPr>
              <w:spacing w:after="0" w:line="240" w:lineRule="auto"/>
              <w:rPr>
                <w:rFonts w:cs="Arial"/>
                <w:sz w:val="20"/>
              </w:rPr>
            </w:pPr>
            <w:r w:rsidRPr="003C1890">
              <w:rPr>
                <w:rFonts w:cs="Arial"/>
                <w:sz w:val="20"/>
              </w:rPr>
              <w:t xml:space="preserve">Amlodipine </w:t>
            </w:r>
          </w:p>
        </w:tc>
        <w:tc>
          <w:tcPr>
            <w:tcW w:w="495" w:type="dxa"/>
            <w:shd w:val="clear" w:color="auto" w:fill="FFFFFF" w:themeFill="background1"/>
            <w:vAlign w:val="center"/>
          </w:tcPr>
          <w:p w14:paraId="7AF2BE75" w14:textId="77777777" w:rsidR="003C1890" w:rsidRPr="003C1890" w:rsidRDefault="003C1890" w:rsidP="0078225A">
            <w:pPr>
              <w:spacing w:after="0" w:line="240" w:lineRule="auto"/>
              <w:jc w:val="center"/>
              <w:rPr>
                <w:rFonts w:cs="Arial"/>
                <w:sz w:val="20"/>
              </w:rPr>
            </w:pPr>
            <w:r w:rsidRPr="003C1890">
              <w:rPr>
                <w:rFonts w:cs="Arial"/>
                <w:sz w:val="20"/>
              </w:rPr>
              <w:t>4.3</w:t>
            </w:r>
          </w:p>
        </w:tc>
      </w:tr>
      <w:tr w:rsidR="003C1890" w:rsidRPr="00272761" w14:paraId="2A5FBFE7" w14:textId="77777777" w:rsidTr="00C26A79">
        <w:trPr>
          <w:trHeight w:val="144"/>
          <w:jc w:val="center"/>
        </w:trPr>
        <w:tc>
          <w:tcPr>
            <w:tcW w:w="706" w:type="dxa"/>
            <w:shd w:val="clear" w:color="auto" w:fill="FFFFFF" w:themeFill="background1"/>
            <w:noWrap/>
            <w:vAlign w:val="center"/>
            <w:hideMark/>
          </w:tcPr>
          <w:p w14:paraId="7B726859" w14:textId="77777777" w:rsidR="003C1890" w:rsidRPr="003C1890" w:rsidRDefault="003C1890" w:rsidP="0078225A">
            <w:pPr>
              <w:spacing w:after="0" w:line="240" w:lineRule="auto"/>
              <w:rPr>
                <w:rFonts w:cs="Arial"/>
                <w:sz w:val="20"/>
              </w:rPr>
            </w:pPr>
            <w:r w:rsidRPr="003C1890">
              <w:rPr>
                <w:rFonts w:cs="Arial"/>
                <w:sz w:val="20"/>
              </w:rPr>
              <w:t>12</w:t>
            </w:r>
          </w:p>
        </w:tc>
        <w:tc>
          <w:tcPr>
            <w:tcW w:w="2160" w:type="dxa"/>
            <w:shd w:val="clear" w:color="auto" w:fill="FFFFFF" w:themeFill="background1"/>
            <w:noWrap/>
            <w:vAlign w:val="center"/>
            <w:hideMark/>
          </w:tcPr>
          <w:p w14:paraId="6F1A09A0" w14:textId="77777777" w:rsidR="003C1890" w:rsidRPr="003C1890" w:rsidRDefault="003C1890" w:rsidP="0078225A">
            <w:pPr>
              <w:spacing w:after="0" w:line="240" w:lineRule="auto"/>
              <w:jc w:val="both"/>
              <w:rPr>
                <w:rFonts w:cs="Arial"/>
                <w:sz w:val="20"/>
              </w:rPr>
            </w:pPr>
            <w:r w:rsidRPr="003C1890">
              <w:rPr>
                <w:rFonts w:cs="Arial"/>
                <w:sz w:val="20"/>
              </w:rPr>
              <w:t>Digoxin</w:t>
            </w:r>
          </w:p>
        </w:tc>
        <w:tc>
          <w:tcPr>
            <w:tcW w:w="495" w:type="dxa"/>
            <w:shd w:val="clear" w:color="auto" w:fill="FFFFFF" w:themeFill="background1"/>
            <w:noWrap/>
            <w:vAlign w:val="center"/>
            <w:hideMark/>
          </w:tcPr>
          <w:p w14:paraId="54F04386" w14:textId="77777777" w:rsidR="003C1890" w:rsidRPr="003C1890" w:rsidRDefault="003C1890" w:rsidP="0078225A">
            <w:pPr>
              <w:spacing w:after="0" w:line="240" w:lineRule="auto"/>
              <w:jc w:val="center"/>
              <w:rPr>
                <w:rFonts w:cs="Arial"/>
                <w:sz w:val="20"/>
              </w:rPr>
            </w:pPr>
            <w:r w:rsidRPr="003C1890">
              <w:rPr>
                <w:rFonts w:cs="Arial"/>
                <w:sz w:val="20"/>
              </w:rPr>
              <w:t>3.3</w:t>
            </w:r>
          </w:p>
        </w:tc>
        <w:tc>
          <w:tcPr>
            <w:tcW w:w="239" w:type="dxa"/>
            <w:shd w:val="clear" w:color="auto" w:fill="FFFFFF" w:themeFill="background1"/>
          </w:tcPr>
          <w:p w14:paraId="745E80E4"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205B4406" w14:textId="17D57E64" w:rsidR="003C1890" w:rsidRPr="003C1890" w:rsidRDefault="003C1890" w:rsidP="0078225A">
            <w:pPr>
              <w:spacing w:after="0" w:line="240" w:lineRule="auto"/>
              <w:rPr>
                <w:rFonts w:cs="Arial"/>
                <w:sz w:val="20"/>
              </w:rPr>
            </w:pPr>
            <w:r w:rsidRPr="003C1890">
              <w:rPr>
                <w:rFonts w:cs="Arial"/>
                <w:sz w:val="20"/>
              </w:rPr>
              <w:t>Insulin</w:t>
            </w:r>
          </w:p>
        </w:tc>
        <w:tc>
          <w:tcPr>
            <w:tcW w:w="495" w:type="dxa"/>
            <w:shd w:val="clear" w:color="auto" w:fill="FFFFFF" w:themeFill="background1"/>
            <w:vAlign w:val="center"/>
          </w:tcPr>
          <w:p w14:paraId="684D5393" w14:textId="77777777" w:rsidR="003C1890" w:rsidRPr="003C1890" w:rsidRDefault="003C1890" w:rsidP="0078225A">
            <w:pPr>
              <w:spacing w:after="0" w:line="240" w:lineRule="auto"/>
              <w:jc w:val="center"/>
              <w:rPr>
                <w:rFonts w:cs="Arial"/>
                <w:sz w:val="20"/>
              </w:rPr>
            </w:pPr>
            <w:r w:rsidRPr="003C1890">
              <w:rPr>
                <w:rFonts w:cs="Arial"/>
                <w:sz w:val="20"/>
              </w:rPr>
              <w:t>3.3</w:t>
            </w:r>
          </w:p>
        </w:tc>
        <w:tc>
          <w:tcPr>
            <w:tcW w:w="225" w:type="dxa"/>
            <w:shd w:val="clear" w:color="auto" w:fill="FFFFFF" w:themeFill="background1"/>
          </w:tcPr>
          <w:p w14:paraId="0CE15518"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798C0D7C" w14:textId="1A7EC892" w:rsidR="003C1890" w:rsidRPr="003C1890" w:rsidRDefault="003C1890" w:rsidP="0078225A">
            <w:pPr>
              <w:spacing w:after="0" w:line="240" w:lineRule="auto"/>
              <w:rPr>
                <w:rFonts w:cs="Arial"/>
                <w:sz w:val="20"/>
              </w:rPr>
            </w:pPr>
            <w:r w:rsidRPr="003C1890">
              <w:rPr>
                <w:rFonts w:cs="Arial"/>
                <w:sz w:val="20"/>
              </w:rPr>
              <w:t>Levofloxacin</w:t>
            </w:r>
          </w:p>
        </w:tc>
        <w:tc>
          <w:tcPr>
            <w:tcW w:w="495" w:type="dxa"/>
            <w:shd w:val="clear" w:color="auto" w:fill="FFFFFF" w:themeFill="background1"/>
            <w:vAlign w:val="center"/>
          </w:tcPr>
          <w:p w14:paraId="0CEE3B25" w14:textId="77777777" w:rsidR="003C1890" w:rsidRPr="003C1890" w:rsidRDefault="003C1890" w:rsidP="0078225A">
            <w:pPr>
              <w:spacing w:after="0" w:line="240" w:lineRule="auto"/>
              <w:jc w:val="center"/>
              <w:rPr>
                <w:rFonts w:cs="Arial"/>
                <w:sz w:val="20"/>
              </w:rPr>
            </w:pPr>
            <w:r w:rsidRPr="003C1890">
              <w:rPr>
                <w:rFonts w:cs="Arial"/>
                <w:sz w:val="20"/>
              </w:rPr>
              <w:t>4.0</w:t>
            </w:r>
          </w:p>
        </w:tc>
      </w:tr>
      <w:tr w:rsidR="003C1890" w:rsidRPr="00272761" w14:paraId="11BFDCB3" w14:textId="77777777" w:rsidTr="00C26A79">
        <w:trPr>
          <w:trHeight w:val="144"/>
          <w:jc w:val="center"/>
        </w:trPr>
        <w:tc>
          <w:tcPr>
            <w:tcW w:w="706" w:type="dxa"/>
            <w:shd w:val="clear" w:color="auto" w:fill="FFFFFF" w:themeFill="background1"/>
            <w:noWrap/>
            <w:vAlign w:val="center"/>
            <w:hideMark/>
          </w:tcPr>
          <w:p w14:paraId="3651C301" w14:textId="77777777" w:rsidR="003C1890" w:rsidRPr="003C1890" w:rsidRDefault="003C1890" w:rsidP="0078225A">
            <w:pPr>
              <w:spacing w:after="0" w:line="240" w:lineRule="auto"/>
              <w:rPr>
                <w:rFonts w:cs="Arial"/>
                <w:sz w:val="20"/>
              </w:rPr>
            </w:pPr>
            <w:r w:rsidRPr="003C1890">
              <w:rPr>
                <w:rFonts w:cs="Arial"/>
                <w:sz w:val="20"/>
              </w:rPr>
              <w:t>13</w:t>
            </w:r>
          </w:p>
        </w:tc>
        <w:tc>
          <w:tcPr>
            <w:tcW w:w="2160" w:type="dxa"/>
            <w:shd w:val="clear" w:color="auto" w:fill="FFFFFF" w:themeFill="background1"/>
            <w:noWrap/>
            <w:vAlign w:val="center"/>
            <w:hideMark/>
          </w:tcPr>
          <w:p w14:paraId="79B2DF24" w14:textId="77777777" w:rsidR="003C1890" w:rsidRPr="003C1890" w:rsidRDefault="003C1890" w:rsidP="0078225A">
            <w:pPr>
              <w:spacing w:after="0" w:line="240" w:lineRule="auto"/>
              <w:jc w:val="both"/>
              <w:rPr>
                <w:rFonts w:cs="Arial"/>
                <w:sz w:val="20"/>
              </w:rPr>
            </w:pPr>
            <w:r w:rsidRPr="003C1890">
              <w:rPr>
                <w:rFonts w:cs="Arial"/>
                <w:sz w:val="20"/>
              </w:rPr>
              <w:t>Fentanyl</w:t>
            </w:r>
          </w:p>
        </w:tc>
        <w:tc>
          <w:tcPr>
            <w:tcW w:w="495" w:type="dxa"/>
            <w:shd w:val="clear" w:color="auto" w:fill="FFFFFF" w:themeFill="background1"/>
            <w:noWrap/>
            <w:vAlign w:val="center"/>
            <w:hideMark/>
          </w:tcPr>
          <w:p w14:paraId="5E2769DA" w14:textId="77777777" w:rsidR="003C1890" w:rsidRPr="003C1890" w:rsidRDefault="003C1890" w:rsidP="0078225A">
            <w:pPr>
              <w:spacing w:after="0" w:line="240" w:lineRule="auto"/>
              <w:jc w:val="center"/>
              <w:rPr>
                <w:rFonts w:cs="Arial"/>
                <w:sz w:val="20"/>
              </w:rPr>
            </w:pPr>
            <w:r w:rsidRPr="003C1890">
              <w:rPr>
                <w:rFonts w:cs="Arial"/>
                <w:sz w:val="20"/>
              </w:rPr>
              <w:t>3.2</w:t>
            </w:r>
          </w:p>
        </w:tc>
        <w:tc>
          <w:tcPr>
            <w:tcW w:w="239" w:type="dxa"/>
            <w:shd w:val="clear" w:color="auto" w:fill="FFFFFF" w:themeFill="background1"/>
          </w:tcPr>
          <w:p w14:paraId="1C5F5996"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2914C11D" w14:textId="68839E5E" w:rsidR="003C1890" w:rsidRPr="003C1890" w:rsidRDefault="003C1890" w:rsidP="0078225A">
            <w:pPr>
              <w:spacing w:after="0" w:line="240" w:lineRule="auto"/>
              <w:rPr>
                <w:rFonts w:cs="Arial"/>
                <w:sz w:val="20"/>
              </w:rPr>
            </w:pPr>
            <w:r w:rsidRPr="003C1890">
              <w:rPr>
                <w:rFonts w:cs="Arial"/>
                <w:sz w:val="20"/>
              </w:rPr>
              <w:t>Digoxin</w:t>
            </w:r>
          </w:p>
        </w:tc>
        <w:tc>
          <w:tcPr>
            <w:tcW w:w="495" w:type="dxa"/>
            <w:shd w:val="clear" w:color="auto" w:fill="FFFFFF" w:themeFill="background1"/>
            <w:vAlign w:val="center"/>
          </w:tcPr>
          <w:p w14:paraId="1C41451D" w14:textId="77777777" w:rsidR="003C1890" w:rsidRPr="003C1890" w:rsidRDefault="003C1890" w:rsidP="0078225A">
            <w:pPr>
              <w:spacing w:after="0" w:line="240" w:lineRule="auto"/>
              <w:jc w:val="center"/>
              <w:rPr>
                <w:rFonts w:cs="Arial"/>
                <w:sz w:val="20"/>
              </w:rPr>
            </w:pPr>
            <w:r w:rsidRPr="003C1890">
              <w:rPr>
                <w:rFonts w:cs="Arial"/>
                <w:sz w:val="20"/>
              </w:rPr>
              <w:t>3.0</w:t>
            </w:r>
          </w:p>
        </w:tc>
        <w:tc>
          <w:tcPr>
            <w:tcW w:w="225" w:type="dxa"/>
            <w:shd w:val="clear" w:color="auto" w:fill="FFFFFF" w:themeFill="background1"/>
          </w:tcPr>
          <w:p w14:paraId="410E30A7"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0F051945" w14:textId="3B8A3B35" w:rsidR="003C1890" w:rsidRPr="003C1890" w:rsidRDefault="003C1890" w:rsidP="0078225A">
            <w:pPr>
              <w:spacing w:after="0" w:line="240" w:lineRule="auto"/>
              <w:rPr>
                <w:rFonts w:cs="Arial"/>
                <w:sz w:val="20"/>
              </w:rPr>
            </w:pPr>
            <w:r w:rsidRPr="003C1890">
              <w:rPr>
                <w:rFonts w:cs="Arial"/>
                <w:sz w:val="20"/>
              </w:rPr>
              <w:t xml:space="preserve">Memantine </w:t>
            </w:r>
          </w:p>
        </w:tc>
        <w:tc>
          <w:tcPr>
            <w:tcW w:w="495" w:type="dxa"/>
            <w:shd w:val="clear" w:color="auto" w:fill="FFFFFF" w:themeFill="background1"/>
            <w:vAlign w:val="center"/>
          </w:tcPr>
          <w:p w14:paraId="51A7143A" w14:textId="77777777" w:rsidR="003C1890" w:rsidRPr="003C1890" w:rsidRDefault="003C1890" w:rsidP="0078225A">
            <w:pPr>
              <w:spacing w:after="0" w:line="240" w:lineRule="auto"/>
              <w:jc w:val="center"/>
              <w:rPr>
                <w:rFonts w:cs="Arial"/>
                <w:sz w:val="20"/>
              </w:rPr>
            </w:pPr>
            <w:r w:rsidRPr="003C1890">
              <w:rPr>
                <w:rFonts w:cs="Arial"/>
                <w:sz w:val="20"/>
              </w:rPr>
              <w:t>3.6</w:t>
            </w:r>
          </w:p>
        </w:tc>
      </w:tr>
      <w:tr w:rsidR="003C1890" w:rsidRPr="00272761" w14:paraId="170987A2" w14:textId="77777777" w:rsidTr="00C26A79">
        <w:trPr>
          <w:trHeight w:val="144"/>
          <w:jc w:val="center"/>
        </w:trPr>
        <w:tc>
          <w:tcPr>
            <w:tcW w:w="706" w:type="dxa"/>
            <w:shd w:val="clear" w:color="auto" w:fill="FFFFFF" w:themeFill="background1"/>
            <w:noWrap/>
            <w:vAlign w:val="center"/>
            <w:hideMark/>
          </w:tcPr>
          <w:p w14:paraId="08827A86" w14:textId="77777777" w:rsidR="003C1890" w:rsidRPr="003C1890" w:rsidRDefault="003C1890" w:rsidP="0078225A">
            <w:pPr>
              <w:spacing w:after="0" w:line="240" w:lineRule="auto"/>
              <w:rPr>
                <w:rFonts w:cs="Arial"/>
                <w:sz w:val="20"/>
              </w:rPr>
            </w:pPr>
            <w:r w:rsidRPr="003C1890">
              <w:rPr>
                <w:rFonts w:cs="Arial"/>
                <w:sz w:val="20"/>
              </w:rPr>
              <w:t>14</w:t>
            </w:r>
          </w:p>
        </w:tc>
        <w:tc>
          <w:tcPr>
            <w:tcW w:w="2160" w:type="dxa"/>
            <w:shd w:val="clear" w:color="auto" w:fill="FFFFFF" w:themeFill="background1"/>
            <w:noWrap/>
            <w:vAlign w:val="center"/>
            <w:hideMark/>
          </w:tcPr>
          <w:p w14:paraId="10A322B3" w14:textId="77777777" w:rsidR="003C1890" w:rsidRPr="003C1890" w:rsidRDefault="003C1890" w:rsidP="0078225A">
            <w:pPr>
              <w:spacing w:after="0" w:line="240" w:lineRule="auto"/>
              <w:rPr>
                <w:rFonts w:cs="Arial"/>
                <w:sz w:val="20"/>
              </w:rPr>
            </w:pPr>
            <w:r w:rsidRPr="003C1890">
              <w:rPr>
                <w:rFonts w:cs="Arial"/>
                <w:sz w:val="20"/>
              </w:rPr>
              <w:t>Oxycodone +/- APAP</w:t>
            </w:r>
          </w:p>
        </w:tc>
        <w:tc>
          <w:tcPr>
            <w:tcW w:w="495" w:type="dxa"/>
            <w:shd w:val="clear" w:color="auto" w:fill="FFFFFF" w:themeFill="background1"/>
            <w:noWrap/>
            <w:vAlign w:val="center"/>
            <w:hideMark/>
          </w:tcPr>
          <w:p w14:paraId="5D76F375" w14:textId="77777777" w:rsidR="003C1890" w:rsidRPr="003C1890" w:rsidRDefault="003C1890" w:rsidP="0078225A">
            <w:pPr>
              <w:spacing w:after="0" w:line="240" w:lineRule="auto"/>
              <w:jc w:val="center"/>
              <w:rPr>
                <w:rFonts w:cs="Arial"/>
                <w:sz w:val="20"/>
              </w:rPr>
            </w:pPr>
            <w:r w:rsidRPr="003C1890">
              <w:rPr>
                <w:rFonts w:cs="Arial"/>
                <w:sz w:val="20"/>
              </w:rPr>
              <w:t>3.0</w:t>
            </w:r>
          </w:p>
        </w:tc>
        <w:tc>
          <w:tcPr>
            <w:tcW w:w="239" w:type="dxa"/>
            <w:shd w:val="clear" w:color="auto" w:fill="FFFFFF" w:themeFill="background1"/>
          </w:tcPr>
          <w:p w14:paraId="4521B445"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3766C5D1" w14:textId="10FC9661" w:rsidR="003C1890" w:rsidRPr="003C1890" w:rsidRDefault="003C1890" w:rsidP="0078225A">
            <w:pPr>
              <w:spacing w:after="0" w:line="240" w:lineRule="auto"/>
              <w:rPr>
                <w:rFonts w:cs="Arial"/>
                <w:sz w:val="20"/>
              </w:rPr>
            </w:pPr>
            <w:r w:rsidRPr="003C1890">
              <w:rPr>
                <w:rFonts w:cs="Arial"/>
                <w:sz w:val="20"/>
              </w:rPr>
              <w:t xml:space="preserve">Megestrol </w:t>
            </w:r>
          </w:p>
        </w:tc>
        <w:tc>
          <w:tcPr>
            <w:tcW w:w="495" w:type="dxa"/>
            <w:shd w:val="clear" w:color="auto" w:fill="FFFFFF" w:themeFill="background1"/>
            <w:vAlign w:val="center"/>
          </w:tcPr>
          <w:p w14:paraId="7CBFB57E" w14:textId="77777777" w:rsidR="003C1890" w:rsidRPr="003C1890" w:rsidRDefault="003C1890" w:rsidP="0078225A">
            <w:pPr>
              <w:spacing w:after="0" w:line="240" w:lineRule="auto"/>
              <w:jc w:val="center"/>
              <w:rPr>
                <w:rFonts w:cs="Arial"/>
                <w:sz w:val="20"/>
              </w:rPr>
            </w:pPr>
            <w:r w:rsidRPr="003C1890">
              <w:rPr>
                <w:rFonts w:cs="Arial"/>
                <w:sz w:val="20"/>
              </w:rPr>
              <w:t>3.0</w:t>
            </w:r>
          </w:p>
        </w:tc>
        <w:tc>
          <w:tcPr>
            <w:tcW w:w="225" w:type="dxa"/>
            <w:shd w:val="clear" w:color="auto" w:fill="FFFFFF" w:themeFill="background1"/>
          </w:tcPr>
          <w:p w14:paraId="7423C37E"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61A2A96B" w14:textId="586D4CAF" w:rsidR="003C1890" w:rsidRPr="003C1890" w:rsidRDefault="003C1890" w:rsidP="0078225A">
            <w:pPr>
              <w:spacing w:after="0" w:line="240" w:lineRule="auto"/>
              <w:rPr>
                <w:rFonts w:cs="Arial"/>
                <w:sz w:val="20"/>
              </w:rPr>
            </w:pPr>
            <w:r w:rsidRPr="003C1890">
              <w:rPr>
                <w:rFonts w:cs="Arial"/>
                <w:sz w:val="20"/>
              </w:rPr>
              <w:t>Digoxin</w:t>
            </w:r>
          </w:p>
        </w:tc>
        <w:tc>
          <w:tcPr>
            <w:tcW w:w="495" w:type="dxa"/>
            <w:shd w:val="clear" w:color="auto" w:fill="FFFFFF" w:themeFill="background1"/>
            <w:vAlign w:val="center"/>
          </w:tcPr>
          <w:p w14:paraId="384A5772" w14:textId="77777777" w:rsidR="003C1890" w:rsidRPr="003C1890" w:rsidRDefault="003C1890" w:rsidP="0078225A">
            <w:pPr>
              <w:spacing w:after="0" w:line="240" w:lineRule="auto"/>
              <w:jc w:val="center"/>
              <w:rPr>
                <w:rFonts w:cs="Arial"/>
                <w:sz w:val="20"/>
              </w:rPr>
            </w:pPr>
            <w:r w:rsidRPr="003C1890">
              <w:rPr>
                <w:rFonts w:cs="Arial"/>
                <w:sz w:val="20"/>
              </w:rPr>
              <w:t>3.6</w:t>
            </w:r>
          </w:p>
        </w:tc>
      </w:tr>
      <w:tr w:rsidR="003C1890" w:rsidRPr="00272761" w14:paraId="12972475" w14:textId="77777777" w:rsidTr="00C26A79">
        <w:trPr>
          <w:trHeight w:val="144"/>
          <w:jc w:val="center"/>
        </w:trPr>
        <w:tc>
          <w:tcPr>
            <w:tcW w:w="706" w:type="dxa"/>
            <w:shd w:val="clear" w:color="auto" w:fill="FFFFFF" w:themeFill="background1"/>
            <w:noWrap/>
            <w:vAlign w:val="center"/>
            <w:hideMark/>
          </w:tcPr>
          <w:p w14:paraId="63A515CF" w14:textId="77777777" w:rsidR="003C1890" w:rsidRPr="003C1890" w:rsidRDefault="003C1890" w:rsidP="0078225A">
            <w:pPr>
              <w:spacing w:after="0" w:line="240" w:lineRule="auto"/>
              <w:rPr>
                <w:rFonts w:cs="Arial"/>
                <w:sz w:val="20"/>
              </w:rPr>
            </w:pPr>
            <w:r w:rsidRPr="003C1890">
              <w:rPr>
                <w:rFonts w:cs="Arial"/>
                <w:sz w:val="20"/>
              </w:rPr>
              <w:t>15</w:t>
            </w:r>
          </w:p>
        </w:tc>
        <w:tc>
          <w:tcPr>
            <w:tcW w:w="2160" w:type="dxa"/>
            <w:shd w:val="clear" w:color="auto" w:fill="FFFFFF" w:themeFill="background1"/>
            <w:noWrap/>
            <w:vAlign w:val="center"/>
            <w:hideMark/>
          </w:tcPr>
          <w:p w14:paraId="4F429CBC" w14:textId="77777777" w:rsidR="003C1890" w:rsidRPr="003C1890" w:rsidRDefault="003C1890" w:rsidP="0078225A">
            <w:pPr>
              <w:spacing w:after="0" w:line="240" w:lineRule="auto"/>
              <w:jc w:val="both"/>
              <w:rPr>
                <w:rFonts w:cs="Arial"/>
                <w:sz w:val="20"/>
              </w:rPr>
            </w:pPr>
            <w:r w:rsidRPr="003C1890">
              <w:rPr>
                <w:rFonts w:cs="Arial"/>
                <w:sz w:val="20"/>
              </w:rPr>
              <w:t xml:space="preserve">Megestrol </w:t>
            </w:r>
          </w:p>
        </w:tc>
        <w:tc>
          <w:tcPr>
            <w:tcW w:w="495" w:type="dxa"/>
            <w:shd w:val="clear" w:color="auto" w:fill="FFFFFF" w:themeFill="background1"/>
            <w:noWrap/>
            <w:vAlign w:val="center"/>
            <w:hideMark/>
          </w:tcPr>
          <w:p w14:paraId="4983BFC6" w14:textId="77777777" w:rsidR="003C1890" w:rsidRPr="003C1890" w:rsidRDefault="003C1890" w:rsidP="0078225A">
            <w:pPr>
              <w:spacing w:after="0" w:line="240" w:lineRule="auto"/>
              <w:jc w:val="center"/>
              <w:rPr>
                <w:rFonts w:cs="Arial"/>
                <w:sz w:val="20"/>
              </w:rPr>
            </w:pPr>
            <w:r w:rsidRPr="003C1890">
              <w:rPr>
                <w:rFonts w:cs="Arial"/>
                <w:sz w:val="20"/>
              </w:rPr>
              <w:t>3.0</w:t>
            </w:r>
          </w:p>
        </w:tc>
        <w:tc>
          <w:tcPr>
            <w:tcW w:w="239" w:type="dxa"/>
            <w:shd w:val="clear" w:color="auto" w:fill="FFFFFF" w:themeFill="background1"/>
          </w:tcPr>
          <w:p w14:paraId="5A0AAEF6"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5E60E2D9" w14:textId="390D9B46" w:rsidR="003C1890" w:rsidRPr="003C1890" w:rsidRDefault="003C1890" w:rsidP="0078225A">
            <w:pPr>
              <w:spacing w:after="0" w:line="240" w:lineRule="auto"/>
              <w:rPr>
                <w:rFonts w:cs="Arial"/>
                <w:sz w:val="20"/>
              </w:rPr>
            </w:pPr>
            <w:r w:rsidRPr="003C1890">
              <w:rPr>
                <w:rFonts w:cs="Arial"/>
                <w:sz w:val="20"/>
              </w:rPr>
              <w:t>Levofloxacin</w:t>
            </w:r>
          </w:p>
        </w:tc>
        <w:tc>
          <w:tcPr>
            <w:tcW w:w="495" w:type="dxa"/>
            <w:shd w:val="clear" w:color="auto" w:fill="FFFFFF" w:themeFill="background1"/>
            <w:vAlign w:val="center"/>
          </w:tcPr>
          <w:p w14:paraId="45EB8974" w14:textId="77777777" w:rsidR="003C1890" w:rsidRPr="003C1890" w:rsidRDefault="003C1890" w:rsidP="0078225A">
            <w:pPr>
              <w:spacing w:after="0" w:line="240" w:lineRule="auto"/>
              <w:jc w:val="center"/>
              <w:rPr>
                <w:rFonts w:cs="Arial"/>
                <w:sz w:val="20"/>
              </w:rPr>
            </w:pPr>
            <w:r w:rsidRPr="003C1890">
              <w:rPr>
                <w:rFonts w:cs="Arial"/>
                <w:sz w:val="20"/>
              </w:rPr>
              <w:t>3.0</w:t>
            </w:r>
          </w:p>
        </w:tc>
        <w:tc>
          <w:tcPr>
            <w:tcW w:w="225" w:type="dxa"/>
            <w:shd w:val="clear" w:color="auto" w:fill="FFFFFF" w:themeFill="background1"/>
          </w:tcPr>
          <w:p w14:paraId="422763F3"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7805132F" w14:textId="1B0FA486" w:rsidR="003C1890" w:rsidRPr="003C1890" w:rsidRDefault="003C1890" w:rsidP="0078225A">
            <w:pPr>
              <w:spacing w:after="0" w:line="240" w:lineRule="auto"/>
              <w:rPr>
                <w:rFonts w:cs="Arial"/>
                <w:sz w:val="20"/>
              </w:rPr>
            </w:pPr>
            <w:r w:rsidRPr="003C1890">
              <w:rPr>
                <w:rFonts w:cs="Arial"/>
                <w:sz w:val="20"/>
              </w:rPr>
              <w:t>Ciprofloxacin</w:t>
            </w:r>
          </w:p>
        </w:tc>
        <w:tc>
          <w:tcPr>
            <w:tcW w:w="495" w:type="dxa"/>
            <w:shd w:val="clear" w:color="auto" w:fill="FFFFFF" w:themeFill="background1"/>
            <w:vAlign w:val="center"/>
          </w:tcPr>
          <w:p w14:paraId="75BDEF6D" w14:textId="77777777" w:rsidR="003C1890" w:rsidRPr="003C1890" w:rsidRDefault="003C1890" w:rsidP="0078225A">
            <w:pPr>
              <w:spacing w:after="0" w:line="240" w:lineRule="auto"/>
              <w:jc w:val="center"/>
              <w:rPr>
                <w:rFonts w:cs="Arial"/>
                <w:sz w:val="20"/>
              </w:rPr>
            </w:pPr>
            <w:r w:rsidRPr="003C1890">
              <w:rPr>
                <w:rFonts w:cs="Arial"/>
                <w:sz w:val="20"/>
              </w:rPr>
              <w:t>3.6</w:t>
            </w:r>
          </w:p>
        </w:tc>
      </w:tr>
      <w:tr w:rsidR="003C1890" w:rsidRPr="00272761" w14:paraId="7874B93C" w14:textId="77777777" w:rsidTr="00C26A79">
        <w:trPr>
          <w:trHeight w:val="144"/>
          <w:jc w:val="center"/>
        </w:trPr>
        <w:tc>
          <w:tcPr>
            <w:tcW w:w="706" w:type="dxa"/>
            <w:shd w:val="clear" w:color="auto" w:fill="FFFFFF" w:themeFill="background1"/>
            <w:noWrap/>
            <w:vAlign w:val="center"/>
            <w:hideMark/>
          </w:tcPr>
          <w:p w14:paraId="4B5E59B8" w14:textId="77777777" w:rsidR="003C1890" w:rsidRPr="003C1890" w:rsidRDefault="003C1890" w:rsidP="0078225A">
            <w:pPr>
              <w:spacing w:after="0" w:line="240" w:lineRule="auto"/>
              <w:rPr>
                <w:rFonts w:cs="Arial"/>
                <w:sz w:val="20"/>
              </w:rPr>
            </w:pPr>
            <w:r w:rsidRPr="003C1890">
              <w:rPr>
                <w:rFonts w:cs="Arial"/>
                <w:sz w:val="20"/>
              </w:rPr>
              <w:t>16</w:t>
            </w:r>
          </w:p>
        </w:tc>
        <w:tc>
          <w:tcPr>
            <w:tcW w:w="2160" w:type="dxa"/>
            <w:shd w:val="clear" w:color="auto" w:fill="FFFFFF" w:themeFill="background1"/>
            <w:noWrap/>
            <w:vAlign w:val="center"/>
            <w:hideMark/>
          </w:tcPr>
          <w:p w14:paraId="7DA4D10A" w14:textId="77777777" w:rsidR="003C1890" w:rsidRPr="003C1890" w:rsidRDefault="003C1890" w:rsidP="0078225A">
            <w:pPr>
              <w:spacing w:after="0" w:line="240" w:lineRule="auto"/>
              <w:jc w:val="both"/>
              <w:rPr>
                <w:rFonts w:cs="Arial"/>
                <w:sz w:val="20"/>
              </w:rPr>
            </w:pPr>
            <w:r w:rsidRPr="003C1890">
              <w:rPr>
                <w:rFonts w:cs="Arial"/>
                <w:sz w:val="20"/>
              </w:rPr>
              <w:t>Simvastatin</w:t>
            </w:r>
          </w:p>
        </w:tc>
        <w:tc>
          <w:tcPr>
            <w:tcW w:w="495" w:type="dxa"/>
            <w:shd w:val="clear" w:color="auto" w:fill="FFFFFF" w:themeFill="background1"/>
            <w:noWrap/>
            <w:vAlign w:val="center"/>
            <w:hideMark/>
          </w:tcPr>
          <w:p w14:paraId="36F46DBC" w14:textId="77777777" w:rsidR="003C1890" w:rsidRPr="003C1890" w:rsidRDefault="003C1890" w:rsidP="0078225A">
            <w:pPr>
              <w:spacing w:after="0" w:line="240" w:lineRule="auto"/>
              <w:jc w:val="center"/>
              <w:rPr>
                <w:rFonts w:cs="Arial"/>
                <w:sz w:val="20"/>
              </w:rPr>
            </w:pPr>
            <w:r w:rsidRPr="003C1890">
              <w:rPr>
                <w:rFonts w:cs="Arial"/>
                <w:sz w:val="20"/>
              </w:rPr>
              <w:t>2.9</w:t>
            </w:r>
          </w:p>
        </w:tc>
        <w:tc>
          <w:tcPr>
            <w:tcW w:w="239" w:type="dxa"/>
            <w:shd w:val="clear" w:color="auto" w:fill="FFFFFF" w:themeFill="background1"/>
          </w:tcPr>
          <w:p w14:paraId="4355055E"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5A229DF0" w14:textId="66E6E7BC" w:rsidR="003C1890" w:rsidRPr="003C1890" w:rsidRDefault="003C1890" w:rsidP="0078225A">
            <w:pPr>
              <w:spacing w:after="0" w:line="240" w:lineRule="auto"/>
              <w:rPr>
                <w:rFonts w:cs="Arial"/>
                <w:sz w:val="20"/>
              </w:rPr>
            </w:pPr>
            <w:r w:rsidRPr="003C1890">
              <w:rPr>
                <w:rFonts w:cs="Arial"/>
                <w:sz w:val="20"/>
              </w:rPr>
              <w:t xml:space="preserve">Pantoprazole </w:t>
            </w:r>
          </w:p>
        </w:tc>
        <w:tc>
          <w:tcPr>
            <w:tcW w:w="495" w:type="dxa"/>
            <w:shd w:val="clear" w:color="auto" w:fill="FFFFFF" w:themeFill="background1"/>
            <w:vAlign w:val="center"/>
          </w:tcPr>
          <w:p w14:paraId="7D11D574" w14:textId="77777777" w:rsidR="003C1890" w:rsidRPr="003C1890" w:rsidRDefault="003C1890" w:rsidP="0078225A">
            <w:pPr>
              <w:spacing w:after="0" w:line="240" w:lineRule="auto"/>
              <w:jc w:val="center"/>
              <w:rPr>
                <w:rFonts w:cs="Arial"/>
                <w:sz w:val="20"/>
              </w:rPr>
            </w:pPr>
            <w:r w:rsidRPr="003C1890">
              <w:rPr>
                <w:rFonts w:cs="Arial"/>
                <w:sz w:val="20"/>
              </w:rPr>
              <w:t>2.7</w:t>
            </w:r>
          </w:p>
        </w:tc>
        <w:tc>
          <w:tcPr>
            <w:tcW w:w="225" w:type="dxa"/>
            <w:shd w:val="clear" w:color="auto" w:fill="FFFFFF" w:themeFill="background1"/>
          </w:tcPr>
          <w:p w14:paraId="2C3874E9"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3036B81B" w14:textId="7C322EC0" w:rsidR="003C1890" w:rsidRPr="003C1890" w:rsidRDefault="003C1890" w:rsidP="0078225A">
            <w:pPr>
              <w:spacing w:after="0" w:line="240" w:lineRule="auto"/>
              <w:rPr>
                <w:rFonts w:cs="Arial"/>
                <w:sz w:val="20"/>
              </w:rPr>
            </w:pPr>
            <w:r w:rsidRPr="003C1890">
              <w:rPr>
                <w:rFonts w:cs="Arial"/>
                <w:sz w:val="20"/>
              </w:rPr>
              <w:t>Simvastatin</w:t>
            </w:r>
          </w:p>
        </w:tc>
        <w:tc>
          <w:tcPr>
            <w:tcW w:w="495" w:type="dxa"/>
            <w:shd w:val="clear" w:color="auto" w:fill="FFFFFF" w:themeFill="background1"/>
            <w:vAlign w:val="center"/>
          </w:tcPr>
          <w:p w14:paraId="3E41AC1D" w14:textId="77777777" w:rsidR="003C1890" w:rsidRPr="003C1890" w:rsidRDefault="003C1890" w:rsidP="0078225A">
            <w:pPr>
              <w:spacing w:after="0" w:line="240" w:lineRule="auto"/>
              <w:jc w:val="center"/>
              <w:rPr>
                <w:rFonts w:cs="Arial"/>
                <w:sz w:val="20"/>
              </w:rPr>
            </w:pPr>
            <w:r w:rsidRPr="003C1890">
              <w:rPr>
                <w:rFonts w:cs="Arial"/>
                <w:sz w:val="20"/>
              </w:rPr>
              <w:t>3.6</w:t>
            </w:r>
          </w:p>
        </w:tc>
      </w:tr>
      <w:tr w:rsidR="003C1890" w:rsidRPr="00272761" w14:paraId="3A341666" w14:textId="77777777" w:rsidTr="00C26A79">
        <w:trPr>
          <w:trHeight w:val="144"/>
          <w:jc w:val="center"/>
        </w:trPr>
        <w:tc>
          <w:tcPr>
            <w:tcW w:w="706" w:type="dxa"/>
            <w:shd w:val="clear" w:color="auto" w:fill="FFFFFF" w:themeFill="background1"/>
            <w:noWrap/>
            <w:vAlign w:val="center"/>
            <w:hideMark/>
          </w:tcPr>
          <w:p w14:paraId="30F337CC" w14:textId="77777777" w:rsidR="003C1890" w:rsidRPr="003C1890" w:rsidRDefault="003C1890" w:rsidP="0078225A">
            <w:pPr>
              <w:spacing w:after="0" w:line="240" w:lineRule="auto"/>
              <w:rPr>
                <w:rFonts w:cs="Arial"/>
                <w:sz w:val="20"/>
              </w:rPr>
            </w:pPr>
            <w:r w:rsidRPr="003C1890">
              <w:rPr>
                <w:rFonts w:cs="Arial"/>
                <w:sz w:val="20"/>
              </w:rPr>
              <w:t>17</w:t>
            </w:r>
          </w:p>
        </w:tc>
        <w:tc>
          <w:tcPr>
            <w:tcW w:w="2160" w:type="dxa"/>
            <w:shd w:val="clear" w:color="auto" w:fill="FFFFFF" w:themeFill="background1"/>
            <w:noWrap/>
            <w:vAlign w:val="center"/>
            <w:hideMark/>
          </w:tcPr>
          <w:p w14:paraId="7DB05077" w14:textId="77777777" w:rsidR="003C1890" w:rsidRPr="003C1890" w:rsidRDefault="003C1890" w:rsidP="0078225A">
            <w:pPr>
              <w:spacing w:after="0" w:line="240" w:lineRule="auto"/>
              <w:jc w:val="both"/>
              <w:rPr>
                <w:rFonts w:cs="Arial"/>
                <w:sz w:val="20"/>
              </w:rPr>
            </w:pPr>
            <w:r w:rsidRPr="003C1890">
              <w:rPr>
                <w:rFonts w:cs="Arial"/>
                <w:sz w:val="20"/>
              </w:rPr>
              <w:t>Ciprofloxacin</w:t>
            </w:r>
          </w:p>
        </w:tc>
        <w:tc>
          <w:tcPr>
            <w:tcW w:w="495" w:type="dxa"/>
            <w:shd w:val="clear" w:color="auto" w:fill="FFFFFF" w:themeFill="background1"/>
            <w:noWrap/>
            <w:vAlign w:val="center"/>
            <w:hideMark/>
          </w:tcPr>
          <w:p w14:paraId="700BF0BF" w14:textId="77777777" w:rsidR="003C1890" w:rsidRPr="003C1890" w:rsidRDefault="003C1890" w:rsidP="0078225A">
            <w:pPr>
              <w:spacing w:after="0" w:line="240" w:lineRule="auto"/>
              <w:jc w:val="center"/>
              <w:rPr>
                <w:rFonts w:cs="Arial"/>
                <w:sz w:val="20"/>
              </w:rPr>
            </w:pPr>
            <w:r w:rsidRPr="003C1890">
              <w:rPr>
                <w:rFonts w:cs="Arial"/>
                <w:sz w:val="20"/>
              </w:rPr>
              <w:t>2.9</w:t>
            </w:r>
          </w:p>
        </w:tc>
        <w:tc>
          <w:tcPr>
            <w:tcW w:w="239" w:type="dxa"/>
            <w:shd w:val="clear" w:color="auto" w:fill="FFFFFF" w:themeFill="background1"/>
          </w:tcPr>
          <w:p w14:paraId="4FED66D5"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151FB19F" w14:textId="2FBBBA78" w:rsidR="003C1890" w:rsidRPr="003C1890" w:rsidRDefault="003C1890" w:rsidP="0078225A">
            <w:pPr>
              <w:spacing w:after="0" w:line="240" w:lineRule="auto"/>
              <w:rPr>
                <w:rFonts w:cs="Arial"/>
                <w:sz w:val="20"/>
              </w:rPr>
            </w:pPr>
            <w:r w:rsidRPr="003C1890">
              <w:rPr>
                <w:rFonts w:cs="Arial"/>
                <w:sz w:val="20"/>
              </w:rPr>
              <w:t xml:space="preserve">Albuterol </w:t>
            </w:r>
          </w:p>
        </w:tc>
        <w:tc>
          <w:tcPr>
            <w:tcW w:w="495" w:type="dxa"/>
            <w:shd w:val="clear" w:color="auto" w:fill="FFFFFF" w:themeFill="background1"/>
            <w:vAlign w:val="center"/>
          </w:tcPr>
          <w:p w14:paraId="7BEDD954" w14:textId="77777777" w:rsidR="003C1890" w:rsidRPr="003C1890" w:rsidRDefault="003C1890" w:rsidP="0078225A">
            <w:pPr>
              <w:spacing w:after="0" w:line="240" w:lineRule="auto"/>
              <w:jc w:val="center"/>
              <w:rPr>
                <w:rFonts w:cs="Arial"/>
                <w:sz w:val="20"/>
              </w:rPr>
            </w:pPr>
            <w:r w:rsidRPr="003C1890">
              <w:rPr>
                <w:rFonts w:cs="Arial"/>
                <w:sz w:val="20"/>
              </w:rPr>
              <w:t>2.7</w:t>
            </w:r>
          </w:p>
        </w:tc>
        <w:tc>
          <w:tcPr>
            <w:tcW w:w="225" w:type="dxa"/>
            <w:shd w:val="clear" w:color="auto" w:fill="FFFFFF" w:themeFill="background1"/>
          </w:tcPr>
          <w:p w14:paraId="02E5019B"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6EB77109" w14:textId="0CE9DD8C" w:rsidR="003C1890" w:rsidRPr="003C1890" w:rsidRDefault="003C1890" w:rsidP="0078225A">
            <w:pPr>
              <w:spacing w:after="0" w:line="240" w:lineRule="auto"/>
              <w:rPr>
                <w:rFonts w:cs="Arial"/>
                <w:sz w:val="20"/>
              </w:rPr>
            </w:pPr>
            <w:r w:rsidRPr="003C1890">
              <w:rPr>
                <w:rFonts w:cs="Arial"/>
                <w:sz w:val="20"/>
              </w:rPr>
              <w:t>Mirtazapine</w:t>
            </w:r>
          </w:p>
        </w:tc>
        <w:tc>
          <w:tcPr>
            <w:tcW w:w="495" w:type="dxa"/>
            <w:shd w:val="clear" w:color="auto" w:fill="FFFFFF" w:themeFill="background1"/>
            <w:vAlign w:val="center"/>
          </w:tcPr>
          <w:p w14:paraId="0E785A7D" w14:textId="77777777" w:rsidR="003C1890" w:rsidRPr="003C1890" w:rsidRDefault="003C1890" w:rsidP="0078225A">
            <w:pPr>
              <w:spacing w:after="0" w:line="240" w:lineRule="auto"/>
              <w:jc w:val="center"/>
              <w:rPr>
                <w:rFonts w:cs="Arial"/>
                <w:sz w:val="20"/>
              </w:rPr>
            </w:pPr>
            <w:r w:rsidRPr="003C1890">
              <w:rPr>
                <w:rFonts w:cs="Arial"/>
                <w:sz w:val="20"/>
              </w:rPr>
              <w:t>3.3</w:t>
            </w:r>
          </w:p>
        </w:tc>
      </w:tr>
      <w:tr w:rsidR="003C1890" w:rsidRPr="00272761" w14:paraId="66169265" w14:textId="77777777" w:rsidTr="00C26A79">
        <w:trPr>
          <w:trHeight w:val="144"/>
          <w:jc w:val="center"/>
        </w:trPr>
        <w:tc>
          <w:tcPr>
            <w:tcW w:w="706" w:type="dxa"/>
            <w:shd w:val="clear" w:color="auto" w:fill="FFFFFF" w:themeFill="background1"/>
            <w:noWrap/>
            <w:vAlign w:val="center"/>
            <w:hideMark/>
          </w:tcPr>
          <w:p w14:paraId="7B4C083D" w14:textId="77777777" w:rsidR="003C1890" w:rsidRPr="003C1890" w:rsidRDefault="003C1890" w:rsidP="0078225A">
            <w:pPr>
              <w:spacing w:after="0" w:line="240" w:lineRule="auto"/>
              <w:rPr>
                <w:rFonts w:cs="Arial"/>
                <w:sz w:val="20"/>
              </w:rPr>
            </w:pPr>
            <w:r w:rsidRPr="003C1890">
              <w:rPr>
                <w:rFonts w:cs="Arial"/>
                <w:sz w:val="20"/>
              </w:rPr>
              <w:t>18</w:t>
            </w:r>
          </w:p>
        </w:tc>
        <w:tc>
          <w:tcPr>
            <w:tcW w:w="2160" w:type="dxa"/>
            <w:shd w:val="clear" w:color="auto" w:fill="FFFFFF" w:themeFill="background1"/>
            <w:noWrap/>
            <w:vAlign w:val="center"/>
            <w:hideMark/>
          </w:tcPr>
          <w:p w14:paraId="2EE50D6A" w14:textId="77777777" w:rsidR="003C1890" w:rsidRPr="003C1890" w:rsidRDefault="003C1890" w:rsidP="0078225A">
            <w:pPr>
              <w:spacing w:after="0" w:line="240" w:lineRule="auto"/>
              <w:jc w:val="both"/>
              <w:rPr>
                <w:rFonts w:cs="Arial"/>
                <w:sz w:val="20"/>
              </w:rPr>
            </w:pPr>
            <w:r w:rsidRPr="003C1890">
              <w:rPr>
                <w:rFonts w:cs="Arial"/>
                <w:sz w:val="20"/>
              </w:rPr>
              <w:t xml:space="preserve">Albuterol </w:t>
            </w:r>
          </w:p>
        </w:tc>
        <w:tc>
          <w:tcPr>
            <w:tcW w:w="495" w:type="dxa"/>
            <w:shd w:val="clear" w:color="auto" w:fill="FFFFFF" w:themeFill="background1"/>
            <w:noWrap/>
            <w:vAlign w:val="center"/>
            <w:hideMark/>
          </w:tcPr>
          <w:p w14:paraId="24405BB9" w14:textId="77777777" w:rsidR="003C1890" w:rsidRPr="003C1890" w:rsidRDefault="003C1890" w:rsidP="0078225A">
            <w:pPr>
              <w:spacing w:after="0" w:line="240" w:lineRule="auto"/>
              <w:jc w:val="center"/>
              <w:rPr>
                <w:rFonts w:cs="Arial"/>
                <w:sz w:val="20"/>
              </w:rPr>
            </w:pPr>
            <w:r w:rsidRPr="003C1890">
              <w:rPr>
                <w:rFonts w:cs="Arial"/>
                <w:sz w:val="20"/>
              </w:rPr>
              <w:t>2.9</w:t>
            </w:r>
          </w:p>
        </w:tc>
        <w:tc>
          <w:tcPr>
            <w:tcW w:w="239" w:type="dxa"/>
            <w:shd w:val="clear" w:color="auto" w:fill="FFFFFF" w:themeFill="background1"/>
          </w:tcPr>
          <w:p w14:paraId="413566E7"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540B953B" w14:textId="618EE007" w:rsidR="003C1890" w:rsidRPr="003C1890" w:rsidRDefault="003C1890" w:rsidP="0078225A">
            <w:pPr>
              <w:spacing w:after="0" w:line="240" w:lineRule="auto"/>
              <w:rPr>
                <w:rFonts w:cs="Arial"/>
                <w:sz w:val="20"/>
              </w:rPr>
            </w:pPr>
            <w:r w:rsidRPr="003C1890">
              <w:rPr>
                <w:rFonts w:cs="Arial"/>
                <w:sz w:val="20"/>
              </w:rPr>
              <w:t xml:space="preserve">Zolpidem </w:t>
            </w:r>
          </w:p>
        </w:tc>
        <w:tc>
          <w:tcPr>
            <w:tcW w:w="495" w:type="dxa"/>
            <w:shd w:val="clear" w:color="auto" w:fill="FFFFFF" w:themeFill="background1"/>
            <w:vAlign w:val="center"/>
          </w:tcPr>
          <w:p w14:paraId="5B68EE25" w14:textId="77777777" w:rsidR="003C1890" w:rsidRPr="003C1890" w:rsidRDefault="003C1890" w:rsidP="0078225A">
            <w:pPr>
              <w:spacing w:after="0" w:line="240" w:lineRule="auto"/>
              <w:jc w:val="center"/>
              <w:rPr>
                <w:rFonts w:cs="Arial"/>
                <w:sz w:val="20"/>
              </w:rPr>
            </w:pPr>
            <w:r w:rsidRPr="003C1890">
              <w:rPr>
                <w:rFonts w:cs="Arial"/>
                <w:sz w:val="20"/>
              </w:rPr>
              <w:t>2.7</w:t>
            </w:r>
          </w:p>
        </w:tc>
        <w:tc>
          <w:tcPr>
            <w:tcW w:w="225" w:type="dxa"/>
            <w:shd w:val="clear" w:color="auto" w:fill="FFFFFF" w:themeFill="background1"/>
          </w:tcPr>
          <w:p w14:paraId="610DE86B"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6384E8FE" w14:textId="267B3E33" w:rsidR="003C1890" w:rsidRPr="003C1890" w:rsidRDefault="003C1890" w:rsidP="0078225A">
            <w:pPr>
              <w:spacing w:after="0" w:line="240" w:lineRule="auto"/>
              <w:rPr>
                <w:rFonts w:cs="Arial"/>
                <w:sz w:val="20"/>
              </w:rPr>
            </w:pPr>
            <w:r w:rsidRPr="003C1890">
              <w:rPr>
                <w:rFonts w:cs="Arial"/>
                <w:sz w:val="20"/>
              </w:rPr>
              <w:t xml:space="preserve">Albuterol </w:t>
            </w:r>
          </w:p>
        </w:tc>
        <w:tc>
          <w:tcPr>
            <w:tcW w:w="495" w:type="dxa"/>
            <w:shd w:val="clear" w:color="auto" w:fill="FFFFFF" w:themeFill="background1"/>
            <w:vAlign w:val="center"/>
          </w:tcPr>
          <w:p w14:paraId="7CEB3328" w14:textId="77777777" w:rsidR="003C1890" w:rsidRPr="003C1890" w:rsidRDefault="003C1890" w:rsidP="0078225A">
            <w:pPr>
              <w:spacing w:after="0" w:line="240" w:lineRule="auto"/>
              <w:jc w:val="center"/>
              <w:rPr>
                <w:rFonts w:cs="Arial"/>
                <w:sz w:val="20"/>
              </w:rPr>
            </w:pPr>
            <w:r w:rsidRPr="003C1890">
              <w:rPr>
                <w:rFonts w:cs="Arial"/>
                <w:sz w:val="20"/>
              </w:rPr>
              <w:t>3.2</w:t>
            </w:r>
          </w:p>
        </w:tc>
      </w:tr>
      <w:tr w:rsidR="003C1890" w:rsidRPr="00272761" w14:paraId="7ABB3390" w14:textId="77777777" w:rsidTr="00C26A79">
        <w:trPr>
          <w:trHeight w:val="144"/>
          <w:jc w:val="center"/>
        </w:trPr>
        <w:tc>
          <w:tcPr>
            <w:tcW w:w="706" w:type="dxa"/>
            <w:shd w:val="clear" w:color="auto" w:fill="FFFFFF" w:themeFill="background1"/>
            <w:noWrap/>
            <w:vAlign w:val="center"/>
            <w:hideMark/>
          </w:tcPr>
          <w:p w14:paraId="0AFB191E" w14:textId="77777777" w:rsidR="003C1890" w:rsidRPr="003C1890" w:rsidRDefault="003C1890" w:rsidP="0078225A">
            <w:pPr>
              <w:spacing w:after="0" w:line="240" w:lineRule="auto"/>
              <w:rPr>
                <w:rFonts w:cs="Arial"/>
                <w:sz w:val="20"/>
              </w:rPr>
            </w:pPr>
            <w:r w:rsidRPr="003C1890">
              <w:rPr>
                <w:rFonts w:cs="Arial"/>
                <w:sz w:val="20"/>
              </w:rPr>
              <w:t>19</w:t>
            </w:r>
          </w:p>
        </w:tc>
        <w:tc>
          <w:tcPr>
            <w:tcW w:w="2160" w:type="dxa"/>
            <w:shd w:val="clear" w:color="auto" w:fill="FFFFFF" w:themeFill="background1"/>
            <w:noWrap/>
            <w:vAlign w:val="center"/>
            <w:hideMark/>
          </w:tcPr>
          <w:p w14:paraId="5DFF4101" w14:textId="77777777" w:rsidR="003C1890" w:rsidRPr="003C1890" w:rsidRDefault="003C1890" w:rsidP="0078225A">
            <w:pPr>
              <w:spacing w:after="0" w:line="240" w:lineRule="auto"/>
              <w:jc w:val="both"/>
              <w:rPr>
                <w:rFonts w:cs="Arial"/>
                <w:sz w:val="20"/>
              </w:rPr>
            </w:pPr>
            <w:r w:rsidRPr="003C1890">
              <w:rPr>
                <w:rFonts w:cs="Arial"/>
                <w:sz w:val="20"/>
              </w:rPr>
              <w:t xml:space="preserve">Warfarin </w:t>
            </w:r>
          </w:p>
        </w:tc>
        <w:tc>
          <w:tcPr>
            <w:tcW w:w="495" w:type="dxa"/>
            <w:shd w:val="clear" w:color="auto" w:fill="FFFFFF" w:themeFill="background1"/>
            <w:noWrap/>
            <w:vAlign w:val="center"/>
            <w:hideMark/>
          </w:tcPr>
          <w:p w14:paraId="246DAA8B" w14:textId="77777777" w:rsidR="003C1890" w:rsidRPr="003C1890" w:rsidRDefault="003C1890" w:rsidP="0078225A">
            <w:pPr>
              <w:spacing w:after="0" w:line="240" w:lineRule="auto"/>
              <w:jc w:val="center"/>
              <w:rPr>
                <w:rFonts w:cs="Arial"/>
                <w:sz w:val="20"/>
              </w:rPr>
            </w:pPr>
            <w:r w:rsidRPr="003C1890">
              <w:rPr>
                <w:rFonts w:cs="Arial"/>
                <w:sz w:val="20"/>
              </w:rPr>
              <w:t>2.8</w:t>
            </w:r>
          </w:p>
        </w:tc>
        <w:tc>
          <w:tcPr>
            <w:tcW w:w="239" w:type="dxa"/>
            <w:shd w:val="clear" w:color="auto" w:fill="FFFFFF" w:themeFill="background1"/>
          </w:tcPr>
          <w:p w14:paraId="3E1CAE5E"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1E344E8B" w14:textId="38B97726" w:rsidR="003C1890" w:rsidRPr="003C1890" w:rsidRDefault="003C1890" w:rsidP="0078225A">
            <w:pPr>
              <w:spacing w:after="0" w:line="240" w:lineRule="auto"/>
              <w:rPr>
                <w:rFonts w:cs="Arial"/>
                <w:sz w:val="20"/>
              </w:rPr>
            </w:pPr>
            <w:r w:rsidRPr="003C1890">
              <w:rPr>
                <w:rFonts w:cs="Arial"/>
                <w:sz w:val="20"/>
              </w:rPr>
              <w:t xml:space="preserve">Warfarin </w:t>
            </w:r>
          </w:p>
        </w:tc>
        <w:tc>
          <w:tcPr>
            <w:tcW w:w="495" w:type="dxa"/>
            <w:shd w:val="clear" w:color="auto" w:fill="FFFFFF" w:themeFill="background1"/>
            <w:vAlign w:val="center"/>
          </w:tcPr>
          <w:p w14:paraId="57B5FF3D" w14:textId="77777777" w:rsidR="003C1890" w:rsidRPr="003C1890" w:rsidRDefault="003C1890" w:rsidP="0078225A">
            <w:pPr>
              <w:spacing w:after="0" w:line="240" w:lineRule="auto"/>
              <w:jc w:val="center"/>
              <w:rPr>
                <w:rFonts w:cs="Arial"/>
                <w:sz w:val="20"/>
              </w:rPr>
            </w:pPr>
            <w:r w:rsidRPr="003C1890">
              <w:rPr>
                <w:rFonts w:cs="Arial"/>
                <w:sz w:val="20"/>
              </w:rPr>
              <w:t>2.6</w:t>
            </w:r>
          </w:p>
        </w:tc>
        <w:tc>
          <w:tcPr>
            <w:tcW w:w="225" w:type="dxa"/>
            <w:shd w:val="clear" w:color="auto" w:fill="FFFFFF" w:themeFill="background1"/>
          </w:tcPr>
          <w:p w14:paraId="520B8FC2"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7C0DB1B4" w14:textId="6D9A430F" w:rsidR="003C1890" w:rsidRPr="003C1890" w:rsidRDefault="003C1890" w:rsidP="0078225A">
            <w:pPr>
              <w:spacing w:after="0" w:line="240" w:lineRule="auto"/>
              <w:rPr>
                <w:rFonts w:cs="Arial"/>
                <w:sz w:val="20"/>
              </w:rPr>
            </w:pPr>
            <w:r w:rsidRPr="003C1890">
              <w:rPr>
                <w:rFonts w:cs="Arial"/>
                <w:sz w:val="20"/>
              </w:rPr>
              <w:t>Carvedilol</w:t>
            </w:r>
          </w:p>
        </w:tc>
        <w:tc>
          <w:tcPr>
            <w:tcW w:w="495" w:type="dxa"/>
            <w:shd w:val="clear" w:color="auto" w:fill="FFFFFF" w:themeFill="background1"/>
            <w:vAlign w:val="center"/>
          </w:tcPr>
          <w:p w14:paraId="346751D5" w14:textId="77777777" w:rsidR="003C1890" w:rsidRPr="003C1890" w:rsidRDefault="003C1890" w:rsidP="0078225A">
            <w:pPr>
              <w:spacing w:after="0" w:line="240" w:lineRule="auto"/>
              <w:jc w:val="center"/>
              <w:rPr>
                <w:rFonts w:cs="Arial"/>
                <w:sz w:val="20"/>
              </w:rPr>
            </w:pPr>
            <w:r w:rsidRPr="003C1890">
              <w:rPr>
                <w:rFonts w:cs="Arial"/>
                <w:sz w:val="20"/>
              </w:rPr>
              <w:t>3.1</w:t>
            </w:r>
          </w:p>
        </w:tc>
      </w:tr>
      <w:tr w:rsidR="003C1890" w:rsidRPr="00272761" w14:paraId="4C8B04E9" w14:textId="77777777" w:rsidTr="00C26A79">
        <w:trPr>
          <w:trHeight w:val="144"/>
          <w:jc w:val="center"/>
        </w:trPr>
        <w:tc>
          <w:tcPr>
            <w:tcW w:w="706" w:type="dxa"/>
            <w:shd w:val="clear" w:color="auto" w:fill="FFFFFF" w:themeFill="background1"/>
            <w:noWrap/>
            <w:vAlign w:val="center"/>
            <w:hideMark/>
          </w:tcPr>
          <w:p w14:paraId="7AB61DAF" w14:textId="77777777" w:rsidR="003C1890" w:rsidRPr="003C1890" w:rsidRDefault="003C1890" w:rsidP="0078225A">
            <w:pPr>
              <w:spacing w:after="0" w:line="240" w:lineRule="auto"/>
              <w:rPr>
                <w:rFonts w:cs="Arial"/>
                <w:sz w:val="20"/>
              </w:rPr>
            </w:pPr>
            <w:r w:rsidRPr="003C1890">
              <w:rPr>
                <w:rFonts w:cs="Arial"/>
                <w:sz w:val="20"/>
              </w:rPr>
              <w:t>20</w:t>
            </w:r>
          </w:p>
        </w:tc>
        <w:tc>
          <w:tcPr>
            <w:tcW w:w="2160" w:type="dxa"/>
            <w:shd w:val="clear" w:color="auto" w:fill="FFFFFF" w:themeFill="background1"/>
            <w:noWrap/>
            <w:vAlign w:val="center"/>
            <w:hideMark/>
          </w:tcPr>
          <w:p w14:paraId="379DC4E0" w14:textId="77777777" w:rsidR="003C1890" w:rsidRPr="003C1890" w:rsidRDefault="003C1890" w:rsidP="0078225A">
            <w:pPr>
              <w:spacing w:after="0" w:line="240" w:lineRule="auto"/>
              <w:jc w:val="both"/>
              <w:rPr>
                <w:rFonts w:cs="Arial"/>
                <w:sz w:val="20"/>
              </w:rPr>
            </w:pPr>
            <w:r w:rsidRPr="003C1890">
              <w:rPr>
                <w:rFonts w:cs="Arial"/>
                <w:sz w:val="20"/>
              </w:rPr>
              <w:t xml:space="preserve">Donepezil </w:t>
            </w:r>
          </w:p>
        </w:tc>
        <w:tc>
          <w:tcPr>
            <w:tcW w:w="495" w:type="dxa"/>
            <w:shd w:val="clear" w:color="auto" w:fill="FFFFFF" w:themeFill="background1"/>
            <w:noWrap/>
            <w:vAlign w:val="center"/>
            <w:hideMark/>
          </w:tcPr>
          <w:p w14:paraId="3A969A6B" w14:textId="77777777" w:rsidR="003C1890" w:rsidRPr="003C1890" w:rsidRDefault="003C1890" w:rsidP="0078225A">
            <w:pPr>
              <w:spacing w:after="0" w:line="240" w:lineRule="auto"/>
              <w:jc w:val="center"/>
              <w:rPr>
                <w:rFonts w:cs="Arial"/>
                <w:sz w:val="20"/>
              </w:rPr>
            </w:pPr>
            <w:r w:rsidRPr="003C1890">
              <w:rPr>
                <w:rFonts w:cs="Arial"/>
                <w:sz w:val="20"/>
              </w:rPr>
              <w:t>2.7</w:t>
            </w:r>
          </w:p>
        </w:tc>
        <w:tc>
          <w:tcPr>
            <w:tcW w:w="239" w:type="dxa"/>
            <w:shd w:val="clear" w:color="auto" w:fill="FFFFFF" w:themeFill="background1"/>
          </w:tcPr>
          <w:p w14:paraId="361150DA"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3EAEDAEE" w14:textId="6D5A2383" w:rsidR="003C1890" w:rsidRPr="003C1890" w:rsidRDefault="003C1890" w:rsidP="0078225A">
            <w:pPr>
              <w:spacing w:after="0" w:line="240" w:lineRule="auto"/>
              <w:rPr>
                <w:rFonts w:cs="Arial"/>
                <w:sz w:val="20"/>
              </w:rPr>
            </w:pPr>
            <w:r w:rsidRPr="003C1890">
              <w:rPr>
                <w:rFonts w:cs="Arial"/>
                <w:sz w:val="20"/>
              </w:rPr>
              <w:t xml:space="preserve">Diltiazem </w:t>
            </w:r>
          </w:p>
        </w:tc>
        <w:tc>
          <w:tcPr>
            <w:tcW w:w="495" w:type="dxa"/>
            <w:shd w:val="clear" w:color="auto" w:fill="FFFFFF" w:themeFill="background1"/>
            <w:vAlign w:val="center"/>
          </w:tcPr>
          <w:p w14:paraId="5511B10E" w14:textId="77777777" w:rsidR="003C1890" w:rsidRPr="003C1890" w:rsidRDefault="003C1890" w:rsidP="0078225A">
            <w:pPr>
              <w:spacing w:after="0" w:line="240" w:lineRule="auto"/>
              <w:jc w:val="center"/>
              <w:rPr>
                <w:rFonts w:cs="Arial"/>
                <w:sz w:val="20"/>
              </w:rPr>
            </w:pPr>
            <w:r w:rsidRPr="003C1890">
              <w:rPr>
                <w:rFonts w:cs="Arial"/>
                <w:sz w:val="20"/>
              </w:rPr>
              <w:t>2.6</w:t>
            </w:r>
          </w:p>
        </w:tc>
        <w:tc>
          <w:tcPr>
            <w:tcW w:w="225" w:type="dxa"/>
            <w:shd w:val="clear" w:color="auto" w:fill="FFFFFF" w:themeFill="background1"/>
          </w:tcPr>
          <w:p w14:paraId="5774F2EC"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22C242B3" w14:textId="2096E251" w:rsidR="003C1890" w:rsidRPr="003C1890" w:rsidRDefault="003C1890" w:rsidP="0078225A">
            <w:pPr>
              <w:spacing w:after="0" w:line="240" w:lineRule="auto"/>
              <w:rPr>
                <w:rFonts w:cs="Arial"/>
                <w:sz w:val="20"/>
              </w:rPr>
            </w:pPr>
            <w:r w:rsidRPr="003C1890">
              <w:rPr>
                <w:rFonts w:cs="Arial"/>
                <w:sz w:val="20"/>
              </w:rPr>
              <w:t xml:space="preserve">Clopidogrel </w:t>
            </w:r>
          </w:p>
        </w:tc>
        <w:tc>
          <w:tcPr>
            <w:tcW w:w="495" w:type="dxa"/>
            <w:shd w:val="clear" w:color="auto" w:fill="FFFFFF" w:themeFill="background1"/>
            <w:vAlign w:val="center"/>
          </w:tcPr>
          <w:p w14:paraId="118593FD" w14:textId="77777777" w:rsidR="003C1890" w:rsidRPr="003C1890" w:rsidRDefault="003C1890" w:rsidP="0078225A">
            <w:pPr>
              <w:spacing w:after="0" w:line="240" w:lineRule="auto"/>
              <w:jc w:val="center"/>
              <w:rPr>
                <w:rFonts w:cs="Arial"/>
                <w:sz w:val="20"/>
              </w:rPr>
            </w:pPr>
            <w:r w:rsidRPr="003C1890">
              <w:rPr>
                <w:rFonts w:cs="Arial"/>
                <w:sz w:val="20"/>
              </w:rPr>
              <w:t>3.1</w:t>
            </w:r>
          </w:p>
        </w:tc>
      </w:tr>
      <w:tr w:rsidR="003C1890" w:rsidRPr="00272761" w14:paraId="0B215746" w14:textId="77777777" w:rsidTr="00C26A79">
        <w:trPr>
          <w:trHeight w:val="144"/>
          <w:jc w:val="center"/>
        </w:trPr>
        <w:tc>
          <w:tcPr>
            <w:tcW w:w="706" w:type="dxa"/>
            <w:shd w:val="clear" w:color="auto" w:fill="FFFFFF" w:themeFill="background1"/>
            <w:noWrap/>
            <w:vAlign w:val="center"/>
            <w:hideMark/>
          </w:tcPr>
          <w:p w14:paraId="0C483ABC" w14:textId="77777777" w:rsidR="003C1890" w:rsidRPr="003C1890" w:rsidRDefault="003C1890" w:rsidP="0078225A">
            <w:pPr>
              <w:spacing w:after="0" w:line="240" w:lineRule="auto"/>
              <w:rPr>
                <w:rFonts w:cs="Arial"/>
                <w:sz w:val="20"/>
              </w:rPr>
            </w:pPr>
            <w:r w:rsidRPr="003C1890">
              <w:rPr>
                <w:rFonts w:cs="Arial"/>
                <w:sz w:val="20"/>
              </w:rPr>
              <w:t>21</w:t>
            </w:r>
          </w:p>
        </w:tc>
        <w:tc>
          <w:tcPr>
            <w:tcW w:w="2160" w:type="dxa"/>
            <w:shd w:val="clear" w:color="auto" w:fill="FFFFFF" w:themeFill="background1"/>
            <w:noWrap/>
            <w:vAlign w:val="center"/>
            <w:hideMark/>
          </w:tcPr>
          <w:p w14:paraId="4A01FAD7" w14:textId="77777777" w:rsidR="003C1890" w:rsidRPr="003C1890" w:rsidRDefault="003C1890" w:rsidP="0078225A">
            <w:pPr>
              <w:spacing w:after="0" w:line="240" w:lineRule="auto"/>
              <w:jc w:val="both"/>
              <w:rPr>
                <w:rFonts w:cs="Arial"/>
                <w:sz w:val="20"/>
              </w:rPr>
            </w:pPr>
            <w:r w:rsidRPr="003C1890">
              <w:rPr>
                <w:rFonts w:cs="Arial"/>
                <w:sz w:val="20"/>
              </w:rPr>
              <w:t xml:space="preserve">Pantoprazole </w:t>
            </w:r>
          </w:p>
        </w:tc>
        <w:tc>
          <w:tcPr>
            <w:tcW w:w="495" w:type="dxa"/>
            <w:shd w:val="clear" w:color="auto" w:fill="FFFFFF" w:themeFill="background1"/>
            <w:noWrap/>
            <w:vAlign w:val="center"/>
            <w:hideMark/>
          </w:tcPr>
          <w:p w14:paraId="4900DAF4" w14:textId="77777777" w:rsidR="003C1890" w:rsidRPr="003C1890" w:rsidRDefault="003C1890" w:rsidP="0078225A">
            <w:pPr>
              <w:spacing w:after="0" w:line="240" w:lineRule="auto"/>
              <w:jc w:val="center"/>
              <w:rPr>
                <w:rFonts w:cs="Arial"/>
                <w:sz w:val="20"/>
              </w:rPr>
            </w:pPr>
            <w:r w:rsidRPr="003C1890">
              <w:rPr>
                <w:rFonts w:cs="Arial"/>
                <w:sz w:val="20"/>
              </w:rPr>
              <w:t>2.7</w:t>
            </w:r>
          </w:p>
        </w:tc>
        <w:tc>
          <w:tcPr>
            <w:tcW w:w="239" w:type="dxa"/>
            <w:shd w:val="clear" w:color="auto" w:fill="FFFFFF" w:themeFill="background1"/>
          </w:tcPr>
          <w:p w14:paraId="25512AB9"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40DC9C1B" w14:textId="51578333" w:rsidR="003C1890" w:rsidRPr="003C1890" w:rsidRDefault="003C1890" w:rsidP="0078225A">
            <w:pPr>
              <w:spacing w:after="0" w:line="240" w:lineRule="auto"/>
              <w:rPr>
                <w:rFonts w:cs="Arial"/>
                <w:sz w:val="20"/>
              </w:rPr>
            </w:pPr>
            <w:r w:rsidRPr="003C1890">
              <w:rPr>
                <w:rFonts w:cs="Arial"/>
                <w:sz w:val="20"/>
              </w:rPr>
              <w:t>Dexamethasone</w:t>
            </w:r>
          </w:p>
        </w:tc>
        <w:tc>
          <w:tcPr>
            <w:tcW w:w="495" w:type="dxa"/>
            <w:shd w:val="clear" w:color="auto" w:fill="FFFFFF" w:themeFill="background1"/>
            <w:vAlign w:val="center"/>
          </w:tcPr>
          <w:p w14:paraId="6A5D8D00" w14:textId="77777777" w:rsidR="003C1890" w:rsidRPr="003C1890" w:rsidRDefault="003C1890" w:rsidP="0078225A">
            <w:pPr>
              <w:spacing w:after="0" w:line="240" w:lineRule="auto"/>
              <w:jc w:val="center"/>
              <w:rPr>
                <w:rFonts w:cs="Arial"/>
                <w:sz w:val="20"/>
              </w:rPr>
            </w:pPr>
            <w:r w:rsidRPr="003C1890">
              <w:rPr>
                <w:rFonts w:cs="Arial"/>
                <w:sz w:val="20"/>
              </w:rPr>
              <w:t>2.6</w:t>
            </w:r>
          </w:p>
        </w:tc>
        <w:tc>
          <w:tcPr>
            <w:tcW w:w="225" w:type="dxa"/>
            <w:shd w:val="clear" w:color="auto" w:fill="FFFFFF" w:themeFill="background1"/>
          </w:tcPr>
          <w:p w14:paraId="3746684B"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21F726FF" w14:textId="3C983C19" w:rsidR="003C1890" w:rsidRPr="003C1890" w:rsidRDefault="003C1890" w:rsidP="0078225A">
            <w:pPr>
              <w:spacing w:after="0" w:line="240" w:lineRule="auto"/>
              <w:rPr>
                <w:rFonts w:cs="Arial"/>
                <w:sz w:val="20"/>
              </w:rPr>
            </w:pPr>
            <w:r w:rsidRPr="003C1890">
              <w:rPr>
                <w:rFonts w:cs="Arial"/>
                <w:sz w:val="20"/>
              </w:rPr>
              <w:t xml:space="preserve">Warfarin </w:t>
            </w:r>
          </w:p>
        </w:tc>
        <w:tc>
          <w:tcPr>
            <w:tcW w:w="495" w:type="dxa"/>
            <w:shd w:val="clear" w:color="auto" w:fill="FFFFFF" w:themeFill="background1"/>
            <w:vAlign w:val="center"/>
          </w:tcPr>
          <w:p w14:paraId="219FD0FE" w14:textId="77777777" w:rsidR="003C1890" w:rsidRPr="003C1890" w:rsidRDefault="003C1890" w:rsidP="0078225A">
            <w:pPr>
              <w:spacing w:after="0" w:line="240" w:lineRule="auto"/>
              <w:jc w:val="center"/>
              <w:rPr>
                <w:rFonts w:cs="Arial"/>
                <w:sz w:val="20"/>
              </w:rPr>
            </w:pPr>
            <w:r w:rsidRPr="003C1890">
              <w:rPr>
                <w:rFonts w:cs="Arial"/>
                <w:sz w:val="20"/>
              </w:rPr>
              <w:t>3.1</w:t>
            </w:r>
          </w:p>
        </w:tc>
      </w:tr>
      <w:tr w:rsidR="003C1890" w:rsidRPr="00272761" w14:paraId="6378A0BF" w14:textId="77777777" w:rsidTr="00C26A79">
        <w:trPr>
          <w:trHeight w:val="144"/>
          <w:jc w:val="center"/>
        </w:trPr>
        <w:tc>
          <w:tcPr>
            <w:tcW w:w="706" w:type="dxa"/>
            <w:shd w:val="clear" w:color="auto" w:fill="FFFFFF" w:themeFill="background1"/>
            <w:noWrap/>
            <w:vAlign w:val="center"/>
            <w:hideMark/>
          </w:tcPr>
          <w:p w14:paraId="191DD859" w14:textId="77777777" w:rsidR="003C1890" w:rsidRPr="003C1890" w:rsidRDefault="003C1890" w:rsidP="0078225A">
            <w:pPr>
              <w:spacing w:after="0" w:line="240" w:lineRule="auto"/>
              <w:rPr>
                <w:rFonts w:cs="Arial"/>
                <w:sz w:val="20"/>
              </w:rPr>
            </w:pPr>
            <w:r w:rsidRPr="003C1890">
              <w:rPr>
                <w:rFonts w:cs="Arial"/>
                <w:sz w:val="20"/>
              </w:rPr>
              <w:t>22</w:t>
            </w:r>
          </w:p>
        </w:tc>
        <w:tc>
          <w:tcPr>
            <w:tcW w:w="2160" w:type="dxa"/>
            <w:shd w:val="clear" w:color="auto" w:fill="FFFFFF" w:themeFill="background1"/>
            <w:noWrap/>
            <w:vAlign w:val="center"/>
            <w:hideMark/>
          </w:tcPr>
          <w:p w14:paraId="29017F7D" w14:textId="77777777" w:rsidR="003C1890" w:rsidRPr="003C1890" w:rsidRDefault="003C1890" w:rsidP="0078225A">
            <w:pPr>
              <w:spacing w:after="0" w:line="240" w:lineRule="auto"/>
              <w:jc w:val="both"/>
              <w:rPr>
                <w:rFonts w:cs="Arial"/>
                <w:sz w:val="20"/>
              </w:rPr>
            </w:pPr>
            <w:r w:rsidRPr="003C1890">
              <w:rPr>
                <w:rFonts w:cs="Arial"/>
                <w:sz w:val="20"/>
              </w:rPr>
              <w:t>Prednisone</w:t>
            </w:r>
          </w:p>
        </w:tc>
        <w:tc>
          <w:tcPr>
            <w:tcW w:w="495" w:type="dxa"/>
            <w:shd w:val="clear" w:color="auto" w:fill="FFFFFF" w:themeFill="background1"/>
            <w:noWrap/>
            <w:vAlign w:val="center"/>
            <w:hideMark/>
          </w:tcPr>
          <w:p w14:paraId="398497E2" w14:textId="77777777" w:rsidR="003C1890" w:rsidRPr="003C1890" w:rsidRDefault="003C1890" w:rsidP="0078225A">
            <w:pPr>
              <w:spacing w:after="0" w:line="240" w:lineRule="auto"/>
              <w:jc w:val="center"/>
              <w:rPr>
                <w:rFonts w:cs="Arial"/>
                <w:sz w:val="20"/>
              </w:rPr>
            </w:pPr>
            <w:r w:rsidRPr="003C1890">
              <w:rPr>
                <w:rFonts w:cs="Arial"/>
                <w:sz w:val="20"/>
              </w:rPr>
              <w:t>2.6</w:t>
            </w:r>
          </w:p>
        </w:tc>
        <w:tc>
          <w:tcPr>
            <w:tcW w:w="239" w:type="dxa"/>
            <w:shd w:val="clear" w:color="auto" w:fill="FFFFFF" w:themeFill="background1"/>
          </w:tcPr>
          <w:p w14:paraId="0ACA9C85"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2EC378CB" w14:textId="35E0C3F7" w:rsidR="003C1890" w:rsidRPr="003C1890" w:rsidRDefault="003C1890" w:rsidP="0078225A">
            <w:pPr>
              <w:spacing w:after="0" w:line="240" w:lineRule="auto"/>
              <w:rPr>
                <w:rFonts w:cs="Arial"/>
                <w:sz w:val="20"/>
              </w:rPr>
            </w:pPr>
            <w:r w:rsidRPr="003C1890">
              <w:rPr>
                <w:rFonts w:cs="Arial"/>
                <w:sz w:val="20"/>
              </w:rPr>
              <w:t>Metoprolol Succinate</w:t>
            </w:r>
          </w:p>
        </w:tc>
        <w:tc>
          <w:tcPr>
            <w:tcW w:w="495" w:type="dxa"/>
            <w:shd w:val="clear" w:color="auto" w:fill="FFFFFF" w:themeFill="background1"/>
            <w:vAlign w:val="center"/>
          </w:tcPr>
          <w:p w14:paraId="1BFDC65C" w14:textId="77777777" w:rsidR="003C1890" w:rsidRPr="003C1890" w:rsidRDefault="003C1890" w:rsidP="0078225A">
            <w:pPr>
              <w:spacing w:after="0" w:line="240" w:lineRule="auto"/>
              <w:jc w:val="center"/>
              <w:rPr>
                <w:rFonts w:cs="Arial"/>
                <w:sz w:val="20"/>
              </w:rPr>
            </w:pPr>
            <w:r w:rsidRPr="003C1890">
              <w:rPr>
                <w:rFonts w:cs="Arial"/>
                <w:sz w:val="20"/>
              </w:rPr>
              <w:t>2.6</w:t>
            </w:r>
          </w:p>
        </w:tc>
        <w:tc>
          <w:tcPr>
            <w:tcW w:w="225" w:type="dxa"/>
            <w:shd w:val="clear" w:color="auto" w:fill="FFFFFF" w:themeFill="background1"/>
          </w:tcPr>
          <w:p w14:paraId="7F10A33F"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71AF7D41" w14:textId="231BDD97" w:rsidR="003C1890" w:rsidRPr="003C1890" w:rsidRDefault="003C1890" w:rsidP="0078225A">
            <w:pPr>
              <w:spacing w:after="0" w:line="240" w:lineRule="auto"/>
              <w:rPr>
                <w:rFonts w:cs="Arial"/>
                <w:sz w:val="20"/>
              </w:rPr>
            </w:pPr>
            <w:r w:rsidRPr="003C1890">
              <w:rPr>
                <w:rFonts w:cs="Arial"/>
                <w:sz w:val="20"/>
              </w:rPr>
              <w:t>Prednisone</w:t>
            </w:r>
          </w:p>
        </w:tc>
        <w:tc>
          <w:tcPr>
            <w:tcW w:w="495" w:type="dxa"/>
            <w:shd w:val="clear" w:color="auto" w:fill="FFFFFF" w:themeFill="background1"/>
            <w:vAlign w:val="center"/>
          </w:tcPr>
          <w:p w14:paraId="74650B8A" w14:textId="77777777" w:rsidR="003C1890" w:rsidRPr="003C1890" w:rsidRDefault="003C1890" w:rsidP="0078225A">
            <w:pPr>
              <w:spacing w:after="0" w:line="240" w:lineRule="auto"/>
              <w:jc w:val="center"/>
              <w:rPr>
                <w:rFonts w:cs="Arial"/>
                <w:sz w:val="20"/>
              </w:rPr>
            </w:pPr>
            <w:r w:rsidRPr="003C1890">
              <w:rPr>
                <w:rFonts w:cs="Arial"/>
                <w:sz w:val="20"/>
              </w:rPr>
              <w:t>3.1</w:t>
            </w:r>
          </w:p>
        </w:tc>
      </w:tr>
      <w:tr w:rsidR="003C1890" w:rsidRPr="00272761" w14:paraId="3875A04A" w14:textId="77777777" w:rsidTr="00C26A79">
        <w:trPr>
          <w:trHeight w:val="144"/>
          <w:jc w:val="center"/>
        </w:trPr>
        <w:tc>
          <w:tcPr>
            <w:tcW w:w="706" w:type="dxa"/>
            <w:shd w:val="clear" w:color="auto" w:fill="FFFFFF" w:themeFill="background1"/>
            <w:noWrap/>
            <w:vAlign w:val="center"/>
            <w:hideMark/>
          </w:tcPr>
          <w:p w14:paraId="25BBA3B8" w14:textId="77777777" w:rsidR="003C1890" w:rsidRPr="003C1890" w:rsidRDefault="003C1890" w:rsidP="0078225A">
            <w:pPr>
              <w:spacing w:after="0" w:line="240" w:lineRule="auto"/>
              <w:rPr>
                <w:rFonts w:cs="Arial"/>
                <w:sz w:val="20"/>
              </w:rPr>
            </w:pPr>
            <w:r w:rsidRPr="003C1890">
              <w:rPr>
                <w:rFonts w:cs="Arial"/>
                <w:sz w:val="20"/>
              </w:rPr>
              <w:t>23</w:t>
            </w:r>
          </w:p>
        </w:tc>
        <w:tc>
          <w:tcPr>
            <w:tcW w:w="2160" w:type="dxa"/>
            <w:shd w:val="clear" w:color="auto" w:fill="FFFFFF" w:themeFill="background1"/>
            <w:noWrap/>
            <w:vAlign w:val="center"/>
            <w:hideMark/>
          </w:tcPr>
          <w:p w14:paraId="2A8485A3" w14:textId="77777777" w:rsidR="003C1890" w:rsidRPr="003C1890" w:rsidRDefault="003C1890" w:rsidP="0078225A">
            <w:pPr>
              <w:spacing w:after="0" w:line="240" w:lineRule="auto"/>
              <w:jc w:val="both"/>
              <w:rPr>
                <w:rFonts w:cs="Arial"/>
                <w:sz w:val="20"/>
              </w:rPr>
            </w:pPr>
            <w:r w:rsidRPr="003C1890">
              <w:rPr>
                <w:rFonts w:cs="Arial"/>
                <w:sz w:val="20"/>
              </w:rPr>
              <w:t xml:space="preserve">Diltiazem </w:t>
            </w:r>
          </w:p>
        </w:tc>
        <w:tc>
          <w:tcPr>
            <w:tcW w:w="495" w:type="dxa"/>
            <w:shd w:val="clear" w:color="auto" w:fill="FFFFFF" w:themeFill="background1"/>
            <w:noWrap/>
            <w:vAlign w:val="center"/>
            <w:hideMark/>
          </w:tcPr>
          <w:p w14:paraId="3907961B" w14:textId="77777777" w:rsidR="003C1890" w:rsidRPr="003C1890" w:rsidRDefault="003C1890" w:rsidP="0078225A">
            <w:pPr>
              <w:spacing w:after="0" w:line="240" w:lineRule="auto"/>
              <w:jc w:val="center"/>
              <w:rPr>
                <w:rFonts w:cs="Arial"/>
                <w:sz w:val="20"/>
              </w:rPr>
            </w:pPr>
            <w:r w:rsidRPr="003C1890">
              <w:rPr>
                <w:rFonts w:cs="Arial"/>
                <w:sz w:val="20"/>
              </w:rPr>
              <w:t>2.6</w:t>
            </w:r>
          </w:p>
        </w:tc>
        <w:tc>
          <w:tcPr>
            <w:tcW w:w="239" w:type="dxa"/>
            <w:shd w:val="clear" w:color="auto" w:fill="FFFFFF" w:themeFill="background1"/>
          </w:tcPr>
          <w:p w14:paraId="42EF569B"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7316661E" w14:textId="19E3603A" w:rsidR="003C1890" w:rsidRPr="003C1890" w:rsidRDefault="003C1890" w:rsidP="0078225A">
            <w:pPr>
              <w:spacing w:after="0" w:line="240" w:lineRule="auto"/>
              <w:rPr>
                <w:rFonts w:cs="Arial"/>
                <w:sz w:val="20"/>
              </w:rPr>
            </w:pPr>
            <w:r w:rsidRPr="003C1890">
              <w:rPr>
                <w:rFonts w:cs="Arial"/>
                <w:sz w:val="20"/>
              </w:rPr>
              <w:t>Simvastatin</w:t>
            </w:r>
          </w:p>
        </w:tc>
        <w:tc>
          <w:tcPr>
            <w:tcW w:w="495" w:type="dxa"/>
            <w:shd w:val="clear" w:color="auto" w:fill="FFFFFF" w:themeFill="background1"/>
            <w:vAlign w:val="center"/>
          </w:tcPr>
          <w:p w14:paraId="3D5884B6" w14:textId="77777777" w:rsidR="003C1890" w:rsidRPr="003C1890" w:rsidRDefault="003C1890" w:rsidP="0078225A">
            <w:pPr>
              <w:spacing w:after="0" w:line="240" w:lineRule="auto"/>
              <w:jc w:val="center"/>
              <w:rPr>
                <w:rFonts w:cs="Arial"/>
                <w:sz w:val="20"/>
              </w:rPr>
            </w:pPr>
            <w:r w:rsidRPr="003C1890">
              <w:rPr>
                <w:rFonts w:cs="Arial"/>
                <w:sz w:val="20"/>
              </w:rPr>
              <w:t>2.5</w:t>
            </w:r>
          </w:p>
        </w:tc>
        <w:tc>
          <w:tcPr>
            <w:tcW w:w="225" w:type="dxa"/>
            <w:shd w:val="clear" w:color="auto" w:fill="FFFFFF" w:themeFill="background1"/>
          </w:tcPr>
          <w:p w14:paraId="712D830C"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07E7FEAE" w14:textId="3C53AD56" w:rsidR="003C1890" w:rsidRPr="003C1890" w:rsidRDefault="003C1890" w:rsidP="0078225A">
            <w:pPr>
              <w:spacing w:after="0" w:line="240" w:lineRule="auto"/>
              <w:rPr>
                <w:rFonts w:cs="Arial"/>
                <w:sz w:val="20"/>
              </w:rPr>
            </w:pPr>
            <w:r w:rsidRPr="003C1890">
              <w:rPr>
                <w:rFonts w:cs="Arial"/>
                <w:sz w:val="20"/>
              </w:rPr>
              <w:t xml:space="preserve">Quetiapine </w:t>
            </w:r>
          </w:p>
        </w:tc>
        <w:tc>
          <w:tcPr>
            <w:tcW w:w="495" w:type="dxa"/>
            <w:shd w:val="clear" w:color="auto" w:fill="FFFFFF" w:themeFill="background1"/>
            <w:vAlign w:val="center"/>
          </w:tcPr>
          <w:p w14:paraId="6A221467" w14:textId="77777777" w:rsidR="003C1890" w:rsidRPr="003C1890" w:rsidRDefault="003C1890" w:rsidP="0078225A">
            <w:pPr>
              <w:spacing w:after="0" w:line="240" w:lineRule="auto"/>
              <w:jc w:val="center"/>
              <w:rPr>
                <w:rFonts w:cs="Arial"/>
                <w:sz w:val="20"/>
              </w:rPr>
            </w:pPr>
            <w:r w:rsidRPr="003C1890">
              <w:rPr>
                <w:rFonts w:cs="Arial"/>
                <w:sz w:val="20"/>
              </w:rPr>
              <w:t>3.0</w:t>
            </w:r>
          </w:p>
        </w:tc>
      </w:tr>
      <w:tr w:rsidR="003C1890" w:rsidRPr="00272761" w14:paraId="65464B94" w14:textId="77777777" w:rsidTr="00C26A79">
        <w:trPr>
          <w:trHeight w:val="144"/>
          <w:jc w:val="center"/>
        </w:trPr>
        <w:tc>
          <w:tcPr>
            <w:tcW w:w="706" w:type="dxa"/>
            <w:shd w:val="clear" w:color="auto" w:fill="FFFFFF" w:themeFill="background1"/>
            <w:noWrap/>
            <w:vAlign w:val="center"/>
            <w:hideMark/>
          </w:tcPr>
          <w:p w14:paraId="13930DCD" w14:textId="77777777" w:rsidR="003C1890" w:rsidRPr="003C1890" w:rsidRDefault="003C1890" w:rsidP="0078225A">
            <w:pPr>
              <w:spacing w:after="0" w:line="240" w:lineRule="auto"/>
              <w:rPr>
                <w:rFonts w:cs="Arial"/>
                <w:sz w:val="20"/>
              </w:rPr>
            </w:pPr>
            <w:r w:rsidRPr="003C1890">
              <w:rPr>
                <w:rFonts w:cs="Arial"/>
                <w:sz w:val="20"/>
              </w:rPr>
              <w:t>24</w:t>
            </w:r>
          </w:p>
        </w:tc>
        <w:tc>
          <w:tcPr>
            <w:tcW w:w="2160" w:type="dxa"/>
            <w:shd w:val="clear" w:color="auto" w:fill="FFFFFF" w:themeFill="background1"/>
            <w:noWrap/>
            <w:vAlign w:val="center"/>
            <w:hideMark/>
          </w:tcPr>
          <w:p w14:paraId="0B853FED" w14:textId="77777777" w:rsidR="003C1890" w:rsidRPr="003C1890" w:rsidRDefault="003C1890" w:rsidP="0078225A">
            <w:pPr>
              <w:spacing w:after="0" w:line="240" w:lineRule="auto"/>
              <w:jc w:val="both"/>
              <w:rPr>
                <w:rFonts w:cs="Arial"/>
                <w:sz w:val="20"/>
              </w:rPr>
            </w:pPr>
            <w:r w:rsidRPr="003C1890">
              <w:rPr>
                <w:rFonts w:cs="Arial"/>
                <w:sz w:val="20"/>
              </w:rPr>
              <w:t>Carvedilol</w:t>
            </w:r>
          </w:p>
        </w:tc>
        <w:tc>
          <w:tcPr>
            <w:tcW w:w="495" w:type="dxa"/>
            <w:shd w:val="clear" w:color="auto" w:fill="FFFFFF" w:themeFill="background1"/>
            <w:noWrap/>
            <w:vAlign w:val="center"/>
            <w:hideMark/>
          </w:tcPr>
          <w:p w14:paraId="11F22165" w14:textId="77777777" w:rsidR="003C1890" w:rsidRPr="003C1890" w:rsidRDefault="003C1890" w:rsidP="0078225A">
            <w:pPr>
              <w:spacing w:after="0" w:line="240" w:lineRule="auto"/>
              <w:jc w:val="center"/>
              <w:rPr>
                <w:rFonts w:cs="Arial"/>
                <w:sz w:val="20"/>
              </w:rPr>
            </w:pPr>
            <w:r w:rsidRPr="003C1890">
              <w:rPr>
                <w:rFonts w:cs="Arial"/>
                <w:sz w:val="20"/>
              </w:rPr>
              <w:t>2.5</w:t>
            </w:r>
          </w:p>
        </w:tc>
        <w:tc>
          <w:tcPr>
            <w:tcW w:w="239" w:type="dxa"/>
            <w:shd w:val="clear" w:color="auto" w:fill="FFFFFF" w:themeFill="background1"/>
          </w:tcPr>
          <w:p w14:paraId="3A0A6A72"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10F7DF4F" w14:textId="72DA415C" w:rsidR="003C1890" w:rsidRPr="003C1890" w:rsidRDefault="003C1890" w:rsidP="0078225A">
            <w:pPr>
              <w:spacing w:after="0" w:line="240" w:lineRule="auto"/>
              <w:rPr>
                <w:rFonts w:cs="Arial"/>
                <w:sz w:val="20"/>
              </w:rPr>
            </w:pPr>
            <w:r w:rsidRPr="003C1890">
              <w:rPr>
                <w:rFonts w:cs="Arial"/>
                <w:sz w:val="20"/>
              </w:rPr>
              <w:t>Ciprofloxacin</w:t>
            </w:r>
          </w:p>
        </w:tc>
        <w:tc>
          <w:tcPr>
            <w:tcW w:w="495" w:type="dxa"/>
            <w:shd w:val="clear" w:color="auto" w:fill="FFFFFF" w:themeFill="background1"/>
            <w:vAlign w:val="center"/>
          </w:tcPr>
          <w:p w14:paraId="103E9558" w14:textId="77777777" w:rsidR="003C1890" w:rsidRPr="003C1890" w:rsidRDefault="003C1890" w:rsidP="0078225A">
            <w:pPr>
              <w:spacing w:after="0" w:line="240" w:lineRule="auto"/>
              <w:jc w:val="center"/>
              <w:rPr>
                <w:rFonts w:cs="Arial"/>
                <w:sz w:val="20"/>
              </w:rPr>
            </w:pPr>
            <w:r w:rsidRPr="003C1890">
              <w:rPr>
                <w:rFonts w:cs="Arial"/>
                <w:sz w:val="20"/>
              </w:rPr>
              <w:t>2.4</w:t>
            </w:r>
          </w:p>
        </w:tc>
        <w:tc>
          <w:tcPr>
            <w:tcW w:w="225" w:type="dxa"/>
            <w:shd w:val="clear" w:color="auto" w:fill="FFFFFF" w:themeFill="background1"/>
          </w:tcPr>
          <w:p w14:paraId="533AD422"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4BF41AEC" w14:textId="7A095625" w:rsidR="003C1890" w:rsidRPr="003C1890" w:rsidRDefault="003C1890" w:rsidP="0078225A">
            <w:pPr>
              <w:spacing w:after="0" w:line="240" w:lineRule="auto"/>
              <w:rPr>
                <w:rFonts w:cs="Arial"/>
                <w:sz w:val="20"/>
              </w:rPr>
            </w:pPr>
            <w:r w:rsidRPr="003C1890">
              <w:rPr>
                <w:rFonts w:cs="Arial"/>
                <w:sz w:val="20"/>
              </w:rPr>
              <w:t>Nystatin</w:t>
            </w:r>
          </w:p>
        </w:tc>
        <w:tc>
          <w:tcPr>
            <w:tcW w:w="495" w:type="dxa"/>
            <w:shd w:val="clear" w:color="auto" w:fill="FFFFFF" w:themeFill="background1"/>
            <w:vAlign w:val="center"/>
          </w:tcPr>
          <w:p w14:paraId="6EB9B449" w14:textId="77777777" w:rsidR="003C1890" w:rsidRPr="003C1890" w:rsidRDefault="003C1890" w:rsidP="0078225A">
            <w:pPr>
              <w:spacing w:after="0" w:line="240" w:lineRule="auto"/>
              <w:jc w:val="center"/>
              <w:rPr>
                <w:rFonts w:cs="Arial"/>
                <w:sz w:val="20"/>
              </w:rPr>
            </w:pPr>
            <w:r w:rsidRPr="003C1890">
              <w:rPr>
                <w:rFonts w:cs="Arial"/>
                <w:sz w:val="20"/>
              </w:rPr>
              <w:t>2.9</w:t>
            </w:r>
          </w:p>
        </w:tc>
      </w:tr>
      <w:tr w:rsidR="003C1890" w:rsidRPr="00272761" w14:paraId="00DD4E5D" w14:textId="77777777" w:rsidTr="00C26A79">
        <w:trPr>
          <w:trHeight w:val="144"/>
          <w:jc w:val="center"/>
        </w:trPr>
        <w:tc>
          <w:tcPr>
            <w:tcW w:w="706" w:type="dxa"/>
            <w:shd w:val="clear" w:color="auto" w:fill="FFFFFF" w:themeFill="background1"/>
            <w:noWrap/>
            <w:vAlign w:val="center"/>
            <w:hideMark/>
          </w:tcPr>
          <w:p w14:paraId="54CE5EBB" w14:textId="77777777" w:rsidR="003C1890" w:rsidRPr="003C1890" w:rsidRDefault="003C1890" w:rsidP="0078225A">
            <w:pPr>
              <w:spacing w:after="0" w:line="240" w:lineRule="auto"/>
              <w:rPr>
                <w:rFonts w:cs="Arial"/>
                <w:sz w:val="20"/>
              </w:rPr>
            </w:pPr>
            <w:r w:rsidRPr="003C1890">
              <w:rPr>
                <w:rFonts w:cs="Arial"/>
                <w:sz w:val="20"/>
              </w:rPr>
              <w:t>25</w:t>
            </w:r>
          </w:p>
        </w:tc>
        <w:tc>
          <w:tcPr>
            <w:tcW w:w="2160" w:type="dxa"/>
            <w:shd w:val="clear" w:color="auto" w:fill="FFFFFF" w:themeFill="background1"/>
            <w:noWrap/>
            <w:vAlign w:val="center"/>
            <w:hideMark/>
          </w:tcPr>
          <w:p w14:paraId="0C151057" w14:textId="77777777" w:rsidR="003C1890" w:rsidRPr="003C1890" w:rsidRDefault="003C1890" w:rsidP="0078225A">
            <w:pPr>
              <w:spacing w:after="0" w:line="240" w:lineRule="auto"/>
              <w:jc w:val="both"/>
              <w:rPr>
                <w:rFonts w:cs="Arial"/>
                <w:sz w:val="20"/>
              </w:rPr>
            </w:pPr>
            <w:r w:rsidRPr="003C1890">
              <w:rPr>
                <w:rFonts w:cs="Arial"/>
                <w:sz w:val="20"/>
              </w:rPr>
              <w:t>Metoprolol Succinate</w:t>
            </w:r>
          </w:p>
        </w:tc>
        <w:tc>
          <w:tcPr>
            <w:tcW w:w="495" w:type="dxa"/>
            <w:shd w:val="clear" w:color="auto" w:fill="FFFFFF" w:themeFill="background1"/>
            <w:noWrap/>
            <w:vAlign w:val="center"/>
            <w:hideMark/>
          </w:tcPr>
          <w:p w14:paraId="1F209C5E" w14:textId="77777777" w:rsidR="003C1890" w:rsidRPr="003C1890" w:rsidRDefault="003C1890" w:rsidP="0078225A">
            <w:pPr>
              <w:spacing w:after="0" w:line="240" w:lineRule="auto"/>
              <w:jc w:val="center"/>
              <w:rPr>
                <w:rFonts w:cs="Arial"/>
                <w:sz w:val="20"/>
              </w:rPr>
            </w:pPr>
            <w:r w:rsidRPr="003C1890">
              <w:rPr>
                <w:rFonts w:cs="Arial"/>
                <w:sz w:val="20"/>
              </w:rPr>
              <w:t>2.5</w:t>
            </w:r>
          </w:p>
        </w:tc>
        <w:tc>
          <w:tcPr>
            <w:tcW w:w="239" w:type="dxa"/>
            <w:shd w:val="clear" w:color="auto" w:fill="FFFFFF" w:themeFill="background1"/>
          </w:tcPr>
          <w:p w14:paraId="3F3018AA" w14:textId="77777777" w:rsidR="003C1890" w:rsidRPr="003C1890" w:rsidRDefault="003C1890" w:rsidP="0078225A">
            <w:pPr>
              <w:spacing w:after="0" w:line="240" w:lineRule="auto"/>
              <w:rPr>
                <w:rFonts w:cs="Arial"/>
                <w:sz w:val="20"/>
              </w:rPr>
            </w:pPr>
          </w:p>
        </w:tc>
        <w:tc>
          <w:tcPr>
            <w:tcW w:w="2391" w:type="dxa"/>
            <w:shd w:val="clear" w:color="auto" w:fill="FFFFFF" w:themeFill="background1"/>
            <w:vAlign w:val="center"/>
          </w:tcPr>
          <w:p w14:paraId="411B95EB" w14:textId="3CA2735A" w:rsidR="003C1890" w:rsidRPr="003C1890" w:rsidRDefault="003C1890" w:rsidP="0078225A">
            <w:pPr>
              <w:spacing w:after="0" w:line="240" w:lineRule="auto"/>
              <w:rPr>
                <w:rFonts w:cs="Arial"/>
                <w:sz w:val="20"/>
              </w:rPr>
            </w:pPr>
            <w:r w:rsidRPr="003C1890">
              <w:rPr>
                <w:rFonts w:cs="Arial"/>
                <w:sz w:val="20"/>
              </w:rPr>
              <w:t>Prednisone</w:t>
            </w:r>
          </w:p>
        </w:tc>
        <w:tc>
          <w:tcPr>
            <w:tcW w:w="495" w:type="dxa"/>
            <w:shd w:val="clear" w:color="auto" w:fill="FFFFFF" w:themeFill="background1"/>
            <w:vAlign w:val="center"/>
          </w:tcPr>
          <w:p w14:paraId="5A53350E" w14:textId="77777777" w:rsidR="003C1890" w:rsidRPr="003C1890" w:rsidRDefault="003C1890" w:rsidP="0078225A">
            <w:pPr>
              <w:spacing w:after="0" w:line="240" w:lineRule="auto"/>
              <w:jc w:val="center"/>
              <w:rPr>
                <w:rFonts w:cs="Arial"/>
                <w:sz w:val="20"/>
              </w:rPr>
            </w:pPr>
            <w:r w:rsidRPr="003C1890">
              <w:rPr>
                <w:rFonts w:cs="Arial"/>
                <w:sz w:val="20"/>
              </w:rPr>
              <w:t>2.4</w:t>
            </w:r>
          </w:p>
        </w:tc>
        <w:tc>
          <w:tcPr>
            <w:tcW w:w="225" w:type="dxa"/>
            <w:shd w:val="clear" w:color="auto" w:fill="FFFFFF" w:themeFill="background1"/>
          </w:tcPr>
          <w:p w14:paraId="0F7B78FE" w14:textId="77777777" w:rsidR="003C1890" w:rsidRPr="003C1890" w:rsidRDefault="003C1890" w:rsidP="0078225A">
            <w:pPr>
              <w:spacing w:after="0" w:line="240" w:lineRule="auto"/>
              <w:rPr>
                <w:rFonts w:cs="Arial"/>
                <w:sz w:val="20"/>
              </w:rPr>
            </w:pPr>
          </w:p>
        </w:tc>
        <w:tc>
          <w:tcPr>
            <w:tcW w:w="2154" w:type="dxa"/>
            <w:shd w:val="clear" w:color="auto" w:fill="FFFFFF" w:themeFill="background1"/>
            <w:vAlign w:val="center"/>
          </w:tcPr>
          <w:p w14:paraId="45274E60" w14:textId="12E8FE96" w:rsidR="003C1890" w:rsidRPr="003C1890" w:rsidRDefault="003C1890" w:rsidP="0078225A">
            <w:pPr>
              <w:spacing w:after="0" w:line="240" w:lineRule="auto"/>
              <w:rPr>
                <w:rFonts w:cs="Arial"/>
                <w:sz w:val="20"/>
              </w:rPr>
            </w:pPr>
            <w:r w:rsidRPr="003C1890">
              <w:rPr>
                <w:rFonts w:cs="Arial"/>
                <w:sz w:val="20"/>
              </w:rPr>
              <w:t xml:space="preserve">Citalopram </w:t>
            </w:r>
          </w:p>
        </w:tc>
        <w:tc>
          <w:tcPr>
            <w:tcW w:w="495" w:type="dxa"/>
            <w:shd w:val="clear" w:color="auto" w:fill="FFFFFF" w:themeFill="background1"/>
            <w:vAlign w:val="center"/>
          </w:tcPr>
          <w:p w14:paraId="0FF68F1F" w14:textId="77777777" w:rsidR="003C1890" w:rsidRPr="003C1890" w:rsidRDefault="003C1890" w:rsidP="0078225A">
            <w:pPr>
              <w:spacing w:after="0" w:line="240" w:lineRule="auto"/>
              <w:jc w:val="center"/>
              <w:rPr>
                <w:rFonts w:cs="Arial"/>
                <w:sz w:val="20"/>
              </w:rPr>
            </w:pPr>
            <w:r w:rsidRPr="003C1890">
              <w:rPr>
                <w:rFonts w:cs="Arial"/>
                <w:sz w:val="20"/>
              </w:rPr>
              <w:t>2.8</w:t>
            </w:r>
          </w:p>
        </w:tc>
      </w:tr>
    </w:tbl>
    <w:p w14:paraId="16A89177" w14:textId="6621D7CC" w:rsidR="0078225A" w:rsidRPr="003C1890" w:rsidRDefault="003C1890" w:rsidP="003C1890">
      <w:pPr>
        <w:spacing w:line="240" w:lineRule="auto"/>
        <w:rPr>
          <w:rFonts w:cs="Arial"/>
          <w:sz w:val="20"/>
        </w:rPr>
      </w:pPr>
      <w:r w:rsidRPr="003C1890">
        <w:rPr>
          <w:rFonts w:cs="Arial"/>
          <w:sz w:val="20"/>
        </w:rPr>
        <w:t>APAP: acetaminophen, SMZ-TMP: sulfamethoxazole-trimethoprim</w:t>
      </w:r>
    </w:p>
    <w:p w14:paraId="5A010B71" w14:textId="77777777" w:rsidR="003C1890" w:rsidRDefault="003C1890" w:rsidP="00FC7B75">
      <w:pPr>
        <w:ind w:firstLine="720"/>
        <w:rPr>
          <w:rFonts w:cs="Arial"/>
          <w:szCs w:val="22"/>
        </w:rPr>
      </w:pPr>
    </w:p>
    <w:p w14:paraId="7520D287" w14:textId="77777777" w:rsidR="003C1890" w:rsidRDefault="003C1890" w:rsidP="00FC7B75">
      <w:pPr>
        <w:ind w:firstLine="720"/>
        <w:rPr>
          <w:rFonts w:cs="Arial"/>
          <w:szCs w:val="22"/>
        </w:rPr>
      </w:pPr>
    </w:p>
    <w:p w14:paraId="07397524" w14:textId="77777777" w:rsidR="003C1890" w:rsidRDefault="003C1890" w:rsidP="00FC7B75">
      <w:pPr>
        <w:ind w:firstLine="720"/>
        <w:rPr>
          <w:rFonts w:cs="Arial"/>
          <w:szCs w:val="22"/>
        </w:rPr>
      </w:pPr>
    </w:p>
    <w:p w14:paraId="424F8F5D" w14:textId="77777777" w:rsidR="003C1890" w:rsidRDefault="003C1890" w:rsidP="00FC7B75">
      <w:pPr>
        <w:ind w:firstLine="720"/>
        <w:rPr>
          <w:rFonts w:cs="Arial"/>
          <w:szCs w:val="22"/>
        </w:rPr>
      </w:pPr>
    </w:p>
    <w:p w14:paraId="013BBFDA" w14:textId="77777777" w:rsidR="003C1890" w:rsidRDefault="003C1890" w:rsidP="00FC7B75">
      <w:pPr>
        <w:ind w:firstLine="720"/>
        <w:rPr>
          <w:rFonts w:cs="Arial"/>
          <w:szCs w:val="22"/>
        </w:rPr>
      </w:pPr>
    </w:p>
    <w:p w14:paraId="6C3BB23C" w14:textId="77777777" w:rsidR="003C1890" w:rsidRDefault="003C1890" w:rsidP="00FC7B75">
      <w:pPr>
        <w:ind w:firstLine="720"/>
        <w:rPr>
          <w:rFonts w:cs="Arial"/>
          <w:szCs w:val="22"/>
        </w:rPr>
      </w:pPr>
    </w:p>
    <w:p w14:paraId="30FC673F" w14:textId="77777777" w:rsidR="003C1890" w:rsidRDefault="003C1890" w:rsidP="00FC7B75">
      <w:pPr>
        <w:ind w:firstLine="720"/>
        <w:rPr>
          <w:rFonts w:cs="Arial"/>
          <w:szCs w:val="22"/>
        </w:rPr>
        <w:sectPr w:rsidR="003C1890" w:rsidSect="00CF214D">
          <w:pgSz w:w="12240" w:h="15840" w:code="1"/>
          <w:pgMar w:top="1440" w:right="1440" w:bottom="1440" w:left="1440" w:header="720" w:footer="432" w:gutter="0"/>
          <w:cols w:space="720"/>
          <w:docGrid w:linePitch="360"/>
        </w:sectPr>
      </w:pPr>
    </w:p>
    <w:p w14:paraId="7A3F5613" w14:textId="125E5106" w:rsidR="003C1890" w:rsidRDefault="00C35635" w:rsidP="00F1421B">
      <w:pPr>
        <w:spacing w:after="0" w:line="240" w:lineRule="auto"/>
        <w:jc w:val="center"/>
        <w:rPr>
          <w:rFonts w:cs="Arial"/>
          <w:b/>
          <w:szCs w:val="22"/>
        </w:rPr>
      </w:pPr>
      <w:r>
        <w:rPr>
          <w:rFonts w:cs="Arial"/>
          <w:b/>
          <w:szCs w:val="22"/>
        </w:rPr>
        <w:lastRenderedPageBreak/>
        <w:t>TABLE VII</w:t>
      </w:r>
    </w:p>
    <w:p w14:paraId="4E383A4D" w14:textId="77777777" w:rsidR="002B65B9" w:rsidRPr="002B65B9" w:rsidRDefault="002B65B9" w:rsidP="00F1421B">
      <w:pPr>
        <w:spacing w:after="0" w:line="240" w:lineRule="auto"/>
        <w:jc w:val="center"/>
        <w:rPr>
          <w:rFonts w:cs="Arial"/>
          <w:b/>
          <w:szCs w:val="22"/>
        </w:rPr>
      </w:pPr>
    </w:p>
    <w:p w14:paraId="2BE4BED9" w14:textId="366E45F3" w:rsidR="002B65B9" w:rsidRPr="00562236" w:rsidRDefault="000F64B1" w:rsidP="000F64B1">
      <w:pPr>
        <w:pStyle w:val="Caption"/>
        <w:rPr>
          <w:rFonts w:cs="Arial"/>
          <w:caps w:val="0"/>
          <w:szCs w:val="22"/>
        </w:rPr>
      </w:pPr>
      <w:bookmarkStart w:id="82" w:name="_Toc507327156"/>
      <w:bookmarkStart w:id="83" w:name="_Toc507329276"/>
      <w:r w:rsidRPr="003732C5">
        <w:t>TOP 25 MEDICATIONS RECEIVED THROUGH MEDICARE PART D AFTER HOSPICE ADMISSION BY NON-CANCER HOSPICE ADMISSION DIAGNOSIS</w:t>
      </w:r>
      <w:bookmarkEnd w:id="82"/>
      <w:bookmarkEnd w:id="83"/>
    </w:p>
    <w:tbl>
      <w:tblPr>
        <w:tblpPr w:leftFromText="180" w:rightFromText="180" w:vertAnchor="text" w:tblpY="1"/>
        <w:tblOverlap w:val="never"/>
        <w:tblW w:w="13680"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5"/>
        <w:gridCol w:w="1530"/>
        <w:gridCol w:w="630"/>
        <w:gridCol w:w="1530"/>
        <w:gridCol w:w="630"/>
        <w:gridCol w:w="1530"/>
        <w:gridCol w:w="630"/>
        <w:gridCol w:w="1530"/>
        <w:gridCol w:w="630"/>
        <w:gridCol w:w="1635"/>
        <w:gridCol w:w="540"/>
        <w:gridCol w:w="1530"/>
        <w:gridCol w:w="540"/>
      </w:tblGrid>
      <w:tr w:rsidR="002B65B9" w:rsidRPr="00272761" w14:paraId="7E3E5894" w14:textId="77777777" w:rsidTr="0003380F">
        <w:trPr>
          <w:trHeight w:val="20"/>
        </w:trPr>
        <w:tc>
          <w:tcPr>
            <w:tcW w:w="795" w:type="dxa"/>
            <w:tcBorders>
              <w:top w:val="single" w:sz="4" w:space="0" w:color="auto"/>
              <w:left w:val="nil"/>
              <w:bottom w:val="nil"/>
              <w:right w:val="nil"/>
            </w:tcBorders>
            <w:shd w:val="clear" w:color="auto" w:fill="FFFFFF" w:themeFill="background1"/>
            <w:noWrap/>
            <w:hideMark/>
          </w:tcPr>
          <w:p w14:paraId="62368666" w14:textId="77777777" w:rsidR="002B65B9" w:rsidRPr="00EE6144" w:rsidRDefault="002B65B9" w:rsidP="0003380F">
            <w:pPr>
              <w:spacing w:after="0" w:line="240" w:lineRule="auto"/>
              <w:rPr>
                <w:b/>
                <w:sz w:val="20"/>
              </w:rPr>
            </w:pPr>
          </w:p>
        </w:tc>
        <w:tc>
          <w:tcPr>
            <w:tcW w:w="1530" w:type="dxa"/>
            <w:tcBorders>
              <w:top w:val="single" w:sz="4" w:space="0" w:color="auto"/>
              <w:left w:val="nil"/>
              <w:bottom w:val="nil"/>
              <w:right w:val="nil"/>
            </w:tcBorders>
            <w:shd w:val="clear" w:color="auto" w:fill="FFFFFF" w:themeFill="background1"/>
            <w:noWrap/>
            <w:vAlign w:val="center"/>
            <w:hideMark/>
          </w:tcPr>
          <w:p w14:paraId="60CEE5A6" w14:textId="77777777" w:rsidR="002B65B9" w:rsidRPr="00EE6144" w:rsidRDefault="002B65B9" w:rsidP="0003380F">
            <w:pPr>
              <w:spacing w:after="0" w:line="240" w:lineRule="auto"/>
              <w:jc w:val="center"/>
              <w:rPr>
                <w:b/>
                <w:bCs/>
                <w:color w:val="000000"/>
                <w:sz w:val="20"/>
              </w:rPr>
            </w:pPr>
            <w:r w:rsidRPr="00EE6144">
              <w:rPr>
                <w:b/>
                <w:bCs/>
                <w:sz w:val="20"/>
              </w:rPr>
              <w:t>Debility/AFT</w:t>
            </w:r>
          </w:p>
        </w:tc>
        <w:tc>
          <w:tcPr>
            <w:tcW w:w="630" w:type="dxa"/>
            <w:tcBorders>
              <w:top w:val="single" w:sz="4" w:space="0" w:color="auto"/>
              <w:left w:val="nil"/>
              <w:bottom w:val="nil"/>
              <w:right w:val="nil"/>
            </w:tcBorders>
            <w:shd w:val="clear" w:color="auto" w:fill="FFFFFF" w:themeFill="background1"/>
            <w:noWrap/>
            <w:vAlign w:val="center"/>
            <w:hideMark/>
          </w:tcPr>
          <w:p w14:paraId="7C4CEF09" w14:textId="77777777" w:rsidR="002B65B9" w:rsidRPr="00EE6144" w:rsidRDefault="002B65B9" w:rsidP="0003380F">
            <w:pPr>
              <w:spacing w:after="0" w:line="240" w:lineRule="auto"/>
              <w:jc w:val="center"/>
              <w:rPr>
                <w:b/>
                <w:bCs/>
                <w:sz w:val="20"/>
              </w:rPr>
            </w:pPr>
          </w:p>
        </w:tc>
        <w:tc>
          <w:tcPr>
            <w:tcW w:w="1530" w:type="dxa"/>
            <w:tcBorders>
              <w:top w:val="single" w:sz="4" w:space="0" w:color="auto"/>
              <w:left w:val="nil"/>
              <w:bottom w:val="nil"/>
              <w:right w:val="nil"/>
            </w:tcBorders>
            <w:shd w:val="clear" w:color="auto" w:fill="FFFFFF" w:themeFill="background1"/>
            <w:vAlign w:val="center"/>
          </w:tcPr>
          <w:p w14:paraId="2E7B3564" w14:textId="77777777" w:rsidR="002B65B9" w:rsidRPr="00EE6144" w:rsidRDefault="002B65B9" w:rsidP="0003380F">
            <w:pPr>
              <w:spacing w:after="0" w:line="240" w:lineRule="auto"/>
              <w:jc w:val="center"/>
              <w:rPr>
                <w:b/>
                <w:bCs/>
                <w:sz w:val="20"/>
              </w:rPr>
            </w:pPr>
            <w:r w:rsidRPr="00EE6144">
              <w:rPr>
                <w:b/>
                <w:bCs/>
                <w:sz w:val="20"/>
              </w:rPr>
              <w:t>Dementia</w:t>
            </w:r>
          </w:p>
        </w:tc>
        <w:tc>
          <w:tcPr>
            <w:tcW w:w="630" w:type="dxa"/>
            <w:tcBorders>
              <w:top w:val="single" w:sz="4" w:space="0" w:color="auto"/>
              <w:left w:val="nil"/>
              <w:bottom w:val="nil"/>
              <w:right w:val="nil"/>
            </w:tcBorders>
            <w:shd w:val="clear" w:color="auto" w:fill="FFFFFF" w:themeFill="background1"/>
            <w:vAlign w:val="center"/>
          </w:tcPr>
          <w:p w14:paraId="47BC0064" w14:textId="77777777" w:rsidR="002B65B9" w:rsidRPr="00EE6144" w:rsidRDefault="002B65B9" w:rsidP="0003380F">
            <w:pPr>
              <w:spacing w:after="0" w:line="240" w:lineRule="auto"/>
              <w:jc w:val="center"/>
              <w:rPr>
                <w:b/>
                <w:bCs/>
                <w:sz w:val="20"/>
              </w:rPr>
            </w:pPr>
          </w:p>
        </w:tc>
        <w:tc>
          <w:tcPr>
            <w:tcW w:w="1530" w:type="dxa"/>
            <w:tcBorders>
              <w:top w:val="single" w:sz="4" w:space="0" w:color="auto"/>
              <w:left w:val="nil"/>
              <w:bottom w:val="nil"/>
              <w:right w:val="nil"/>
            </w:tcBorders>
            <w:shd w:val="clear" w:color="auto" w:fill="FFFFFF" w:themeFill="background1"/>
            <w:vAlign w:val="center"/>
          </w:tcPr>
          <w:p w14:paraId="1267C59C" w14:textId="77777777" w:rsidR="002B65B9" w:rsidRPr="00EE6144" w:rsidRDefault="002B65B9" w:rsidP="0003380F">
            <w:pPr>
              <w:spacing w:after="0" w:line="240" w:lineRule="auto"/>
              <w:jc w:val="center"/>
              <w:rPr>
                <w:b/>
                <w:bCs/>
                <w:sz w:val="20"/>
              </w:rPr>
            </w:pPr>
            <w:r w:rsidRPr="00EE6144">
              <w:rPr>
                <w:b/>
                <w:bCs/>
                <w:sz w:val="20"/>
              </w:rPr>
              <w:t>Lung Disease</w:t>
            </w:r>
          </w:p>
        </w:tc>
        <w:tc>
          <w:tcPr>
            <w:tcW w:w="630" w:type="dxa"/>
            <w:tcBorders>
              <w:top w:val="single" w:sz="4" w:space="0" w:color="auto"/>
              <w:left w:val="nil"/>
              <w:bottom w:val="nil"/>
              <w:right w:val="nil"/>
            </w:tcBorders>
            <w:shd w:val="clear" w:color="auto" w:fill="FFFFFF" w:themeFill="background1"/>
            <w:vAlign w:val="center"/>
          </w:tcPr>
          <w:p w14:paraId="3214BDE0" w14:textId="77777777" w:rsidR="002B65B9" w:rsidRPr="00EE6144" w:rsidRDefault="002B65B9" w:rsidP="0003380F">
            <w:pPr>
              <w:spacing w:after="0" w:line="240" w:lineRule="auto"/>
              <w:jc w:val="center"/>
              <w:rPr>
                <w:b/>
                <w:bCs/>
                <w:sz w:val="20"/>
              </w:rPr>
            </w:pPr>
          </w:p>
        </w:tc>
        <w:tc>
          <w:tcPr>
            <w:tcW w:w="1530" w:type="dxa"/>
            <w:tcBorders>
              <w:top w:val="single" w:sz="4" w:space="0" w:color="auto"/>
              <w:left w:val="nil"/>
              <w:bottom w:val="nil"/>
              <w:right w:val="nil"/>
            </w:tcBorders>
            <w:shd w:val="clear" w:color="auto" w:fill="FFFFFF" w:themeFill="background1"/>
            <w:vAlign w:val="center"/>
          </w:tcPr>
          <w:p w14:paraId="60C509CC" w14:textId="77777777" w:rsidR="002B65B9" w:rsidRPr="00EE6144" w:rsidRDefault="002B65B9" w:rsidP="0003380F">
            <w:pPr>
              <w:spacing w:after="0" w:line="240" w:lineRule="auto"/>
              <w:jc w:val="center"/>
              <w:rPr>
                <w:b/>
                <w:bCs/>
                <w:sz w:val="20"/>
              </w:rPr>
            </w:pPr>
            <w:r w:rsidRPr="00EE6144">
              <w:rPr>
                <w:b/>
                <w:bCs/>
                <w:sz w:val="20"/>
              </w:rPr>
              <w:t>Heart Disease</w:t>
            </w:r>
          </w:p>
        </w:tc>
        <w:tc>
          <w:tcPr>
            <w:tcW w:w="630" w:type="dxa"/>
            <w:tcBorders>
              <w:top w:val="single" w:sz="4" w:space="0" w:color="auto"/>
              <w:left w:val="nil"/>
              <w:bottom w:val="nil"/>
              <w:right w:val="nil"/>
            </w:tcBorders>
            <w:shd w:val="clear" w:color="auto" w:fill="FFFFFF" w:themeFill="background1"/>
            <w:vAlign w:val="center"/>
          </w:tcPr>
          <w:p w14:paraId="0215C5A2" w14:textId="77777777" w:rsidR="002B65B9" w:rsidRPr="00EE6144" w:rsidRDefault="002B65B9" w:rsidP="0003380F">
            <w:pPr>
              <w:spacing w:after="0" w:line="240" w:lineRule="auto"/>
              <w:jc w:val="center"/>
              <w:rPr>
                <w:b/>
                <w:bCs/>
                <w:sz w:val="20"/>
              </w:rPr>
            </w:pPr>
          </w:p>
        </w:tc>
        <w:tc>
          <w:tcPr>
            <w:tcW w:w="1635" w:type="dxa"/>
            <w:tcBorders>
              <w:top w:val="single" w:sz="4" w:space="0" w:color="auto"/>
              <w:left w:val="nil"/>
              <w:bottom w:val="nil"/>
              <w:right w:val="nil"/>
            </w:tcBorders>
            <w:shd w:val="clear" w:color="auto" w:fill="FFFFFF" w:themeFill="background1"/>
            <w:vAlign w:val="center"/>
          </w:tcPr>
          <w:p w14:paraId="184B8842" w14:textId="77777777" w:rsidR="002B65B9" w:rsidRPr="00EE6144" w:rsidRDefault="002B65B9" w:rsidP="0003380F">
            <w:pPr>
              <w:spacing w:after="0" w:line="240" w:lineRule="auto"/>
              <w:jc w:val="center"/>
              <w:rPr>
                <w:b/>
                <w:bCs/>
                <w:sz w:val="20"/>
              </w:rPr>
            </w:pPr>
            <w:r w:rsidRPr="00EE6144">
              <w:rPr>
                <w:b/>
                <w:bCs/>
                <w:sz w:val="20"/>
              </w:rPr>
              <w:t>Ischemic Stroke</w:t>
            </w:r>
          </w:p>
        </w:tc>
        <w:tc>
          <w:tcPr>
            <w:tcW w:w="540" w:type="dxa"/>
            <w:tcBorders>
              <w:top w:val="single" w:sz="4" w:space="0" w:color="auto"/>
              <w:left w:val="nil"/>
              <w:bottom w:val="nil"/>
              <w:right w:val="nil"/>
            </w:tcBorders>
            <w:shd w:val="clear" w:color="auto" w:fill="FFFFFF" w:themeFill="background1"/>
            <w:vAlign w:val="center"/>
          </w:tcPr>
          <w:p w14:paraId="24B70C7F" w14:textId="77777777" w:rsidR="002B65B9" w:rsidRPr="00EE6144" w:rsidRDefault="002B65B9" w:rsidP="0003380F">
            <w:pPr>
              <w:spacing w:after="0" w:line="240" w:lineRule="auto"/>
              <w:jc w:val="center"/>
              <w:rPr>
                <w:b/>
                <w:bCs/>
                <w:sz w:val="20"/>
              </w:rPr>
            </w:pPr>
          </w:p>
        </w:tc>
        <w:tc>
          <w:tcPr>
            <w:tcW w:w="1530" w:type="dxa"/>
            <w:tcBorders>
              <w:top w:val="single" w:sz="4" w:space="0" w:color="auto"/>
              <w:left w:val="nil"/>
              <w:bottom w:val="nil"/>
              <w:right w:val="nil"/>
            </w:tcBorders>
            <w:shd w:val="clear" w:color="auto" w:fill="FFFFFF" w:themeFill="background1"/>
            <w:vAlign w:val="center"/>
          </w:tcPr>
          <w:p w14:paraId="1D671751" w14:textId="77777777" w:rsidR="002B65B9" w:rsidRPr="00EE6144" w:rsidRDefault="002B65B9" w:rsidP="0003380F">
            <w:pPr>
              <w:spacing w:after="0" w:line="240" w:lineRule="auto"/>
              <w:jc w:val="center"/>
              <w:rPr>
                <w:b/>
                <w:bCs/>
                <w:sz w:val="20"/>
              </w:rPr>
            </w:pPr>
            <w:r w:rsidRPr="00EE6144">
              <w:rPr>
                <w:b/>
                <w:bCs/>
                <w:sz w:val="20"/>
              </w:rPr>
              <w:t>Renal Disease</w:t>
            </w:r>
          </w:p>
        </w:tc>
        <w:tc>
          <w:tcPr>
            <w:tcW w:w="540" w:type="dxa"/>
            <w:tcBorders>
              <w:top w:val="single" w:sz="4" w:space="0" w:color="auto"/>
              <w:left w:val="nil"/>
              <w:bottom w:val="nil"/>
              <w:right w:val="nil"/>
            </w:tcBorders>
            <w:shd w:val="clear" w:color="auto" w:fill="FFFFFF" w:themeFill="background1"/>
          </w:tcPr>
          <w:p w14:paraId="16F6343A" w14:textId="77777777" w:rsidR="002B65B9" w:rsidRPr="00EE6144" w:rsidRDefault="002B65B9" w:rsidP="0003380F">
            <w:pPr>
              <w:spacing w:after="0" w:line="240" w:lineRule="auto"/>
              <w:jc w:val="center"/>
              <w:rPr>
                <w:b/>
                <w:bCs/>
                <w:i/>
                <w:sz w:val="20"/>
              </w:rPr>
            </w:pPr>
          </w:p>
        </w:tc>
      </w:tr>
      <w:tr w:rsidR="002B65B9" w:rsidRPr="00272761" w14:paraId="1BBCC19E" w14:textId="77777777" w:rsidTr="0003380F">
        <w:trPr>
          <w:trHeight w:val="20"/>
        </w:trPr>
        <w:tc>
          <w:tcPr>
            <w:tcW w:w="795" w:type="dxa"/>
            <w:tcBorders>
              <w:top w:val="nil"/>
              <w:left w:val="nil"/>
              <w:bottom w:val="nil"/>
              <w:right w:val="nil"/>
            </w:tcBorders>
            <w:shd w:val="clear" w:color="auto" w:fill="FFFFFF" w:themeFill="background1"/>
            <w:noWrap/>
            <w:hideMark/>
          </w:tcPr>
          <w:p w14:paraId="38D918DB" w14:textId="77777777" w:rsidR="002B65B9" w:rsidRPr="00EE6144" w:rsidRDefault="002B65B9" w:rsidP="0003380F">
            <w:pPr>
              <w:spacing w:after="0" w:line="240" w:lineRule="auto"/>
              <w:jc w:val="center"/>
              <w:rPr>
                <w:b/>
                <w:sz w:val="20"/>
              </w:rPr>
            </w:pPr>
          </w:p>
        </w:tc>
        <w:tc>
          <w:tcPr>
            <w:tcW w:w="1530" w:type="dxa"/>
            <w:tcBorders>
              <w:top w:val="nil"/>
              <w:left w:val="nil"/>
              <w:bottom w:val="nil"/>
              <w:right w:val="nil"/>
            </w:tcBorders>
            <w:shd w:val="clear" w:color="auto" w:fill="FFFFFF" w:themeFill="background1"/>
            <w:noWrap/>
            <w:hideMark/>
          </w:tcPr>
          <w:p w14:paraId="062CAF7D" w14:textId="77777777" w:rsidR="002B65B9" w:rsidRDefault="002B65B9" w:rsidP="0003380F">
            <w:pPr>
              <w:spacing w:after="0" w:line="240" w:lineRule="auto"/>
              <w:jc w:val="center"/>
              <w:rPr>
                <w:b/>
                <w:bCs/>
                <w:sz w:val="20"/>
              </w:rPr>
            </w:pPr>
            <w:r w:rsidRPr="00EE6144">
              <w:rPr>
                <w:b/>
                <w:bCs/>
                <w:sz w:val="20"/>
              </w:rPr>
              <w:t>(n=7,031)</w:t>
            </w:r>
          </w:p>
          <w:p w14:paraId="7B9B6365" w14:textId="77777777" w:rsidR="00EE6144" w:rsidRPr="00EE6144" w:rsidRDefault="00EE6144" w:rsidP="0003380F">
            <w:pPr>
              <w:spacing w:after="0" w:line="240" w:lineRule="auto"/>
              <w:jc w:val="center"/>
              <w:rPr>
                <w:b/>
                <w:sz w:val="20"/>
              </w:rPr>
            </w:pPr>
          </w:p>
        </w:tc>
        <w:tc>
          <w:tcPr>
            <w:tcW w:w="630" w:type="dxa"/>
            <w:tcBorders>
              <w:top w:val="nil"/>
              <w:left w:val="nil"/>
              <w:bottom w:val="nil"/>
              <w:right w:val="nil"/>
            </w:tcBorders>
            <w:shd w:val="clear" w:color="auto" w:fill="FFFFFF" w:themeFill="background1"/>
            <w:noWrap/>
            <w:hideMark/>
          </w:tcPr>
          <w:p w14:paraId="134111BB" w14:textId="77777777" w:rsidR="002B65B9" w:rsidRPr="00EE6144" w:rsidRDefault="002B65B9" w:rsidP="0003380F">
            <w:pPr>
              <w:spacing w:after="0" w:line="240" w:lineRule="auto"/>
              <w:jc w:val="center"/>
              <w:rPr>
                <w:b/>
                <w:sz w:val="20"/>
              </w:rPr>
            </w:pPr>
          </w:p>
        </w:tc>
        <w:tc>
          <w:tcPr>
            <w:tcW w:w="1530" w:type="dxa"/>
            <w:tcBorders>
              <w:top w:val="nil"/>
              <w:left w:val="nil"/>
              <w:bottom w:val="nil"/>
              <w:right w:val="nil"/>
            </w:tcBorders>
            <w:shd w:val="clear" w:color="auto" w:fill="FFFFFF" w:themeFill="background1"/>
          </w:tcPr>
          <w:p w14:paraId="4251E61C" w14:textId="77777777" w:rsidR="002B65B9" w:rsidRPr="00EE6144" w:rsidRDefault="002B65B9" w:rsidP="0003380F">
            <w:pPr>
              <w:spacing w:after="0" w:line="240" w:lineRule="auto"/>
              <w:jc w:val="center"/>
              <w:rPr>
                <w:b/>
                <w:sz w:val="20"/>
              </w:rPr>
            </w:pPr>
            <w:r w:rsidRPr="00EE6144">
              <w:rPr>
                <w:b/>
                <w:bCs/>
                <w:sz w:val="20"/>
              </w:rPr>
              <w:t>(n=6,401)</w:t>
            </w:r>
          </w:p>
        </w:tc>
        <w:tc>
          <w:tcPr>
            <w:tcW w:w="630" w:type="dxa"/>
            <w:tcBorders>
              <w:top w:val="nil"/>
              <w:left w:val="nil"/>
              <w:bottom w:val="nil"/>
              <w:right w:val="nil"/>
            </w:tcBorders>
            <w:shd w:val="clear" w:color="auto" w:fill="FFFFFF" w:themeFill="background1"/>
          </w:tcPr>
          <w:p w14:paraId="5AF59C55" w14:textId="77777777" w:rsidR="002B65B9" w:rsidRPr="00EE6144" w:rsidRDefault="002B65B9" w:rsidP="0003380F">
            <w:pPr>
              <w:spacing w:after="0" w:line="240" w:lineRule="auto"/>
              <w:jc w:val="center"/>
              <w:rPr>
                <w:b/>
                <w:sz w:val="20"/>
              </w:rPr>
            </w:pPr>
          </w:p>
        </w:tc>
        <w:tc>
          <w:tcPr>
            <w:tcW w:w="1530" w:type="dxa"/>
            <w:tcBorders>
              <w:top w:val="nil"/>
              <w:left w:val="nil"/>
              <w:bottom w:val="nil"/>
              <w:right w:val="nil"/>
            </w:tcBorders>
            <w:shd w:val="clear" w:color="auto" w:fill="FFFFFF" w:themeFill="background1"/>
          </w:tcPr>
          <w:p w14:paraId="1B7B52C1" w14:textId="77777777" w:rsidR="002B65B9" w:rsidRPr="00EE6144" w:rsidRDefault="002B65B9" w:rsidP="0003380F">
            <w:pPr>
              <w:spacing w:after="0" w:line="240" w:lineRule="auto"/>
              <w:jc w:val="center"/>
              <w:rPr>
                <w:b/>
                <w:sz w:val="20"/>
              </w:rPr>
            </w:pPr>
            <w:r w:rsidRPr="00EE6144">
              <w:rPr>
                <w:b/>
                <w:bCs/>
                <w:sz w:val="20"/>
              </w:rPr>
              <w:t>(n=4,526)</w:t>
            </w:r>
          </w:p>
        </w:tc>
        <w:tc>
          <w:tcPr>
            <w:tcW w:w="630" w:type="dxa"/>
            <w:tcBorders>
              <w:top w:val="nil"/>
              <w:left w:val="nil"/>
              <w:bottom w:val="nil"/>
              <w:right w:val="nil"/>
            </w:tcBorders>
            <w:shd w:val="clear" w:color="auto" w:fill="FFFFFF" w:themeFill="background1"/>
          </w:tcPr>
          <w:p w14:paraId="652282D7" w14:textId="77777777" w:rsidR="002B65B9" w:rsidRPr="00EE6144" w:rsidRDefault="002B65B9" w:rsidP="0003380F">
            <w:pPr>
              <w:spacing w:after="0" w:line="240" w:lineRule="auto"/>
              <w:jc w:val="center"/>
              <w:rPr>
                <w:b/>
                <w:sz w:val="20"/>
              </w:rPr>
            </w:pPr>
          </w:p>
        </w:tc>
        <w:tc>
          <w:tcPr>
            <w:tcW w:w="1530" w:type="dxa"/>
            <w:tcBorders>
              <w:top w:val="nil"/>
              <w:left w:val="nil"/>
              <w:bottom w:val="nil"/>
              <w:right w:val="nil"/>
            </w:tcBorders>
            <w:shd w:val="clear" w:color="auto" w:fill="FFFFFF" w:themeFill="background1"/>
          </w:tcPr>
          <w:p w14:paraId="78024BF1" w14:textId="77777777" w:rsidR="002B65B9" w:rsidRPr="00EE6144" w:rsidRDefault="002B65B9" w:rsidP="0003380F">
            <w:pPr>
              <w:spacing w:after="0" w:line="240" w:lineRule="auto"/>
              <w:jc w:val="center"/>
              <w:rPr>
                <w:b/>
                <w:sz w:val="20"/>
              </w:rPr>
            </w:pPr>
            <w:r w:rsidRPr="00EE6144">
              <w:rPr>
                <w:b/>
                <w:sz w:val="20"/>
              </w:rPr>
              <w:t>(n=5,539)</w:t>
            </w:r>
          </w:p>
        </w:tc>
        <w:tc>
          <w:tcPr>
            <w:tcW w:w="630" w:type="dxa"/>
            <w:tcBorders>
              <w:top w:val="nil"/>
              <w:left w:val="nil"/>
              <w:bottom w:val="nil"/>
              <w:right w:val="nil"/>
            </w:tcBorders>
            <w:shd w:val="clear" w:color="auto" w:fill="FFFFFF" w:themeFill="background1"/>
          </w:tcPr>
          <w:p w14:paraId="0B285497" w14:textId="77777777" w:rsidR="002B65B9" w:rsidRPr="00EE6144" w:rsidRDefault="002B65B9" w:rsidP="0003380F">
            <w:pPr>
              <w:spacing w:after="0" w:line="240" w:lineRule="auto"/>
              <w:jc w:val="center"/>
              <w:rPr>
                <w:b/>
                <w:sz w:val="20"/>
              </w:rPr>
            </w:pPr>
          </w:p>
        </w:tc>
        <w:tc>
          <w:tcPr>
            <w:tcW w:w="1635" w:type="dxa"/>
            <w:tcBorders>
              <w:top w:val="nil"/>
              <w:left w:val="nil"/>
              <w:bottom w:val="nil"/>
              <w:right w:val="nil"/>
            </w:tcBorders>
            <w:shd w:val="clear" w:color="auto" w:fill="FFFFFF" w:themeFill="background1"/>
          </w:tcPr>
          <w:p w14:paraId="2541D809" w14:textId="77777777" w:rsidR="002B65B9" w:rsidRPr="00EE6144" w:rsidRDefault="002B65B9" w:rsidP="0003380F">
            <w:pPr>
              <w:spacing w:after="0" w:line="240" w:lineRule="auto"/>
              <w:jc w:val="center"/>
              <w:rPr>
                <w:b/>
                <w:sz w:val="20"/>
              </w:rPr>
            </w:pPr>
            <w:r w:rsidRPr="00EE6144">
              <w:rPr>
                <w:b/>
                <w:sz w:val="20"/>
              </w:rPr>
              <w:t>(n=1,744)</w:t>
            </w:r>
          </w:p>
        </w:tc>
        <w:tc>
          <w:tcPr>
            <w:tcW w:w="540" w:type="dxa"/>
            <w:tcBorders>
              <w:top w:val="nil"/>
              <w:left w:val="nil"/>
              <w:bottom w:val="nil"/>
              <w:right w:val="nil"/>
            </w:tcBorders>
            <w:shd w:val="clear" w:color="auto" w:fill="FFFFFF" w:themeFill="background1"/>
          </w:tcPr>
          <w:p w14:paraId="6A098711" w14:textId="77777777" w:rsidR="002B65B9" w:rsidRPr="00EE6144" w:rsidRDefault="002B65B9" w:rsidP="0003380F">
            <w:pPr>
              <w:spacing w:after="0" w:line="240" w:lineRule="auto"/>
              <w:jc w:val="center"/>
              <w:rPr>
                <w:b/>
                <w:sz w:val="20"/>
              </w:rPr>
            </w:pPr>
          </w:p>
        </w:tc>
        <w:tc>
          <w:tcPr>
            <w:tcW w:w="1530" w:type="dxa"/>
            <w:tcBorders>
              <w:top w:val="nil"/>
              <w:left w:val="nil"/>
              <w:bottom w:val="nil"/>
              <w:right w:val="nil"/>
            </w:tcBorders>
            <w:shd w:val="clear" w:color="auto" w:fill="FFFFFF" w:themeFill="background1"/>
          </w:tcPr>
          <w:p w14:paraId="0A8F810E" w14:textId="77777777" w:rsidR="002B65B9" w:rsidRPr="00EE6144" w:rsidRDefault="002B65B9" w:rsidP="0003380F">
            <w:pPr>
              <w:spacing w:after="0" w:line="240" w:lineRule="auto"/>
              <w:jc w:val="center"/>
              <w:rPr>
                <w:b/>
                <w:sz w:val="20"/>
              </w:rPr>
            </w:pPr>
            <w:r w:rsidRPr="00EE6144">
              <w:rPr>
                <w:b/>
                <w:sz w:val="20"/>
              </w:rPr>
              <w:t>(n=1,758)</w:t>
            </w:r>
          </w:p>
        </w:tc>
        <w:tc>
          <w:tcPr>
            <w:tcW w:w="540" w:type="dxa"/>
            <w:tcBorders>
              <w:top w:val="nil"/>
              <w:left w:val="nil"/>
              <w:bottom w:val="nil"/>
              <w:right w:val="nil"/>
            </w:tcBorders>
            <w:shd w:val="clear" w:color="auto" w:fill="FFFFFF" w:themeFill="background1"/>
          </w:tcPr>
          <w:p w14:paraId="3E569C73" w14:textId="77777777" w:rsidR="002B65B9" w:rsidRPr="00EE6144" w:rsidRDefault="002B65B9" w:rsidP="0003380F">
            <w:pPr>
              <w:spacing w:after="0" w:line="240" w:lineRule="auto"/>
              <w:jc w:val="center"/>
              <w:rPr>
                <w:b/>
                <w:i/>
                <w:sz w:val="20"/>
              </w:rPr>
            </w:pPr>
          </w:p>
        </w:tc>
      </w:tr>
      <w:tr w:rsidR="002B65B9" w:rsidRPr="00272761" w14:paraId="5D065A54" w14:textId="77777777" w:rsidTr="0003380F">
        <w:trPr>
          <w:trHeight w:val="20"/>
        </w:trPr>
        <w:tc>
          <w:tcPr>
            <w:tcW w:w="795" w:type="dxa"/>
            <w:tcBorders>
              <w:top w:val="nil"/>
              <w:left w:val="nil"/>
              <w:bottom w:val="single" w:sz="4" w:space="0" w:color="auto"/>
              <w:right w:val="nil"/>
            </w:tcBorders>
            <w:shd w:val="clear" w:color="auto" w:fill="FFFFFF" w:themeFill="background1"/>
            <w:noWrap/>
            <w:hideMark/>
          </w:tcPr>
          <w:p w14:paraId="335C9C12" w14:textId="77777777" w:rsidR="002B65B9" w:rsidRPr="00EE6144" w:rsidRDefault="002B65B9" w:rsidP="0003380F">
            <w:pPr>
              <w:spacing w:after="0" w:line="240" w:lineRule="auto"/>
              <w:jc w:val="center"/>
              <w:rPr>
                <w:b/>
                <w:sz w:val="20"/>
              </w:rPr>
            </w:pPr>
            <w:r w:rsidRPr="00EE6144">
              <w:rPr>
                <w:b/>
                <w:sz w:val="20"/>
              </w:rPr>
              <w:t>Rank</w:t>
            </w:r>
          </w:p>
        </w:tc>
        <w:tc>
          <w:tcPr>
            <w:tcW w:w="1530" w:type="dxa"/>
            <w:tcBorders>
              <w:top w:val="nil"/>
              <w:left w:val="nil"/>
              <w:bottom w:val="single" w:sz="4" w:space="0" w:color="auto"/>
              <w:right w:val="nil"/>
            </w:tcBorders>
            <w:shd w:val="clear" w:color="auto" w:fill="FFFFFF" w:themeFill="background1"/>
            <w:noWrap/>
            <w:hideMark/>
          </w:tcPr>
          <w:p w14:paraId="02DC37EF" w14:textId="77777777" w:rsidR="002B65B9" w:rsidRPr="00EE6144" w:rsidRDefault="002B65B9" w:rsidP="0003380F">
            <w:pPr>
              <w:spacing w:after="0" w:line="240" w:lineRule="auto"/>
              <w:jc w:val="center"/>
              <w:rPr>
                <w:b/>
                <w:bCs/>
                <w:sz w:val="20"/>
              </w:rPr>
            </w:pPr>
            <w:r w:rsidRPr="00EE6144">
              <w:rPr>
                <w:b/>
                <w:bCs/>
                <w:sz w:val="20"/>
              </w:rPr>
              <w:t>Medication</w:t>
            </w:r>
          </w:p>
        </w:tc>
        <w:tc>
          <w:tcPr>
            <w:tcW w:w="630" w:type="dxa"/>
            <w:tcBorders>
              <w:top w:val="nil"/>
              <w:left w:val="nil"/>
              <w:bottom w:val="single" w:sz="4" w:space="0" w:color="auto"/>
              <w:right w:val="nil"/>
            </w:tcBorders>
            <w:shd w:val="clear" w:color="auto" w:fill="FFFFFF" w:themeFill="background1"/>
            <w:noWrap/>
            <w:hideMark/>
          </w:tcPr>
          <w:p w14:paraId="555A73AF" w14:textId="77777777" w:rsidR="002B65B9" w:rsidRPr="00EE6144" w:rsidRDefault="002B65B9" w:rsidP="0003380F">
            <w:pPr>
              <w:spacing w:after="0" w:line="240" w:lineRule="auto"/>
              <w:jc w:val="center"/>
              <w:rPr>
                <w:b/>
                <w:bCs/>
                <w:sz w:val="20"/>
              </w:rPr>
            </w:pPr>
            <w:r w:rsidRPr="00EE6144">
              <w:rPr>
                <w:b/>
                <w:bCs/>
                <w:sz w:val="20"/>
              </w:rPr>
              <w:t>%</w:t>
            </w:r>
          </w:p>
        </w:tc>
        <w:tc>
          <w:tcPr>
            <w:tcW w:w="1530" w:type="dxa"/>
            <w:tcBorders>
              <w:top w:val="nil"/>
              <w:left w:val="nil"/>
              <w:bottom w:val="single" w:sz="4" w:space="0" w:color="auto"/>
              <w:right w:val="nil"/>
            </w:tcBorders>
            <w:shd w:val="clear" w:color="auto" w:fill="FFFFFF" w:themeFill="background1"/>
          </w:tcPr>
          <w:p w14:paraId="0A14F2B2" w14:textId="77777777" w:rsidR="002B65B9" w:rsidRPr="00EE6144" w:rsidRDefault="002B65B9" w:rsidP="0003380F">
            <w:pPr>
              <w:spacing w:after="0" w:line="240" w:lineRule="auto"/>
              <w:jc w:val="center"/>
              <w:rPr>
                <w:b/>
                <w:bCs/>
                <w:sz w:val="20"/>
              </w:rPr>
            </w:pPr>
            <w:r w:rsidRPr="00EE6144">
              <w:rPr>
                <w:b/>
                <w:bCs/>
                <w:sz w:val="20"/>
              </w:rPr>
              <w:t>Medication</w:t>
            </w:r>
          </w:p>
        </w:tc>
        <w:tc>
          <w:tcPr>
            <w:tcW w:w="630" w:type="dxa"/>
            <w:tcBorders>
              <w:top w:val="nil"/>
              <w:left w:val="nil"/>
              <w:bottom w:val="single" w:sz="4" w:space="0" w:color="auto"/>
              <w:right w:val="nil"/>
            </w:tcBorders>
            <w:shd w:val="clear" w:color="auto" w:fill="FFFFFF" w:themeFill="background1"/>
          </w:tcPr>
          <w:p w14:paraId="60AF5348" w14:textId="77777777" w:rsidR="002B65B9" w:rsidRPr="00EE6144" w:rsidRDefault="002B65B9" w:rsidP="0003380F">
            <w:pPr>
              <w:spacing w:after="0" w:line="240" w:lineRule="auto"/>
              <w:jc w:val="center"/>
              <w:rPr>
                <w:b/>
                <w:bCs/>
                <w:sz w:val="20"/>
              </w:rPr>
            </w:pPr>
            <w:r w:rsidRPr="00EE6144">
              <w:rPr>
                <w:b/>
                <w:bCs/>
                <w:sz w:val="20"/>
              </w:rPr>
              <w:t>%</w:t>
            </w:r>
          </w:p>
        </w:tc>
        <w:tc>
          <w:tcPr>
            <w:tcW w:w="1530" w:type="dxa"/>
            <w:tcBorders>
              <w:top w:val="nil"/>
              <w:left w:val="nil"/>
              <w:bottom w:val="single" w:sz="4" w:space="0" w:color="auto"/>
              <w:right w:val="nil"/>
            </w:tcBorders>
            <w:shd w:val="clear" w:color="auto" w:fill="FFFFFF" w:themeFill="background1"/>
          </w:tcPr>
          <w:p w14:paraId="411AC8F9" w14:textId="77777777" w:rsidR="002B65B9" w:rsidRPr="00EE6144" w:rsidRDefault="002B65B9" w:rsidP="0003380F">
            <w:pPr>
              <w:spacing w:after="0" w:line="240" w:lineRule="auto"/>
              <w:jc w:val="center"/>
              <w:rPr>
                <w:b/>
                <w:bCs/>
                <w:sz w:val="20"/>
              </w:rPr>
            </w:pPr>
            <w:r w:rsidRPr="00EE6144">
              <w:rPr>
                <w:b/>
                <w:bCs/>
                <w:sz w:val="20"/>
              </w:rPr>
              <w:t>Medication</w:t>
            </w:r>
          </w:p>
        </w:tc>
        <w:tc>
          <w:tcPr>
            <w:tcW w:w="630" w:type="dxa"/>
            <w:tcBorders>
              <w:top w:val="nil"/>
              <w:left w:val="nil"/>
              <w:bottom w:val="single" w:sz="4" w:space="0" w:color="auto"/>
              <w:right w:val="nil"/>
            </w:tcBorders>
            <w:shd w:val="clear" w:color="auto" w:fill="FFFFFF" w:themeFill="background1"/>
          </w:tcPr>
          <w:p w14:paraId="3B9CCDCD" w14:textId="77777777" w:rsidR="002B65B9" w:rsidRPr="00EE6144" w:rsidRDefault="002B65B9" w:rsidP="0003380F">
            <w:pPr>
              <w:spacing w:after="0" w:line="240" w:lineRule="auto"/>
              <w:jc w:val="center"/>
              <w:rPr>
                <w:b/>
                <w:bCs/>
                <w:sz w:val="20"/>
              </w:rPr>
            </w:pPr>
            <w:r w:rsidRPr="00EE6144">
              <w:rPr>
                <w:b/>
                <w:bCs/>
                <w:sz w:val="20"/>
              </w:rPr>
              <w:t>%</w:t>
            </w:r>
          </w:p>
        </w:tc>
        <w:tc>
          <w:tcPr>
            <w:tcW w:w="1530" w:type="dxa"/>
            <w:tcBorders>
              <w:top w:val="nil"/>
              <w:left w:val="nil"/>
              <w:bottom w:val="single" w:sz="4" w:space="0" w:color="auto"/>
              <w:right w:val="nil"/>
            </w:tcBorders>
            <w:shd w:val="clear" w:color="auto" w:fill="FFFFFF" w:themeFill="background1"/>
          </w:tcPr>
          <w:p w14:paraId="0990070B" w14:textId="77777777" w:rsidR="002B65B9" w:rsidRPr="00EE6144" w:rsidRDefault="002B65B9" w:rsidP="0003380F">
            <w:pPr>
              <w:spacing w:after="0" w:line="240" w:lineRule="auto"/>
              <w:jc w:val="center"/>
              <w:rPr>
                <w:b/>
                <w:bCs/>
                <w:sz w:val="20"/>
              </w:rPr>
            </w:pPr>
            <w:r w:rsidRPr="00EE6144">
              <w:rPr>
                <w:b/>
                <w:bCs/>
                <w:sz w:val="20"/>
              </w:rPr>
              <w:t>Medication</w:t>
            </w:r>
          </w:p>
        </w:tc>
        <w:tc>
          <w:tcPr>
            <w:tcW w:w="630" w:type="dxa"/>
            <w:tcBorders>
              <w:top w:val="nil"/>
              <w:left w:val="nil"/>
              <w:bottom w:val="single" w:sz="4" w:space="0" w:color="auto"/>
              <w:right w:val="nil"/>
            </w:tcBorders>
            <w:shd w:val="clear" w:color="auto" w:fill="FFFFFF" w:themeFill="background1"/>
          </w:tcPr>
          <w:p w14:paraId="756AF51A" w14:textId="77777777" w:rsidR="002B65B9" w:rsidRPr="00EE6144" w:rsidRDefault="002B65B9" w:rsidP="0003380F">
            <w:pPr>
              <w:spacing w:after="0" w:line="240" w:lineRule="auto"/>
              <w:jc w:val="center"/>
              <w:rPr>
                <w:b/>
                <w:bCs/>
                <w:sz w:val="20"/>
              </w:rPr>
            </w:pPr>
            <w:r w:rsidRPr="00EE6144">
              <w:rPr>
                <w:b/>
                <w:bCs/>
                <w:sz w:val="20"/>
              </w:rPr>
              <w:t>%</w:t>
            </w:r>
          </w:p>
        </w:tc>
        <w:tc>
          <w:tcPr>
            <w:tcW w:w="1635" w:type="dxa"/>
            <w:tcBorders>
              <w:top w:val="nil"/>
              <w:left w:val="nil"/>
              <w:bottom w:val="single" w:sz="4" w:space="0" w:color="auto"/>
              <w:right w:val="nil"/>
            </w:tcBorders>
            <w:shd w:val="clear" w:color="auto" w:fill="FFFFFF" w:themeFill="background1"/>
          </w:tcPr>
          <w:p w14:paraId="2349EAEC" w14:textId="77777777" w:rsidR="002B65B9" w:rsidRPr="00EE6144" w:rsidRDefault="002B65B9" w:rsidP="0003380F">
            <w:pPr>
              <w:spacing w:after="0" w:line="240" w:lineRule="auto"/>
              <w:jc w:val="center"/>
              <w:rPr>
                <w:b/>
                <w:bCs/>
                <w:sz w:val="20"/>
              </w:rPr>
            </w:pPr>
            <w:r w:rsidRPr="00EE6144">
              <w:rPr>
                <w:b/>
                <w:bCs/>
                <w:sz w:val="20"/>
              </w:rPr>
              <w:t>Medication</w:t>
            </w:r>
          </w:p>
        </w:tc>
        <w:tc>
          <w:tcPr>
            <w:tcW w:w="540" w:type="dxa"/>
            <w:tcBorders>
              <w:top w:val="nil"/>
              <w:left w:val="nil"/>
              <w:bottom w:val="single" w:sz="4" w:space="0" w:color="auto"/>
              <w:right w:val="nil"/>
            </w:tcBorders>
            <w:shd w:val="clear" w:color="auto" w:fill="FFFFFF" w:themeFill="background1"/>
          </w:tcPr>
          <w:p w14:paraId="65C6189A" w14:textId="77777777" w:rsidR="002B65B9" w:rsidRPr="00EE6144" w:rsidRDefault="002B65B9" w:rsidP="0003380F">
            <w:pPr>
              <w:spacing w:after="0" w:line="240" w:lineRule="auto"/>
              <w:jc w:val="center"/>
              <w:rPr>
                <w:b/>
                <w:bCs/>
                <w:sz w:val="20"/>
              </w:rPr>
            </w:pPr>
            <w:r w:rsidRPr="00EE6144">
              <w:rPr>
                <w:b/>
                <w:bCs/>
                <w:sz w:val="20"/>
              </w:rPr>
              <w:t>%</w:t>
            </w:r>
          </w:p>
        </w:tc>
        <w:tc>
          <w:tcPr>
            <w:tcW w:w="1530" w:type="dxa"/>
            <w:tcBorders>
              <w:top w:val="nil"/>
              <w:left w:val="nil"/>
              <w:bottom w:val="single" w:sz="4" w:space="0" w:color="auto"/>
              <w:right w:val="nil"/>
            </w:tcBorders>
            <w:shd w:val="clear" w:color="auto" w:fill="FFFFFF" w:themeFill="background1"/>
          </w:tcPr>
          <w:p w14:paraId="7BAAC6F9" w14:textId="77777777" w:rsidR="002B65B9" w:rsidRPr="00EE6144" w:rsidRDefault="002B65B9" w:rsidP="0003380F">
            <w:pPr>
              <w:spacing w:after="0" w:line="240" w:lineRule="auto"/>
              <w:jc w:val="center"/>
              <w:rPr>
                <w:b/>
                <w:bCs/>
                <w:sz w:val="20"/>
              </w:rPr>
            </w:pPr>
            <w:r w:rsidRPr="00EE6144">
              <w:rPr>
                <w:b/>
                <w:bCs/>
                <w:sz w:val="20"/>
              </w:rPr>
              <w:t>Medication</w:t>
            </w:r>
          </w:p>
        </w:tc>
        <w:tc>
          <w:tcPr>
            <w:tcW w:w="540" w:type="dxa"/>
            <w:tcBorders>
              <w:top w:val="nil"/>
              <w:left w:val="nil"/>
              <w:bottom w:val="single" w:sz="4" w:space="0" w:color="auto"/>
              <w:right w:val="nil"/>
            </w:tcBorders>
            <w:shd w:val="clear" w:color="auto" w:fill="FFFFFF" w:themeFill="background1"/>
          </w:tcPr>
          <w:p w14:paraId="61A04866" w14:textId="77777777" w:rsidR="002B65B9" w:rsidRPr="00EE6144" w:rsidRDefault="002B65B9" w:rsidP="0003380F">
            <w:pPr>
              <w:spacing w:after="0" w:line="240" w:lineRule="auto"/>
              <w:jc w:val="center"/>
              <w:rPr>
                <w:b/>
                <w:bCs/>
                <w:sz w:val="20"/>
              </w:rPr>
            </w:pPr>
            <w:r w:rsidRPr="00EE6144">
              <w:rPr>
                <w:b/>
                <w:bCs/>
                <w:sz w:val="20"/>
              </w:rPr>
              <w:t>%</w:t>
            </w:r>
          </w:p>
        </w:tc>
      </w:tr>
      <w:tr w:rsidR="002B65B9" w:rsidRPr="00272761" w14:paraId="0A9C1305" w14:textId="77777777" w:rsidTr="0003380F">
        <w:trPr>
          <w:trHeight w:val="20"/>
        </w:trPr>
        <w:tc>
          <w:tcPr>
            <w:tcW w:w="795" w:type="dxa"/>
            <w:tcBorders>
              <w:top w:val="single" w:sz="4" w:space="0" w:color="auto"/>
              <w:left w:val="nil"/>
              <w:bottom w:val="nil"/>
              <w:right w:val="nil"/>
            </w:tcBorders>
            <w:shd w:val="clear" w:color="auto" w:fill="FFFFFF" w:themeFill="background1"/>
            <w:noWrap/>
            <w:hideMark/>
          </w:tcPr>
          <w:p w14:paraId="026B27B2" w14:textId="77777777" w:rsidR="002B65B9" w:rsidRDefault="002B65B9" w:rsidP="0003380F">
            <w:pPr>
              <w:spacing w:after="0" w:line="240" w:lineRule="auto"/>
              <w:rPr>
                <w:sz w:val="20"/>
              </w:rPr>
            </w:pPr>
            <w:r w:rsidRPr="00846A91">
              <w:rPr>
                <w:sz w:val="20"/>
              </w:rPr>
              <w:t>1</w:t>
            </w:r>
          </w:p>
          <w:p w14:paraId="57C42A39" w14:textId="77777777" w:rsidR="009C6575" w:rsidRPr="00846A91" w:rsidRDefault="009C6575" w:rsidP="0003380F">
            <w:pPr>
              <w:spacing w:after="0" w:line="240" w:lineRule="auto"/>
              <w:rPr>
                <w:sz w:val="20"/>
              </w:rPr>
            </w:pPr>
          </w:p>
        </w:tc>
        <w:tc>
          <w:tcPr>
            <w:tcW w:w="1530" w:type="dxa"/>
            <w:tcBorders>
              <w:top w:val="single" w:sz="4" w:space="0" w:color="auto"/>
              <w:left w:val="nil"/>
              <w:bottom w:val="nil"/>
              <w:right w:val="nil"/>
            </w:tcBorders>
            <w:shd w:val="clear" w:color="auto" w:fill="FFFFFF" w:themeFill="background1"/>
            <w:noWrap/>
            <w:hideMark/>
          </w:tcPr>
          <w:p w14:paraId="1B94A127" w14:textId="77777777" w:rsidR="002B65B9" w:rsidRPr="00846A91" w:rsidRDefault="002B65B9" w:rsidP="0003380F">
            <w:pPr>
              <w:spacing w:after="0" w:line="240" w:lineRule="auto"/>
              <w:jc w:val="both"/>
              <w:rPr>
                <w:sz w:val="20"/>
              </w:rPr>
            </w:pPr>
            <w:r w:rsidRPr="00846A91">
              <w:rPr>
                <w:sz w:val="20"/>
              </w:rPr>
              <w:t xml:space="preserve">Levothyroxine </w:t>
            </w:r>
          </w:p>
        </w:tc>
        <w:tc>
          <w:tcPr>
            <w:tcW w:w="630" w:type="dxa"/>
            <w:tcBorders>
              <w:top w:val="single" w:sz="4" w:space="0" w:color="auto"/>
              <w:left w:val="nil"/>
              <w:bottom w:val="nil"/>
              <w:right w:val="nil"/>
            </w:tcBorders>
            <w:shd w:val="clear" w:color="auto" w:fill="FFFFFF" w:themeFill="background1"/>
            <w:noWrap/>
            <w:hideMark/>
          </w:tcPr>
          <w:p w14:paraId="2FF723D8" w14:textId="77777777" w:rsidR="002B65B9" w:rsidRPr="00846A91" w:rsidRDefault="002B65B9" w:rsidP="0003380F">
            <w:pPr>
              <w:spacing w:after="0" w:line="240" w:lineRule="auto"/>
              <w:jc w:val="center"/>
              <w:rPr>
                <w:sz w:val="20"/>
              </w:rPr>
            </w:pPr>
            <w:r w:rsidRPr="00846A91">
              <w:rPr>
                <w:sz w:val="20"/>
              </w:rPr>
              <w:t>12.9</w:t>
            </w:r>
          </w:p>
        </w:tc>
        <w:tc>
          <w:tcPr>
            <w:tcW w:w="1530" w:type="dxa"/>
            <w:tcBorders>
              <w:top w:val="single" w:sz="4" w:space="0" w:color="auto"/>
              <w:left w:val="nil"/>
              <w:bottom w:val="nil"/>
              <w:right w:val="nil"/>
            </w:tcBorders>
            <w:shd w:val="clear" w:color="auto" w:fill="FFFFFF" w:themeFill="background1"/>
          </w:tcPr>
          <w:p w14:paraId="3726E4AB" w14:textId="77777777" w:rsidR="002B65B9" w:rsidRPr="00846A91" w:rsidRDefault="002B65B9" w:rsidP="0003380F">
            <w:pPr>
              <w:spacing w:after="0" w:line="240" w:lineRule="auto"/>
              <w:rPr>
                <w:sz w:val="20"/>
              </w:rPr>
            </w:pPr>
            <w:r w:rsidRPr="00846A91">
              <w:rPr>
                <w:sz w:val="20"/>
              </w:rPr>
              <w:t xml:space="preserve">Levothyroxine </w:t>
            </w:r>
          </w:p>
        </w:tc>
        <w:tc>
          <w:tcPr>
            <w:tcW w:w="630" w:type="dxa"/>
            <w:tcBorders>
              <w:top w:val="single" w:sz="4" w:space="0" w:color="auto"/>
              <w:left w:val="nil"/>
              <w:bottom w:val="nil"/>
              <w:right w:val="nil"/>
            </w:tcBorders>
            <w:shd w:val="clear" w:color="auto" w:fill="FFFFFF" w:themeFill="background1"/>
          </w:tcPr>
          <w:p w14:paraId="6A1F4DBC" w14:textId="77777777" w:rsidR="002B65B9" w:rsidRPr="00846A91" w:rsidRDefault="002B65B9" w:rsidP="0003380F">
            <w:pPr>
              <w:spacing w:after="0" w:line="240" w:lineRule="auto"/>
              <w:jc w:val="center"/>
              <w:rPr>
                <w:sz w:val="20"/>
              </w:rPr>
            </w:pPr>
            <w:r w:rsidRPr="00846A91">
              <w:rPr>
                <w:sz w:val="20"/>
              </w:rPr>
              <w:t>11.2</w:t>
            </w:r>
          </w:p>
        </w:tc>
        <w:tc>
          <w:tcPr>
            <w:tcW w:w="1530" w:type="dxa"/>
            <w:tcBorders>
              <w:top w:val="single" w:sz="4" w:space="0" w:color="auto"/>
              <w:left w:val="nil"/>
              <w:bottom w:val="nil"/>
              <w:right w:val="nil"/>
            </w:tcBorders>
            <w:shd w:val="clear" w:color="auto" w:fill="FFFFFF" w:themeFill="background1"/>
          </w:tcPr>
          <w:p w14:paraId="4DF6086D" w14:textId="77777777" w:rsidR="002B65B9" w:rsidRPr="00846A91" w:rsidRDefault="002B65B9" w:rsidP="0003380F">
            <w:pPr>
              <w:spacing w:after="0" w:line="240" w:lineRule="auto"/>
              <w:rPr>
                <w:sz w:val="20"/>
              </w:rPr>
            </w:pPr>
            <w:r w:rsidRPr="00846A91">
              <w:rPr>
                <w:sz w:val="20"/>
              </w:rPr>
              <w:t>Furosemide</w:t>
            </w:r>
          </w:p>
        </w:tc>
        <w:tc>
          <w:tcPr>
            <w:tcW w:w="630" w:type="dxa"/>
            <w:tcBorders>
              <w:top w:val="single" w:sz="4" w:space="0" w:color="auto"/>
              <w:left w:val="nil"/>
              <w:bottom w:val="nil"/>
              <w:right w:val="nil"/>
            </w:tcBorders>
            <w:shd w:val="clear" w:color="auto" w:fill="FFFFFF" w:themeFill="background1"/>
          </w:tcPr>
          <w:p w14:paraId="72AE2359" w14:textId="77777777" w:rsidR="002B65B9" w:rsidRPr="00846A91" w:rsidRDefault="002B65B9" w:rsidP="0003380F">
            <w:pPr>
              <w:spacing w:after="0" w:line="240" w:lineRule="auto"/>
              <w:jc w:val="center"/>
              <w:rPr>
                <w:sz w:val="20"/>
              </w:rPr>
            </w:pPr>
            <w:r w:rsidRPr="00846A91">
              <w:rPr>
                <w:sz w:val="20"/>
              </w:rPr>
              <w:t>11.1</w:t>
            </w:r>
          </w:p>
        </w:tc>
        <w:tc>
          <w:tcPr>
            <w:tcW w:w="1530" w:type="dxa"/>
            <w:tcBorders>
              <w:top w:val="single" w:sz="4" w:space="0" w:color="auto"/>
              <w:left w:val="nil"/>
              <w:bottom w:val="nil"/>
              <w:right w:val="nil"/>
            </w:tcBorders>
            <w:shd w:val="clear" w:color="auto" w:fill="FFFFFF" w:themeFill="background1"/>
          </w:tcPr>
          <w:p w14:paraId="1D8F00CD" w14:textId="77777777" w:rsidR="002B65B9" w:rsidRPr="00846A91" w:rsidRDefault="002B65B9" w:rsidP="0003380F">
            <w:pPr>
              <w:spacing w:after="0" w:line="240" w:lineRule="auto"/>
              <w:rPr>
                <w:sz w:val="20"/>
              </w:rPr>
            </w:pPr>
            <w:r w:rsidRPr="00846A91">
              <w:rPr>
                <w:sz w:val="20"/>
              </w:rPr>
              <w:t>Furosemide</w:t>
            </w:r>
          </w:p>
        </w:tc>
        <w:tc>
          <w:tcPr>
            <w:tcW w:w="630" w:type="dxa"/>
            <w:tcBorders>
              <w:top w:val="single" w:sz="4" w:space="0" w:color="auto"/>
              <w:left w:val="nil"/>
              <w:bottom w:val="nil"/>
              <w:right w:val="nil"/>
            </w:tcBorders>
            <w:shd w:val="clear" w:color="auto" w:fill="FFFFFF" w:themeFill="background1"/>
          </w:tcPr>
          <w:p w14:paraId="121E6881" w14:textId="77777777" w:rsidR="002B65B9" w:rsidRPr="00846A91" w:rsidRDefault="002B65B9" w:rsidP="0003380F">
            <w:pPr>
              <w:spacing w:after="0" w:line="240" w:lineRule="auto"/>
              <w:jc w:val="center"/>
              <w:rPr>
                <w:sz w:val="20"/>
              </w:rPr>
            </w:pPr>
            <w:r w:rsidRPr="00846A91">
              <w:rPr>
                <w:sz w:val="20"/>
              </w:rPr>
              <w:t>14.1</w:t>
            </w:r>
          </w:p>
        </w:tc>
        <w:tc>
          <w:tcPr>
            <w:tcW w:w="1635" w:type="dxa"/>
            <w:tcBorders>
              <w:top w:val="single" w:sz="4" w:space="0" w:color="auto"/>
              <w:left w:val="nil"/>
              <w:bottom w:val="nil"/>
              <w:right w:val="nil"/>
            </w:tcBorders>
            <w:shd w:val="clear" w:color="auto" w:fill="FFFFFF" w:themeFill="background1"/>
          </w:tcPr>
          <w:p w14:paraId="339BE0E6" w14:textId="77777777" w:rsidR="002B65B9" w:rsidRPr="00846A91" w:rsidRDefault="002B65B9" w:rsidP="0003380F">
            <w:pPr>
              <w:spacing w:after="0" w:line="240" w:lineRule="auto"/>
              <w:rPr>
                <w:sz w:val="20"/>
              </w:rPr>
            </w:pPr>
            <w:r w:rsidRPr="00846A91">
              <w:rPr>
                <w:sz w:val="20"/>
              </w:rPr>
              <w:t>Morphine</w:t>
            </w:r>
          </w:p>
        </w:tc>
        <w:tc>
          <w:tcPr>
            <w:tcW w:w="540" w:type="dxa"/>
            <w:tcBorders>
              <w:top w:val="single" w:sz="4" w:space="0" w:color="auto"/>
              <w:left w:val="nil"/>
              <w:bottom w:val="nil"/>
              <w:right w:val="nil"/>
            </w:tcBorders>
            <w:shd w:val="clear" w:color="auto" w:fill="FFFFFF" w:themeFill="background1"/>
          </w:tcPr>
          <w:p w14:paraId="7E0FAEB1" w14:textId="77777777" w:rsidR="002B65B9" w:rsidRPr="00846A91" w:rsidRDefault="002B65B9" w:rsidP="0003380F">
            <w:pPr>
              <w:spacing w:after="0" w:line="240" w:lineRule="auto"/>
              <w:jc w:val="center"/>
              <w:rPr>
                <w:sz w:val="20"/>
              </w:rPr>
            </w:pPr>
            <w:r w:rsidRPr="00846A91">
              <w:rPr>
                <w:sz w:val="20"/>
              </w:rPr>
              <w:t>6.0</w:t>
            </w:r>
          </w:p>
        </w:tc>
        <w:tc>
          <w:tcPr>
            <w:tcW w:w="1530" w:type="dxa"/>
            <w:tcBorders>
              <w:top w:val="single" w:sz="4" w:space="0" w:color="auto"/>
              <w:left w:val="nil"/>
              <w:bottom w:val="nil"/>
              <w:right w:val="nil"/>
            </w:tcBorders>
            <w:shd w:val="clear" w:color="auto" w:fill="FFFFFF" w:themeFill="background1"/>
          </w:tcPr>
          <w:p w14:paraId="3AADC605" w14:textId="77777777" w:rsidR="002B65B9" w:rsidRPr="00846A91" w:rsidRDefault="002B65B9" w:rsidP="0003380F">
            <w:pPr>
              <w:spacing w:after="0" w:line="240" w:lineRule="auto"/>
              <w:rPr>
                <w:sz w:val="20"/>
              </w:rPr>
            </w:pPr>
            <w:r w:rsidRPr="00846A91">
              <w:rPr>
                <w:sz w:val="20"/>
              </w:rPr>
              <w:t xml:space="preserve">Morphine </w:t>
            </w:r>
          </w:p>
        </w:tc>
        <w:tc>
          <w:tcPr>
            <w:tcW w:w="540" w:type="dxa"/>
            <w:tcBorders>
              <w:top w:val="single" w:sz="4" w:space="0" w:color="auto"/>
              <w:left w:val="nil"/>
              <w:bottom w:val="nil"/>
              <w:right w:val="nil"/>
            </w:tcBorders>
            <w:shd w:val="clear" w:color="auto" w:fill="FFFFFF" w:themeFill="background1"/>
          </w:tcPr>
          <w:p w14:paraId="37928243" w14:textId="77777777" w:rsidR="002B65B9" w:rsidRPr="00846A91" w:rsidRDefault="002B65B9" w:rsidP="0003380F">
            <w:pPr>
              <w:spacing w:after="0" w:line="240" w:lineRule="auto"/>
              <w:jc w:val="center"/>
              <w:rPr>
                <w:sz w:val="20"/>
              </w:rPr>
            </w:pPr>
            <w:r w:rsidRPr="00846A91">
              <w:rPr>
                <w:sz w:val="20"/>
              </w:rPr>
              <w:t>6.6</w:t>
            </w:r>
          </w:p>
        </w:tc>
      </w:tr>
      <w:tr w:rsidR="002B65B9" w:rsidRPr="00272761" w14:paraId="3FBBB058" w14:textId="77777777" w:rsidTr="0003380F">
        <w:trPr>
          <w:trHeight w:val="20"/>
        </w:trPr>
        <w:tc>
          <w:tcPr>
            <w:tcW w:w="795" w:type="dxa"/>
            <w:tcBorders>
              <w:top w:val="nil"/>
              <w:left w:val="nil"/>
              <w:bottom w:val="nil"/>
              <w:right w:val="nil"/>
            </w:tcBorders>
            <w:shd w:val="clear" w:color="auto" w:fill="FFFFFF" w:themeFill="background1"/>
            <w:noWrap/>
            <w:hideMark/>
          </w:tcPr>
          <w:p w14:paraId="63DE9434" w14:textId="77777777" w:rsidR="002B65B9" w:rsidRDefault="002B65B9" w:rsidP="0003380F">
            <w:pPr>
              <w:spacing w:after="0" w:line="240" w:lineRule="auto"/>
              <w:rPr>
                <w:sz w:val="20"/>
              </w:rPr>
            </w:pPr>
            <w:r w:rsidRPr="00846A91">
              <w:rPr>
                <w:sz w:val="20"/>
              </w:rPr>
              <w:t>2</w:t>
            </w:r>
          </w:p>
          <w:p w14:paraId="20924FA8" w14:textId="77777777" w:rsidR="009C6575" w:rsidRPr="00846A91" w:rsidRDefault="009C6575"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28069349" w14:textId="77777777" w:rsidR="002B65B9" w:rsidRPr="00846A91" w:rsidRDefault="002B65B9" w:rsidP="0003380F">
            <w:pPr>
              <w:spacing w:after="0" w:line="240" w:lineRule="auto"/>
              <w:jc w:val="both"/>
              <w:rPr>
                <w:sz w:val="20"/>
              </w:rPr>
            </w:pPr>
            <w:r w:rsidRPr="00846A91">
              <w:rPr>
                <w:sz w:val="20"/>
              </w:rPr>
              <w:t>Furosemide</w:t>
            </w:r>
          </w:p>
        </w:tc>
        <w:tc>
          <w:tcPr>
            <w:tcW w:w="630" w:type="dxa"/>
            <w:tcBorders>
              <w:top w:val="nil"/>
              <w:left w:val="nil"/>
              <w:bottom w:val="nil"/>
              <w:right w:val="nil"/>
            </w:tcBorders>
            <w:shd w:val="clear" w:color="auto" w:fill="FFFFFF" w:themeFill="background1"/>
            <w:noWrap/>
            <w:hideMark/>
          </w:tcPr>
          <w:p w14:paraId="1F4D144A" w14:textId="77777777" w:rsidR="002B65B9" w:rsidRPr="00846A91" w:rsidRDefault="002B65B9" w:rsidP="0003380F">
            <w:pPr>
              <w:spacing w:after="0" w:line="240" w:lineRule="auto"/>
              <w:jc w:val="center"/>
              <w:rPr>
                <w:sz w:val="20"/>
              </w:rPr>
            </w:pPr>
            <w:r w:rsidRPr="00846A91">
              <w:rPr>
                <w:sz w:val="20"/>
              </w:rPr>
              <w:t>11.5</w:t>
            </w:r>
          </w:p>
        </w:tc>
        <w:tc>
          <w:tcPr>
            <w:tcW w:w="1530" w:type="dxa"/>
            <w:tcBorders>
              <w:top w:val="nil"/>
              <w:left w:val="nil"/>
              <w:bottom w:val="nil"/>
              <w:right w:val="nil"/>
            </w:tcBorders>
            <w:shd w:val="clear" w:color="auto" w:fill="FFFFFF" w:themeFill="background1"/>
          </w:tcPr>
          <w:p w14:paraId="6B101A45" w14:textId="77777777" w:rsidR="002B65B9" w:rsidRPr="00846A91" w:rsidRDefault="002B65B9" w:rsidP="0003380F">
            <w:pPr>
              <w:spacing w:after="0" w:line="240" w:lineRule="auto"/>
              <w:rPr>
                <w:sz w:val="20"/>
              </w:rPr>
            </w:pPr>
            <w:r w:rsidRPr="00846A91">
              <w:rPr>
                <w:sz w:val="20"/>
              </w:rPr>
              <w:t xml:space="preserve">Morphine </w:t>
            </w:r>
          </w:p>
        </w:tc>
        <w:tc>
          <w:tcPr>
            <w:tcW w:w="630" w:type="dxa"/>
            <w:tcBorders>
              <w:top w:val="nil"/>
              <w:left w:val="nil"/>
              <w:bottom w:val="nil"/>
              <w:right w:val="nil"/>
            </w:tcBorders>
            <w:shd w:val="clear" w:color="auto" w:fill="FFFFFF" w:themeFill="background1"/>
          </w:tcPr>
          <w:p w14:paraId="63CCBC87" w14:textId="77777777" w:rsidR="002B65B9" w:rsidRPr="00846A91" w:rsidRDefault="002B65B9" w:rsidP="0003380F">
            <w:pPr>
              <w:spacing w:after="0" w:line="240" w:lineRule="auto"/>
              <w:jc w:val="center"/>
              <w:rPr>
                <w:sz w:val="20"/>
              </w:rPr>
            </w:pPr>
            <w:r w:rsidRPr="00846A91">
              <w:rPr>
                <w:sz w:val="20"/>
              </w:rPr>
              <w:t>9.7</w:t>
            </w:r>
          </w:p>
        </w:tc>
        <w:tc>
          <w:tcPr>
            <w:tcW w:w="1530" w:type="dxa"/>
            <w:tcBorders>
              <w:top w:val="nil"/>
              <w:left w:val="nil"/>
              <w:bottom w:val="nil"/>
              <w:right w:val="nil"/>
            </w:tcBorders>
            <w:shd w:val="clear" w:color="auto" w:fill="FFFFFF" w:themeFill="background1"/>
          </w:tcPr>
          <w:p w14:paraId="406983CD" w14:textId="77777777" w:rsidR="002B65B9" w:rsidRPr="00846A91" w:rsidRDefault="002B65B9" w:rsidP="0003380F">
            <w:pPr>
              <w:spacing w:after="0" w:line="240" w:lineRule="auto"/>
              <w:rPr>
                <w:sz w:val="20"/>
              </w:rPr>
            </w:pPr>
            <w:r w:rsidRPr="00846A91">
              <w:rPr>
                <w:sz w:val="20"/>
              </w:rPr>
              <w:t>Prednisone</w:t>
            </w:r>
          </w:p>
        </w:tc>
        <w:tc>
          <w:tcPr>
            <w:tcW w:w="630" w:type="dxa"/>
            <w:tcBorders>
              <w:top w:val="nil"/>
              <w:left w:val="nil"/>
              <w:bottom w:val="nil"/>
              <w:right w:val="nil"/>
            </w:tcBorders>
            <w:shd w:val="clear" w:color="auto" w:fill="FFFFFF" w:themeFill="background1"/>
          </w:tcPr>
          <w:p w14:paraId="2AF21382" w14:textId="77777777" w:rsidR="002B65B9" w:rsidRPr="00846A91" w:rsidRDefault="002B65B9" w:rsidP="0003380F">
            <w:pPr>
              <w:spacing w:after="0" w:line="240" w:lineRule="auto"/>
              <w:jc w:val="center"/>
              <w:rPr>
                <w:sz w:val="20"/>
              </w:rPr>
            </w:pPr>
            <w:r w:rsidRPr="00846A91">
              <w:rPr>
                <w:sz w:val="20"/>
              </w:rPr>
              <w:t>8.3</w:t>
            </w:r>
          </w:p>
        </w:tc>
        <w:tc>
          <w:tcPr>
            <w:tcW w:w="1530" w:type="dxa"/>
            <w:tcBorders>
              <w:top w:val="nil"/>
              <w:left w:val="nil"/>
              <w:bottom w:val="nil"/>
              <w:right w:val="nil"/>
            </w:tcBorders>
            <w:shd w:val="clear" w:color="auto" w:fill="FFFFFF" w:themeFill="background1"/>
          </w:tcPr>
          <w:p w14:paraId="23E3395F" w14:textId="77777777" w:rsidR="002B65B9" w:rsidRPr="00846A91" w:rsidRDefault="002B65B9" w:rsidP="0003380F">
            <w:pPr>
              <w:spacing w:after="0" w:line="240" w:lineRule="auto"/>
              <w:rPr>
                <w:sz w:val="20"/>
              </w:rPr>
            </w:pPr>
            <w:r w:rsidRPr="00846A91">
              <w:rPr>
                <w:sz w:val="20"/>
              </w:rPr>
              <w:t xml:space="preserve">Levothyroxine </w:t>
            </w:r>
          </w:p>
        </w:tc>
        <w:tc>
          <w:tcPr>
            <w:tcW w:w="630" w:type="dxa"/>
            <w:tcBorders>
              <w:top w:val="nil"/>
              <w:left w:val="nil"/>
              <w:bottom w:val="nil"/>
              <w:right w:val="nil"/>
            </w:tcBorders>
            <w:shd w:val="clear" w:color="auto" w:fill="FFFFFF" w:themeFill="background1"/>
          </w:tcPr>
          <w:p w14:paraId="5F1CAE80" w14:textId="77777777" w:rsidR="002B65B9" w:rsidRPr="00846A91" w:rsidRDefault="002B65B9" w:rsidP="0003380F">
            <w:pPr>
              <w:spacing w:after="0" w:line="240" w:lineRule="auto"/>
              <w:jc w:val="center"/>
              <w:rPr>
                <w:sz w:val="20"/>
              </w:rPr>
            </w:pPr>
            <w:r w:rsidRPr="00846A91">
              <w:rPr>
                <w:sz w:val="20"/>
              </w:rPr>
              <w:t>11.9</w:t>
            </w:r>
          </w:p>
        </w:tc>
        <w:tc>
          <w:tcPr>
            <w:tcW w:w="1635" w:type="dxa"/>
            <w:tcBorders>
              <w:top w:val="nil"/>
              <w:left w:val="nil"/>
              <w:bottom w:val="nil"/>
              <w:right w:val="nil"/>
            </w:tcBorders>
            <w:shd w:val="clear" w:color="auto" w:fill="FFFFFF" w:themeFill="background1"/>
          </w:tcPr>
          <w:p w14:paraId="6A5F5F28" w14:textId="77777777" w:rsidR="002B65B9" w:rsidRPr="00846A91" w:rsidRDefault="002B65B9" w:rsidP="0003380F">
            <w:pPr>
              <w:spacing w:after="0" w:line="240" w:lineRule="auto"/>
              <w:rPr>
                <w:sz w:val="20"/>
              </w:rPr>
            </w:pPr>
            <w:r w:rsidRPr="00846A91">
              <w:rPr>
                <w:sz w:val="20"/>
              </w:rPr>
              <w:t xml:space="preserve">Levothyroxine </w:t>
            </w:r>
          </w:p>
        </w:tc>
        <w:tc>
          <w:tcPr>
            <w:tcW w:w="540" w:type="dxa"/>
            <w:tcBorders>
              <w:top w:val="nil"/>
              <w:left w:val="nil"/>
              <w:bottom w:val="nil"/>
              <w:right w:val="nil"/>
            </w:tcBorders>
            <w:shd w:val="clear" w:color="auto" w:fill="FFFFFF" w:themeFill="background1"/>
          </w:tcPr>
          <w:p w14:paraId="67D268A1" w14:textId="77777777" w:rsidR="002B65B9" w:rsidRPr="00846A91" w:rsidRDefault="002B65B9" w:rsidP="0003380F">
            <w:pPr>
              <w:spacing w:after="0" w:line="240" w:lineRule="auto"/>
              <w:jc w:val="center"/>
              <w:rPr>
                <w:sz w:val="20"/>
              </w:rPr>
            </w:pPr>
            <w:r w:rsidRPr="00846A91">
              <w:rPr>
                <w:sz w:val="20"/>
              </w:rPr>
              <w:t>6.0</w:t>
            </w:r>
          </w:p>
        </w:tc>
        <w:tc>
          <w:tcPr>
            <w:tcW w:w="1530" w:type="dxa"/>
            <w:tcBorders>
              <w:top w:val="nil"/>
              <w:left w:val="nil"/>
              <w:bottom w:val="nil"/>
              <w:right w:val="nil"/>
            </w:tcBorders>
            <w:shd w:val="clear" w:color="auto" w:fill="FFFFFF" w:themeFill="background1"/>
          </w:tcPr>
          <w:p w14:paraId="0E04E64C" w14:textId="77777777" w:rsidR="002B65B9" w:rsidRPr="00846A91" w:rsidRDefault="002B65B9" w:rsidP="0003380F">
            <w:pPr>
              <w:spacing w:after="0" w:line="240" w:lineRule="auto"/>
              <w:rPr>
                <w:sz w:val="20"/>
              </w:rPr>
            </w:pPr>
            <w:r w:rsidRPr="00846A91">
              <w:rPr>
                <w:sz w:val="20"/>
              </w:rPr>
              <w:t xml:space="preserve">Levothyroxine </w:t>
            </w:r>
          </w:p>
        </w:tc>
        <w:tc>
          <w:tcPr>
            <w:tcW w:w="540" w:type="dxa"/>
            <w:tcBorders>
              <w:top w:val="nil"/>
              <w:left w:val="nil"/>
              <w:bottom w:val="nil"/>
              <w:right w:val="nil"/>
            </w:tcBorders>
            <w:shd w:val="clear" w:color="auto" w:fill="FFFFFF" w:themeFill="background1"/>
          </w:tcPr>
          <w:p w14:paraId="6D03A41C" w14:textId="77777777" w:rsidR="002B65B9" w:rsidRPr="00846A91" w:rsidRDefault="002B65B9" w:rsidP="0003380F">
            <w:pPr>
              <w:spacing w:after="0" w:line="240" w:lineRule="auto"/>
              <w:jc w:val="center"/>
              <w:rPr>
                <w:sz w:val="20"/>
              </w:rPr>
            </w:pPr>
            <w:r w:rsidRPr="00846A91">
              <w:rPr>
                <w:sz w:val="20"/>
              </w:rPr>
              <w:t>5.1</w:t>
            </w:r>
          </w:p>
        </w:tc>
      </w:tr>
      <w:tr w:rsidR="002B65B9" w:rsidRPr="00272761" w14:paraId="0A8F3811" w14:textId="77777777" w:rsidTr="0003380F">
        <w:trPr>
          <w:trHeight w:val="20"/>
        </w:trPr>
        <w:tc>
          <w:tcPr>
            <w:tcW w:w="795" w:type="dxa"/>
            <w:tcBorders>
              <w:top w:val="nil"/>
              <w:left w:val="nil"/>
              <w:bottom w:val="nil"/>
              <w:right w:val="nil"/>
            </w:tcBorders>
            <w:shd w:val="clear" w:color="auto" w:fill="FFFFFF" w:themeFill="background1"/>
            <w:noWrap/>
            <w:hideMark/>
          </w:tcPr>
          <w:p w14:paraId="1E6908A5" w14:textId="77777777" w:rsidR="002B65B9" w:rsidRPr="00846A91" w:rsidRDefault="002B65B9" w:rsidP="0003380F">
            <w:pPr>
              <w:spacing w:after="0" w:line="240" w:lineRule="auto"/>
              <w:rPr>
                <w:sz w:val="20"/>
              </w:rPr>
            </w:pPr>
            <w:r w:rsidRPr="00846A91">
              <w:rPr>
                <w:sz w:val="20"/>
              </w:rPr>
              <w:t>3</w:t>
            </w:r>
          </w:p>
        </w:tc>
        <w:tc>
          <w:tcPr>
            <w:tcW w:w="1530" w:type="dxa"/>
            <w:tcBorders>
              <w:top w:val="nil"/>
              <w:left w:val="nil"/>
              <w:bottom w:val="nil"/>
              <w:right w:val="nil"/>
            </w:tcBorders>
            <w:shd w:val="clear" w:color="auto" w:fill="FFFFFF" w:themeFill="background1"/>
            <w:noWrap/>
            <w:hideMark/>
          </w:tcPr>
          <w:p w14:paraId="3E7D7244" w14:textId="77777777" w:rsidR="002B65B9" w:rsidRPr="00846A91" w:rsidRDefault="002B65B9" w:rsidP="0003380F">
            <w:pPr>
              <w:spacing w:after="0" w:line="240" w:lineRule="auto"/>
              <w:jc w:val="both"/>
              <w:rPr>
                <w:sz w:val="20"/>
              </w:rPr>
            </w:pPr>
            <w:r w:rsidRPr="00846A91">
              <w:rPr>
                <w:sz w:val="20"/>
              </w:rPr>
              <w:t xml:space="preserve">Morphine </w:t>
            </w:r>
          </w:p>
        </w:tc>
        <w:tc>
          <w:tcPr>
            <w:tcW w:w="630" w:type="dxa"/>
            <w:tcBorders>
              <w:top w:val="nil"/>
              <w:left w:val="nil"/>
              <w:bottom w:val="nil"/>
              <w:right w:val="nil"/>
            </w:tcBorders>
            <w:shd w:val="clear" w:color="auto" w:fill="FFFFFF" w:themeFill="background1"/>
            <w:noWrap/>
            <w:hideMark/>
          </w:tcPr>
          <w:p w14:paraId="6D9569C0" w14:textId="77777777" w:rsidR="002B65B9" w:rsidRPr="00846A91" w:rsidRDefault="002B65B9" w:rsidP="0003380F">
            <w:pPr>
              <w:spacing w:after="0" w:line="240" w:lineRule="auto"/>
              <w:jc w:val="center"/>
              <w:rPr>
                <w:sz w:val="20"/>
              </w:rPr>
            </w:pPr>
            <w:r w:rsidRPr="00846A91">
              <w:rPr>
                <w:sz w:val="20"/>
              </w:rPr>
              <w:t>10.3</w:t>
            </w:r>
          </w:p>
        </w:tc>
        <w:tc>
          <w:tcPr>
            <w:tcW w:w="1530" w:type="dxa"/>
            <w:tcBorders>
              <w:top w:val="nil"/>
              <w:left w:val="nil"/>
              <w:bottom w:val="nil"/>
              <w:right w:val="nil"/>
            </w:tcBorders>
            <w:shd w:val="clear" w:color="auto" w:fill="FFFFFF" w:themeFill="background1"/>
          </w:tcPr>
          <w:p w14:paraId="1806DCCB" w14:textId="77777777" w:rsidR="002B65B9" w:rsidRPr="00846A91" w:rsidRDefault="002B65B9" w:rsidP="0003380F">
            <w:pPr>
              <w:spacing w:after="0" w:line="240" w:lineRule="auto"/>
              <w:rPr>
                <w:sz w:val="20"/>
              </w:rPr>
            </w:pPr>
            <w:r w:rsidRPr="00846A91">
              <w:rPr>
                <w:sz w:val="20"/>
              </w:rPr>
              <w:t xml:space="preserve">Donepezil </w:t>
            </w:r>
          </w:p>
        </w:tc>
        <w:tc>
          <w:tcPr>
            <w:tcW w:w="630" w:type="dxa"/>
            <w:tcBorders>
              <w:top w:val="nil"/>
              <w:left w:val="nil"/>
              <w:bottom w:val="nil"/>
              <w:right w:val="nil"/>
            </w:tcBorders>
            <w:shd w:val="clear" w:color="auto" w:fill="FFFFFF" w:themeFill="background1"/>
          </w:tcPr>
          <w:p w14:paraId="5A511CE7" w14:textId="77777777" w:rsidR="002B65B9" w:rsidRPr="00846A91" w:rsidRDefault="002B65B9" w:rsidP="0003380F">
            <w:pPr>
              <w:spacing w:after="0" w:line="240" w:lineRule="auto"/>
              <w:jc w:val="center"/>
              <w:rPr>
                <w:sz w:val="20"/>
              </w:rPr>
            </w:pPr>
            <w:r w:rsidRPr="00846A91">
              <w:rPr>
                <w:sz w:val="20"/>
              </w:rPr>
              <w:t>8.5</w:t>
            </w:r>
          </w:p>
        </w:tc>
        <w:tc>
          <w:tcPr>
            <w:tcW w:w="1530" w:type="dxa"/>
            <w:tcBorders>
              <w:top w:val="nil"/>
              <w:left w:val="nil"/>
              <w:bottom w:val="nil"/>
              <w:right w:val="nil"/>
            </w:tcBorders>
            <w:shd w:val="clear" w:color="auto" w:fill="FFFFFF" w:themeFill="background1"/>
          </w:tcPr>
          <w:p w14:paraId="74CEBCDB" w14:textId="77777777" w:rsidR="002B65B9" w:rsidRPr="00846A91" w:rsidRDefault="002B65B9" w:rsidP="0003380F">
            <w:pPr>
              <w:spacing w:after="0" w:line="240" w:lineRule="auto"/>
              <w:rPr>
                <w:sz w:val="20"/>
              </w:rPr>
            </w:pPr>
            <w:r w:rsidRPr="00846A91">
              <w:rPr>
                <w:sz w:val="20"/>
              </w:rPr>
              <w:t xml:space="preserve">Levothyroxine </w:t>
            </w:r>
          </w:p>
        </w:tc>
        <w:tc>
          <w:tcPr>
            <w:tcW w:w="630" w:type="dxa"/>
            <w:tcBorders>
              <w:top w:val="nil"/>
              <w:left w:val="nil"/>
              <w:bottom w:val="nil"/>
              <w:right w:val="nil"/>
            </w:tcBorders>
            <w:shd w:val="clear" w:color="auto" w:fill="FFFFFF" w:themeFill="background1"/>
          </w:tcPr>
          <w:p w14:paraId="3A300FD3" w14:textId="77777777" w:rsidR="002B65B9" w:rsidRPr="00846A91" w:rsidRDefault="002B65B9" w:rsidP="0003380F">
            <w:pPr>
              <w:spacing w:after="0" w:line="240" w:lineRule="auto"/>
              <w:jc w:val="center"/>
              <w:rPr>
                <w:sz w:val="20"/>
              </w:rPr>
            </w:pPr>
            <w:r w:rsidRPr="00846A91">
              <w:rPr>
                <w:sz w:val="20"/>
              </w:rPr>
              <w:t>7.6</w:t>
            </w:r>
          </w:p>
        </w:tc>
        <w:tc>
          <w:tcPr>
            <w:tcW w:w="1530" w:type="dxa"/>
            <w:tcBorders>
              <w:top w:val="nil"/>
              <w:left w:val="nil"/>
              <w:bottom w:val="nil"/>
              <w:right w:val="nil"/>
            </w:tcBorders>
            <w:shd w:val="clear" w:color="auto" w:fill="FFFFFF" w:themeFill="background1"/>
          </w:tcPr>
          <w:p w14:paraId="60DBEBA4" w14:textId="77777777" w:rsidR="002B65B9" w:rsidRPr="00846A91" w:rsidRDefault="002B65B9" w:rsidP="0003380F">
            <w:pPr>
              <w:spacing w:after="0" w:line="240" w:lineRule="auto"/>
              <w:rPr>
                <w:sz w:val="20"/>
              </w:rPr>
            </w:pPr>
            <w:r w:rsidRPr="00846A91">
              <w:rPr>
                <w:sz w:val="20"/>
              </w:rPr>
              <w:t>Potassium Chloride</w:t>
            </w:r>
          </w:p>
        </w:tc>
        <w:tc>
          <w:tcPr>
            <w:tcW w:w="630" w:type="dxa"/>
            <w:tcBorders>
              <w:top w:val="nil"/>
              <w:left w:val="nil"/>
              <w:bottom w:val="nil"/>
              <w:right w:val="nil"/>
            </w:tcBorders>
            <w:shd w:val="clear" w:color="auto" w:fill="FFFFFF" w:themeFill="background1"/>
          </w:tcPr>
          <w:p w14:paraId="6FEBD22F" w14:textId="77777777" w:rsidR="002B65B9" w:rsidRPr="00846A91" w:rsidRDefault="002B65B9" w:rsidP="0003380F">
            <w:pPr>
              <w:spacing w:after="0" w:line="240" w:lineRule="auto"/>
              <w:jc w:val="center"/>
              <w:rPr>
                <w:sz w:val="20"/>
              </w:rPr>
            </w:pPr>
            <w:r w:rsidRPr="00846A91">
              <w:rPr>
                <w:sz w:val="20"/>
              </w:rPr>
              <w:t>8.6</w:t>
            </w:r>
          </w:p>
        </w:tc>
        <w:tc>
          <w:tcPr>
            <w:tcW w:w="1635" w:type="dxa"/>
            <w:tcBorders>
              <w:top w:val="nil"/>
              <w:left w:val="nil"/>
              <w:bottom w:val="nil"/>
              <w:right w:val="nil"/>
            </w:tcBorders>
            <w:shd w:val="clear" w:color="auto" w:fill="FFFFFF" w:themeFill="background1"/>
          </w:tcPr>
          <w:p w14:paraId="44EB4C96" w14:textId="77777777" w:rsidR="002B65B9" w:rsidRPr="00846A91" w:rsidRDefault="002B65B9" w:rsidP="0003380F">
            <w:pPr>
              <w:spacing w:after="0" w:line="240" w:lineRule="auto"/>
              <w:rPr>
                <w:sz w:val="20"/>
              </w:rPr>
            </w:pPr>
            <w:r w:rsidRPr="00846A91">
              <w:rPr>
                <w:sz w:val="20"/>
              </w:rPr>
              <w:t>Insulin</w:t>
            </w:r>
          </w:p>
        </w:tc>
        <w:tc>
          <w:tcPr>
            <w:tcW w:w="540" w:type="dxa"/>
            <w:tcBorders>
              <w:top w:val="nil"/>
              <w:left w:val="nil"/>
              <w:bottom w:val="nil"/>
              <w:right w:val="nil"/>
            </w:tcBorders>
            <w:shd w:val="clear" w:color="auto" w:fill="FFFFFF" w:themeFill="background1"/>
          </w:tcPr>
          <w:p w14:paraId="11E5E58B" w14:textId="77777777" w:rsidR="002B65B9" w:rsidRPr="00846A91" w:rsidRDefault="002B65B9" w:rsidP="0003380F">
            <w:pPr>
              <w:spacing w:after="0" w:line="240" w:lineRule="auto"/>
              <w:jc w:val="center"/>
              <w:rPr>
                <w:sz w:val="20"/>
              </w:rPr>
            </w:pPr>
            <w:r w:rsidRPr="00846A91">
              <w:rPr>
                <w:sz w:val="20"/>
              </w:rPr>
              <w:t>4.1</w:t>
            </w:r>
          </w:p>
        </w:tc>
        <w:tc>
          <w:tcPr>
            <w:tcW w:w="1530" w:type="dxa"/>
            <w:tcBorders>
              <w:top w:val="nil"/>
              <w:left w:val="nil"/>
              <w:bottom w:val="nil"/>
              <w:right w:val="nil"/>
            </w:tcBorders>
            <w:shd w:val="clear" w:color="auto" w:fill="FFFFFF" w:themeFill="background1"/>
          </w:tcPr>
          <w:p w14:paraId="3BA3D12D" w14:textId="77777777" w:rsidR="002B65B9" w:rsidRPr="00846A91" w:rsidRDefault="002B65B9" w:rsidP="0003380F">
            <w:pPr>
              <w:spacing w:after="0" w:line="240" w:lineRule="auto"/>
              <w:rPr>
                <w:sz w:val="20"/>
              </w:rPr>
            </w:pPr>
            <w:r w:rsidRPr="00846A91">
              <w:rPr>
                <w:sz w:val="20"/>
              </w:rPr>
              <w:t>Furosemide</w:t>
            </w:r>
          </w:p>
        </w:tc>
        <w:tc>
          <w:tcPr>
            <w:tcW w:w="540" w:type="dxa"/>
            <w:tcBorders>
              <w:top w:val="nil"/>
              <w:left w:val="nil"/>
              <w:bottom w:val="nil"/>
              <w:right w:val="nil"/>
            </w:tcBorders>
            <w:shd w:val="clear" w:color="auto" w:fill="FFFFFF" w:themeFill="background1"/>
          </w:tcPr>
          <w:p w14:paraId="169C705C" w14:textId="77777777" w:rsidR="002B65B9" w:rsidRPr="00846A91" w:rsidRDefault="002B65B9" w:rsidP="0003380F">
            <w:pPr>
              <w:spacing w:after="0" w:line="240" w:lineRule="auto"/>
              <w:jc w:val="center"/>
              <w:rPr>
                <w:sz w:val="20"/>
              </w:rPr>
            </w:pPr>
            <w:r w:rsidRPr="00846A91">
              <w:rPr>
                <w:sz w:val="20"/>
              </w:rPr>
              <w:t>4.4</w:t>
            </w:r>
          </w:p>
        </w:tc>
      </w:tr>
      <w:tr w:rsidR="002B65B9" w:rsidRPr="00272761" w14:paraId="1B082626" w14:textId="77777777" w:rsidTr="0003380F">
        <w:trPr>
          <w:trHeight w:val="20"/>
        </w:trPr>
        <w:tc>
          <w:tcPr>
            <w:tcW w:w="795" w:type="dxa"/>
            <w:tcBorders>
              <w:top w:val="nil"/>
              <w:left w:val="nil"/>
              <w:bottom w:val="nil"/>
              <w:right w:val="nil"/>
            </w:tcBorders>
            <w:shd w:val="clear" w:color="auto" w:fill="FFFFFF" w:themeFill="background1"/>
            <w:noWrap/>
            <w:hideMark/>
          </w:tcPr>
          <w:p w14:paraId="336691F5" w14:textId="77777777" w:rsidR="002B65B9" w:rsidRPr="00846A91" w:rsidRDefault="002B65B9" w:rsidP="0003380F">
            <w:pPr>
              <w:spacing w:after="0" w:line="240" w:lineRule="auto"/>
              <w:rPr>
                <w:sz w:val="20"/>
              </w:rPr>
            </w:pPr>
            <w:r w:rsidRPr="00846A91">
              <w:rPr>
                <w:sz w:val="20"/>
              </w:rPr>
              <w:t>4</w:t>
            </w:r>
          </w:p>
          <w:p w14:paraId="00FA3D2C" w14:textId="77777777" w:rsidR="002B65B9" w:rsidRPr="00846A91" w:rsidRDefault="002B65B9"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1B097A4F" w14:textId="77777777" w:rsidR="002B65B9" w:rsidRPr="00846A91" w:rsidRDefault="002B65B9" w:rsidP="0003380F">
            <w:pPr>
              <w:spacing w:after="0" w:line="240" w:lineRule="auto"/>
              <w:jc w:val="both"/>
              <w:rPr>
                <w:sz w:val="20"/>
              </w:rPr>
            </w:pPr>
            <w:r w:rsidRPr="00846A91">
              <w:rPr>
                <w:sz w:val="20"/>
              </w:rPr>
              <w:t>Omeprazole</w:t>
            </w:r>
          </w:p>
        </w:tc>
        <w:tc>
          <w:tcPr>
            <w:tcW w:w="630" w:type="dxa"/>
            <w:tcBorders>
              <w:top w:val="nil"/>
              <w:left w:val="nil"/>
              <w:bottom w:val="nil"/>
              <w:right w:val="nil"/>
            </w:tcBorders>
            <w:shd w:val="clear" w:color="auto" w:fill="FFFFFF" w:themeFill="background1"/>
            <w:noWrap/>
            <w:hideMark/>
          </w:tcPr>
          <w:p w14:paraId="55A5DA74" w14:textId="77777777" w:rsidR="002B65B9" w:rsidRPr="00846A91" w:rsidRDefault="002B65B9" w:rsidP="0003380F">
            <w:pPr>
              <w:spacing w:after="0" w:line="240" w:lineRule="auto"/>
              <w:jc w:val="center"/>
              <w:rPr>
                <w:sz w:val="20"/>
              </w:rPr>
            </w:pPr>
            <w:r w:rsidRPr="00846A91">
              <w:rPr>
                <w:sz w:val="20"/>
              </w:rPr>
              <w:t>8.3</w:t>
            </w:r>
          </w:p>
        </w:tc>
        <w:tc>
          <w:tcPr>
            <w:tcW w:w="1530" w:type="dxa"/>
            <w:tcBorders>
              <w:top w:val="nil"/>
              <w:left w:val="nil"/>
              <w:bottom w:val="nil"/>
              <w:right w:val="nil"/>
            </w:tcBorders>
            <w:shd w:val="clear" w:color="auto" w:fill="FFFFFF" w:themeFill="background1"/>
          </w:tcPr>
          <w:p w14:paraId="56BA6A7F" w14:textId="77777777" w:rsidR="002B65B9" w:rsidRPr="00846A91" w:rsidRDefault="002B65B9" w:rsidP="0003380F">
            <w:pPr>
              <w:spacing w:after="0" w:line="240" w:lineRule="auto"/>
              <w:rPr>
                <w:sz w:val="20"/>
              </w:rPr>
            </w:pPr>
            <w:r w:rsidRPr="00846A91">
              <w:rPr>
                <w:sz w:val="20"/>
              </w:rPr>
              <w:t xml:space="preserve">Memantine </w:t>
            </w:r>
          </w:p>
        </w:tc>
        <w:tc>
          <w:tcPr>
            <w:tcW w:w="630" w:type="dxa"/>
            <w:tcBorders>
              <w:top w:val="nil"/>
              <w:left w:val="nil"/>
              <w:bottom w:val="nil"/>
              <w:right w:val="nil"/>
            </w:tcBorders>
            <w:shd w:val="clear" w:color="auto" w:fill="FFFFFF" w:themeFill="background1"/>
          </w:tcPr>
          <w:p w14:paraId="48945DE8" w14:textId="77777777" w:rsidR="002B65B9" w:rsidRPr="00846A91" w:rsidRDefault="002B65B9" w:rsidP="0003380F">
            <w:pPr>
              <w:spacing w:after="0" w:line="240" w:lineRule="auto"/>
              <w:jc w:val="center"/>
              <w:rPr>
                <w:sz w:val="20"/>
              </w:rPr>
            </w:pPr>
            <w:r w:rsidRPr="00846A91">
              <w:rPr>
                <w:sz w:val="20"/>
              </w:rPr>
              <w:t>7.8</w:t>
            </w:r>
          </w:p>
        </w:tc>
        <w:tc>
          <w:tcPr>
            <w:tcW w:w="1530" w:type="dxa"/>
            <w:tcBorders>
              <w:top w:val="nil"/>
              <w:left w:val="nil"/>
              <w:bottom w:val="nil"/>
              <w:right w:val="nil"/>
            </w:tcBorders>
            <w:shd w:val="clear" w:color="auto" w:fill="FFFFFF" w:themeFill="background1"/>
          </w:tcPr>
          <w:p w14:paraId="7EE369F7" w14:textId="77777777" w:rsidR="002B65B9" w:rsidRPr="00846A91" w:rsidRDefault="002B65B9" w:rsidP="0003380F">
            <w:pPr>
              <w:spacing w:after="0" w:line="240" w:lineRule="auto"/>
              <w:rPr>
                <w:sz w:val="20"/>
              </w:rPr>
            </w:pPr>
            <w:r w:rsidRPr="00846A91">
              <w:rPr>
                <w:sz w:val="20"/>
              </w:rPr>
              <w:t>Potassium Chloride</w:t>
            </w:r>
          </w:p>
        </w:tc>
        <w:tc>
          <w:tcPr>
            <w:tcW w:w="630" w:type="dxa"/>
            <w:tcBorders>
              <w:top w:val="nil"/>
              <w:left w:val="nil"/>
              <w:bottom w:val="nil"/>
              <w:right w:val="nil"/>
            </w:tcBorders>
            <w:shd w:val="clear" w:color="auto" w:fill="FFFFFF" w:themeFill="background1"/>
          </w:tcPr>
          <w:p w14:paraId="75651D04" w14:textId="77777777" w:rsidR="002B65B9" w:rsidRPr="00846A91" w:rsidRDefault="002B65B9" w:rsidP="0003380F">
            <w:pPr>
              <w:spacing w:after="0" w:line="240" w:lineRule="auto"/>
              <w:jc w:val="center"/>
              <w:rPr>
                <w:sz w:val="20"/>
              </w:rPr>
            </w:pPr>
            <w:r w:rsidRPr="00846A91">
              <w:rPr>
                <w:sz w:val="20"/>
              </w:rPr>
              <w:t>7.3</w:t>
            </w:r>
          </w:p>
        </w:tc>
        <w:tc>
          <w:tcPr>
            <w:tcW w:w="1530" w:type="dxa"/>
            <w:tcBorders>
              <w:top w:val="nil"/>
              <w:left w:val="nil"/>
              <w:bottom w:val="nil"/>
              <w:right w:val="nil"/>
            </w:tcBorders>
            <w:shd w:val="clear" w:color="auto" w:fill="FFFFFF" w:themeFill="background1"/>
          </w:tcPr>
          <w:p w14:paraId="43171F0F" w14:textId="77777777" w:rsidR="002B65B9" w:rsidRPr="00846A91" w:rsidRDefault="002B65B9" w:rsidP="0003380F">
            <w:pPr>
              <w:spacing w:after="0" w:line="240" w:lineRule="auto"/>
              <w:rPr>
                <w:sz w:val="20"/>
              </w:rPr>
            </w:pPr>
            <w:r w:rsidRPr="00846A91">
              <w:rPr>
                <w:sz w:val="20"/>
              </w:rPr>
              <w:t>Omeprazole</w:t>
            </w:r>
          </w:p>
        </w:tc>
        <w:tc>
          <w:tcPr>
            <w:tcW w:w="630" w:type="dxa"/>
            <w:tcBorders>
              <w:top w:val="nil"/>
              <w:left w:val="nil"/>
              <w:bottom w:val="nil"/>
              <w:right w:val="nil"/>
            </w:tcBorders>
            <w:shd w:val="clear" w:color="auto" w:fill="FFFFFF" w:themeFill="background1"/>
          </w:tcPr>
          <w:p w14:paraId="690F5EFC" w14:textId="77777777" w:rsidR="002B65B9" w:rsidRPr="00846A91" w:rsidRDefault="002B65B9" w:rsidP="0003380F">
            <w:pPr>
              <w:spacing w:after="0" w:line="240" w:lineRule="auto"/>
              <w:jc w:val="center"/>
              <w:rPr>
                <w:sz w:val="20"/>
              </w:rPr>
            </w:pPr>
            <w:r w:rsidRPr="00846A91">
              <w:rPr>
                <w:sz w:val="20"/>
              </w:rPr>
              <w:t>7.6</w:t>
            </w:r>
          </w:p>
        </w:tc>
        <w:tc>
          <w:tcPr>
            <w:tcW w:w="1635" w:type="dxa"/>
            <w:tcBorders>
              <w:top w:val="nil"/>
              <w:left w:val="nil"/>
              <w:bottom w:val="nil"/>
              <w:right w:val="nil"/>
            </w:tcBorders>
            <w:shd w:val="clear" w:color="auto" w:fill="FFFFFF" w:themeFill="background1"/>
          </w:tcPr>
          <w:p w14:paraId="0DBBCFE7" w14:textId="77777777" w:rsidR="002B65B9" w:rsidRPr="00846A91" w:rsidRDefault="002B65B9" w:rsidP="0003380F">
            <w:pPr>
              <w:spacing w:after="0" w:line="240" w:lineRule="auto"/>
              <w:rPr>
                <w:sz w:val="20"/>
              </w:rPr>
            </w:pPr>
            <w:r w:rsidRPr="00846A91">
              <w:rPr>
                <w:sz w:val="20"/>
              </w:rPr>
              <w:t>Metoprolol Tartrate</w:t>
            </w:r>
          </w:p>
        </w:tc>
        <w:tc>
          <w:tcPr>
            <w:tcW w:w="540" w:type="dxa"/>
            <w:tcBorders>
              <w:top w:val="nil"/>
              <w:left w:val="nil"/>
              <w:bottom w:val="nil"/>
              <w:right w:val="nil"/>
            </w:tcBorders>
            <w:shd w:val="clear" w:color="auto" w:fill="FFFFFF" w:themeFill="background1"/>
          </w:tcPr>
          <w:p w14:paraId="79238909" w14:textId="77777777" w:rsidR="002B65B9" w:rsidRPr="00846A91" w:rsidRDefault="002B65B9" w:rsidP="0003380F">
            <w:pPr>
              <w:spacing w:after="0" w:line="240" w:lineRule="auto"/>
              <w:jc w:val="center"/>
              <w:rPr>
                <w:sz w:val="20"/>
              </w:rPr>
            </w:pPr>
            <w:r w:rsidRPr="00846A91">
              <w:rPr>
                <w:sz w:val="20"/>
              </w:rPr>
              <w:t>4.0</w:t>
            </w:r>
          </w:p>
        </w:tc>
        <w:tc>
          <w:tcPr>
            <w:tcW w:w="1530" w:type="dxa"/>
            <w:tcBorders>
              <w:top w:val="nil"/>
              <w:left w:val="nil"/>
              <w:bottom w:val="nil"/>
              <w:right w:val="nil"/>
            </w:tcBorders>
            <w:shd w:val="clear" w:color="auto" w:fill="FFFFFF" w:themeFill="background1"/>
          </w:tcPr>
          <w:p w14:paraId="634D2058" w14:textId="77777777" w:rsidR="002B65B9" w:rsidRPr="00846A91" w:rsidRDefault="002B65B9" w:rsidP="0003380F">
            <w:pPr>
              <w:spacing w:after="0" w:line="240" w:lineRule="auto"/>
              <w:rPr>
                <w:sz w:val="20"/>
              </w:rPr>
            </w:pPr>
            <w:r w:rsidRPr="00846A91">
              <w:rPr>
                <w:sz w:val="20"/>
              </w:rPr>
              <w:t>Omeprazole</w:t>
            </w:r>
          </w:p>
        </w:tc>
        <w:tc>
          <w:tcPr>
            <w:tcW w:w="540" w:type="dxa"/>
            <w:tcBorders>
              <w:top w:val="nil"/>
              <w:left w:val="nil"/>
              <w:bottom w:val="nil"/>
              <w:right w:val="nil"/>
            </w:tcBorders>
            <w:shd w:val="clear" w:color="auto" w:fill="FFFFFF" w:themeFill="background1"/>
          </w:tcPr>
          <w:p w14:paraId="20DEB666" w14:textId="77777777" w:rsidR="002B65B9" w:rsidRPr="00846A91" w:rsidRDefault="002B65B9" w:rsidP="0003380F">
            <w:pPr>
              <w:spacing w:after="0" w:line="240" w:lineRule="auto"/>
              <w:jc w:val="center"/>
              <w:rPr>
                <w:sz w:val="20"/>
              </w:rPr>
            </w:pPr>
            <w:r w:rsidRPr="00846A91">
              <w:rPr>
                <w:sz w:val="20"/>
              </w:rPr>
              <w:t>4.3</w:t>
            </w:r>
          </w:p>
        </w:tc>
      </w:tr>
      <w:tr w:rsidR="002B65B9" w:rsidRPr="00272761" w14:paraId="3AF7315C" w14:textId="77777777" w:rsidTr="0003380F">
        <w:trPr>
          <w:trHeight w:val="20"/>
        </w:trPr>
        <w:tc>
          <w:tcPr>
            <w:tcW w:w="795" w:type="dxa"/>
            <w:tcBorders>
              <w:top w:val="nil"/>
              <w:left w:val="nil"/>
              <w:bottom w:val="nil"/>
              <w:right w:val="nil"/>
            </w:tcBorders>
            <w:shd w:val="clear" w:color="auto" w:fill="FFFFFF" w:themeFill="background1"/>
            <w:noWrap/>
            <w:hideMark/>
          </w:tcPr>
          <w:p w14:paraId="22AC3109" w14:textId="77777777" w:rsidR="002B65B9" w:rsidRPr="00846A91" w:rsidRDefault="002B65B9" w:rsidP="0003380F">
            <w:pPr>
              <w:spacing w:after="0" w:line="240" w:lineRule="auto"/>
              <w:rPr>
                <w:sz w:val="20"/>
              </w:rPr>
            </w:pPr>
            <w:r w:rsidRPr="00846A91">
              <w:rPr>
                <w:sz w:val="20"/>
              </w:rPr>
              <w:t>5</w:t>
            </w:r>
          </w:p>
          <w:p w14:paraId="42E1E6B5" w14:textId="77777777" w:rsidR="002B65B9" w:rsidRPr="00846A91" w:rsidRDefault="002B65B9"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6F5C8FAF" w14:textId="77777777" w:rsidR="002B65B9" w:rsidRPr="00846A91" w:rsidRDefault="002B65B9" w:rsidP="0003380F">
            <w:pPr>
              <w:spacing w:after="0" w:line="240" w:lineRule="auto"/>
              <w:jc w:val="both"/>
              <w:rPr>
                <w:sz w:val="20"/>
              </w:rPr>
            </w:pPr>
            <w:r w:rsidRPr="00846A91">
              <w:rPr>
                <w:sz w:val="20"/>
              </w:rPr>
              <w:t>Potassium Chloride</w:t>
            </w:r>
          </w:p>
        </w:tc>
        <w:tc>
          <w:tcPr>
            <w:tcW w:w="630" w:type="dxa"/>
            <w:tcBorders>
              <w:top w:val="nil"/>
              <w:left w:val="nil"/>
              <w:bottom w:val="nil"/>
              <w:right w:val="nil"/>
            </w:tcBorders>
            <w:shd w:val="clear" w:color="auto" w:fill="FFFFFF" w:themeFill="background1"/>
            <w:noWrap/>
            <w:hideMark/>
          </w:tcPr>
          <w:p w14:paraId="4D0115EC" w14:textId="77777777" w:rsidR="002B65B9" w:rsidRPr="00846A91" w:rsidRDefault="002B65B9" w:rsidP="0003380F">
            <w:pPr>
              <w:spacing w:after="0" w:line="240" w:lineRule="auto"/>
              <w:jc w:val="center"/>
              <w:rPr>
                <w:sz w:val="20"/>
              </w:rPr>
            </w:pPr>
            <w:r w:rsidRPr="00846A91">
              <w:rPr>
                <w:sz w:val="20"/>
              </w:rPr>
              <w:t>8.3</w:t>
            </w:r>
          </w:p>
        </w:tc>
        <w:tc>
          <w:tcPr>
            <w:tcW w:w="1530" w:type="dxa"/>
            <w:tcBorders>
              <w:top w:val="nil"/>
              <w:left w:val="nil"/>
              <w:bottom w:val="nil"/>
              <w:right w:val="nil"/>
            </w:tcBorders>
            <w:shd w:val="clear" w:color="auto" w:fill="FFFFFF" w:themeFill="background1"/>
          </w:tcPr>
          <w:p w14:paraId="3DB2E78F" w14:textId="77777777" w:rsidR="002B65B9" w:rsidRPr="00846A91" w:rsidRDefault="002B65B9" w:rsidP="0003380F">
            <w:pPr>
              <w:spacing w:after="0" w:line="240" w:lineRule="auto"/>
              <w:rPr>
                <w:sz w:val="20"/>
              </w:rPr>
            </w:pPr>
            <w:r w:rsidRPr="00846A91">
              <w:rPr>
                <w:sz w:val="20"/>
              </w:rPr>
              <w:t>Furosemide</w:t>
            </w:r>
          </w:p>
        </w:tc>
        <w:tc>
          <w:tcPr>
            <w:tcW w:w="630" w:type="dxa"/>
            <w:tcBorders>
              <w:top w:val="nil"/>
              <w:left w:val="nil"/>
              <w:bottom w:val="nil"/>
              <w:right w:val="nil"/>
            </w:tcBorders>
            <w:shd w:val="clear" w:color="auto" w:fill="FFFFFF" w:themeFill="background1"/>
          </w:tcPr>
          <w:p w14:paraId="136A3736" w14:textId="77777777" w:rsidR="002B65B9" w:rsidRPr="00846A91" w:rsidRDefault="002B65B9" w:rsidP="0003380F">
            <w:pPr>
              <w:spacing w:after="0" w:line="240" w:lineRule="auto"/>
              <w:jc w:val="center"/>
              <w:rPr>
                <w:sz w:val="20"/>
              </w:rPr>
            </w:pPr>
            <w:r w:rsidRPr="00846A91">
              <w:rPr>
                <w:sz w:val="20"/>
              </w:rPr>
              <w:t>7.7</w:t>
            </w:r>
          </w:p>
        </w:tc>
        <w:tc>
          <w:tcPr>
            <w:tcW w:w="1530" w:type="dxa"/>
            <w:tcBorders>
              <w:top w:val="nil"/>
              <w:left w:val="nil"/>
              <w:bottom w:val="nil"/>
              <w:right w:val="nil"/>
            </w:tcBorders>
            <w:shd w:val="clear" w:color="auto" w:fill="FFFFFF" w:themeFill="background1"/>
          </w:tcPr>
          <w:p w14:paraId="6CD4D96C" w14:textId="77777777" w:rsidR="002B65B9" w:rsidRPr="00846A91" w:rsidRDefault="002B65B9" w:rsidP="0003380F">
            <w:pPr>
              <w:spacing w:after="0" w:line="240" w:lineRule="auto"/>
              <w:rPr>
                <w:sz w:val="20"/>
              </w:rPr>
            </w:pPr>
            <w:r w:rsidRPr="00846A91">
              <w:rPr>
                <w:sz w:val="20"/>
              </w:rPr>
              <w:t>Omeprazole</w:t>
            </w:r>
          </w:p>
        </w:tc>
        <w:tc>
          <w:tcPr>
            <w:tcW w:w="630" w:type="dxa"/>
            <w:tcBorders>
              <w:top w:val="nil"/>
              <w:left w:val="nil"/>
              <w:bottom w:val="nil"/>
              <w:right w:val="nil"/>
            </w:tcBorders>
            <w:shd w:val="clear" w:color="auto" w:fill="FFFFFF" w:themeFill="background1"/>
          </w:tcPr>
          <w:p w14:paraId="3CA5F706" w14:textId="77777777" w:rsidR="002B65B9" w:rsidRPr="00846A91" w:rsidRDefault="002B65B9" w:rsidP="0003380F">
            <w:pPr>
              <w:spacing w:after="0" w:line="240" w:lineRule="auto"/>
              <w:jc w:val="center"/>
              <w:rPr>
                <w:sz w:val="20"/>
              </w:rPr>
            </w:pPr>
            <w:r w:rsidRPr="00846A91">
              <w:rPr>
                <w:sz w:val="20"/>
              </w:rPr>
              <w:t>6.8</w:t>
            </w:r>
          </w:p>
        </w:tc>
        <w:tc>
          <w:tcPr>
            <w:tcW w:w="1530" w:type="dxa"/>
            <w:tcBorders>
              <w:top w:val="nil"/>
              <w:left w:val="nil"/>
              <w:bottom w:val="nil"/>
              <w:right w:val="nil"/>
            </w:tcBorders>
            <w:shd w:val="clear" w:color="auto" w:fill="FFFFFF" w:themeFill="background1"/>
          </w:tcPr>
          <w:p w14:paraId="46028582" w14:textId="77777777" w:rsidR="002B65B9" w:rsidRPr="00846A91" w:rsidRDefault="002B65B9" w:rsidP="0003380F">
            <w:pPr>
              <w:spacing w:after="0" w:line="240" w:lineRule="auto"/>
              <w:rPr>
                <w:sz w:val="20"/>
              </w:rPr>
            </w:pPr>
            <w:r w:rsidRPr="00846A91">
              <w:rPr>
                <w:sz w:val="20"/>
              </w:rPr>
              <w:t xml:space="preserve">Morphine </w:t>
            </w:r>
          </w:p>
        </w:tc>
        <w:tc>
          <w:tcPr>
            <w:tcW w:w="630" w:type="dxa"/>
            <w:tcBorders>
              <w:top w:val="nil"/>
              <w:left w:val="nil"/>
              <w:bottom w:val="nil"/>
              <w:right w:val="nil"/>
            </w:tcBorders>
            <w:shd w:val="clear" w:color="auto" w:fill="FFFFFF" w:themeFill="background1"/>
          </w:tcPr>
          <w:p w14:paraId="69C8AE61" w14:textId="77777777" w:rsidR="002B65B9" w:rsidRPr="00846A91" w:rsidRDefault="002B65B9" w:rsidP="0003380F">
            <w:pPr>
              <w:spacing w:after="0" w:line="240" w:lineRule="auto"/>
              <w:jc w:val="center"/>
              <w:rPr>
                <w:sz w:val="20"/>
              </w:rPr>
            </w:pPr>
            <w:r w:rsidRPr="00846A91">
              <w:rPr>
                <w:sz w:val="20"/>
              </w:rPr>
              <w:t>7.2</w:t>
            </w:r>
          </w:p>
        </w:tc>
        <w:tc>
          <w:tcPr>
            <w:tcW w:w="1635" w:type="dxa"/>
            <w:tcBorders>
              <w:top w:val="nil"/>
              <w:left w:val="nil"/>
              <w:bottom w:val="nil"/>
              <w:right w:val="nil"/>
            </w:tcBorders>
            <w:shd w:val="clear" w:color="auto" w:fill="FFFFFF" w:themeFill="background1"/>
          </w:tcPr>
          <w:p w14:paraId="52D6BD7E" w14:textId="77777777" w:rsidR="002B65B9" w:rsidRPr="00846A91" w:rsidRDefault="002B65B9" w:rsidP="0003380F">
            <w:pPr>
              <w:spacing w:after="0" w:line="240" w:lineRule="auto"/>
              <w:rPr>
                <w:sz w:val="20"/>
              </w:rPr>
            </w:pPr>
            <w:r w:rsidRPr="00846A91">
              <w:rPr>
                <w:sz w:val="20"/>
              </w:rPr>
              <w:t>Furosemide</w:t>
            </w:r>
          </w:p>
        </w:tc>
        <w:tc>
          <w:tcPr>
            <w:tcW w:w="540" w:type="dxa"/>
            <w:tcBorders>
              <w:top w:val="nil"/>
              <w:left w:val="nil"/>
              <w:bottom w:val="nil"/>
              <w:right w:val="nil"/>
            </w:tcBorders>
            <w:shd w:val="clear" w:color="auto" w:fill="FFFFFF" w:themeFill="background1"/>
          </w:tcPr>
          <w:p w14:paraId="13306717" w14:textId="77777777" w:rsidR="002B65B9" w:rsidRPr="00846A91" w:rsidRDefault="002B65B9" w:rsidP="0003380F">
            <w:pPr>
              <w:spacing w:after="0" w:line="240" w:lineRule="auto"/>
              <w:jc w:val="center"/>
              <w:rPr>
                <w:sz w:val="20"/>
              </w:rPr>
            </w:pPr>
            <w:r w:rsidRPr="00846A91">
              <w:rPr>
                <w:sz w:val="20"/>
              </w:rPr>
              <w:t>3.6</w:t>
            </w:r>
          </w:p>
        </w:tc>
        <w:tc>
          <w:tcPr>
            <w:tcW w:w="1530" w:type="dxa"/>
            <w:tcBorders>
              <w:top w:val="nil"/>
              <w:left w:val="nil"/>
              <w:bottom w:val="nil"/>
              <w:right w:val="nil"/>
            </w:tcBorders>
            <w:shd w:val="clear" w:color="auto" w:fill="FFFFFF" w:themeFill="background1"/>
          </w:tcPr>
          <w:p w14:paraId="42EF8870" w14:textId="77777777" w:rsidR="002B65B9" w:rsidRPr="00846A91" w:rsidRDefault="002B65B9" w:rsidP="0003380F">
            <w:pPr>
              <w:spacing w:after="0" w:line="240" w:lineRule="auto"/>
              <w:rPr>
                <w:sz w:val="20"/>
              </w:rPr>
            </w:pPr>
            <w:r w:rsidRPr="00846A91">
              <w:rPr>
                <w:sz w:val="20"/>
              </w:rPr>
              <w:t xml:space="preserve">Amlodipine </w:t>
            </w:r>
          </w:p>
        </w:tc>
        <w:tc>
          <w:tcPr>
            <w:tcW w:w="540" w:type="dxa"/>
            <w:tcBorders>
              <w:top w:val="nil"/>
              <w:left w:val="nil"/>
              <w:bottom w:val="nil"/>
              <w:right w:val="nil"/>
            </w:tcBorders>
            <w:shd w:val="clear" w:color="auto" w:fill="FFFFFF" w:themeFill="background1"/>
          </w:tcPr>
          <w:p w14:paraId="7A521B88" w14:textId="77777777" w:rsidR="002B65B9" w:rsidRPr="00846A91" w:rsidRDefault="002B65B9" w:rsidP="0003380F">
            <w:pPr>
              <w:spacing w:after="0" w:line="240" w:lineRule="auto"/>
              <w:jc w:val="center"/>
              <w:rPr>
                <w:sz w:val="20"/>
              </w:rPr>
            </w:pPr>
            <w:r w:rsidRPr="00846A91">
              <w:rPr>
                <w:sz w:val="20"/>
              </w:rPr>
              <w:t>4.0</w:t>
            </w:r>
          </w:p>
        </w:tc>
      </w:tr>
      <w:tr w:rsidR="002B65B9" w:rsidRPr="00272761" w14:paraId="2EF4D10B" w14:textId="77777777" w:rsidTr="0003380F">
        <w:trPr>
          <w:trHeight w:val="20"/>
        </w:trPr>
        <w:tc>
          <w:tcPr>
            <w:tcW w:w="795" w:type="dxa"/>
            <w:tcBorders>
              <w:top w:val="nil"/>
              <w:left w:val="nil"/>
              <w:bottom w:val="nil"/>
              <w:right w:val="nil"/>
            </w:tcBorders>
            <w:shd w:val="clear" w:color="auto" w:fill="FFFFFF" w:themeFill="background1"/>
            <w:noWrap/>
            <w:hideMark/>
          </w:tcPr>
          <w:p w14:paraId="382D6120" w14:textId="77777777" w:rsidR="002B65B9" w:rsidRPr="00846A91" w:rsidRDefault="002B65B9" w:rsidP="0003380F">
            <w:pPr>
              <w:spacing w:after="0" w:line="240" w:lineRule="auto"/>
              <w:rPr>
                <w:sz w:val="20"/>
              </w:rPr>
            </w:pPr>
            <w:r w:rsidRPr="00846A91">
              <w:rPr>
                <w:sz w:val="20"/>
              </w:rPr>
              <w:t>6</w:t>
            </w:r>
          </w:p>
          <w:p w14:paraId="3FF3E623" w14:textId="77777777" w:rsidR="002B65B9" w:rsidRPr="00846A91" w:rsidRDefault="002B65B9"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0AD09A92" w14:textId="77777777" w:rsidR="002B65B9" w:rsidRPr="00846A91" w:rsidRDefault="002B65B9" w:rsidP="0003380F">
            <w:pPr>
              <w:spacing w:after="0" w:line="240" w:lineRule="auto"/>
              <w:jc w:val="both"/>
              <w:rPr>
                <w:sz w:val="20"/>
              </w:rPr>
            </w:pPr>
            <w:r w:rsidRPr="00846A91">
              <w:rPr>
                <w:sz w:val="20"/>
              </w:rPr>
              <w:t>Metoprolol Tartrate</w:t>
            </w:r>
          </w:p>
        </w:tc>
        <w:tc>
          <w:tcPr>
            <w:tcW w:w="630" w:type="dxa"/>
            <w:tcBorders>
              <w:top w:val="nil"/>
              <w:left w:val="nil"/>
              <w:bottom w:val="nil"/>
              <w:right w:val="nil"/>
            </w:tcBorders>
            <w:shd w:val="clear" w:color="auto" w:fill="FFFFFF" w:themeFill="background1"/>
            <w:noWrap/>
            <w:hideMark/>
          </w:tcPr>
          <w:p w14:paraId="7FC67BF2" w14:textId="77777777" w:rsidR="002B65B9" w:rsidRPr="00846A91" w:rsidRDefault="002B65B9" w:rsidP="0003380F">
            <w:pPr>
              <w:spacing w:after="0" w:line="240" w:lineRule="auto"/>
              <w:jc w:val="center"/>
              <w:rPr>
                <w:sz w:val="20"/>
              </w:rPr>
            </w:pPr>
            <w:r w:rsidRPr="00846A91">
              <w:rPr>
                <w:sz w:val="20"/>
              </w:rPr>
              <w:t>7.6</w:t>
            </w:r>
          </w:p>
        </w:tc>
        <w:tc>
          <w:tcPr>
            <w:tcW w:w="1530" w:type="dxa"/>
            <w:tcBorders>
              <w:top w:val="nil"/>
              <w:left w:val="nil"/>
              <w:bottom w:val="nil"/>
              <w:right w:val="nil"/>
            </w:tcBorders>
            <w:shd w:val="clear" w:color="auto" w:fill="FFFFFF" w:themeFill="background1"/>
          </w:tcPr>
          <w:p w14:paraId="7C8DF9DB" w14:textId="77777777" w:rsidR="002B65B9" w:rsidRPr="00846A91" w:rsidRDefault="002B65B9" w:rsidP="0003380F">
            <w:pPr>
              <w:spacing w:after="0" w:line="240" w:lineRule="auto"/>
              <w:rPr>
                <w:sz w:val="20"/>
              </w:rPr>
            </w:pPr>
            <w:r w:rsidRPr="00846A91">
              <w:rPr>
                <w:sz w:val="20"/>
              </w:rPr>
              <w:t>Omeprazole</w:t>
            </w:r>
          </w:p>
        </w:tc>
        <w:tc>
          <w:tcPr>
            <w:tcW w:w="630" w:type="dxa"/>
            <w:tcBorders>
              <w:top w:val="nil"/>
              <w:left w:val="nil"/>
              <w:bottom w:val="nil"/>
              <w:right w:val="nil"/>
            </w:tcBorders>
            <w:shd w:val="clear" w:color="auto" w:fill="FFFFFF" w:themeFill="background1"/>
          </w:tcPr>
          <w:p w14:paraId="6DB74C01" w14:textId="77777777" w:rsidR="002B65B9" w:rsidRPr="00846A91" w:rsidRDefault="002B65B9" w:rsidP="0003380F">
            <w:pPr>
              <w:spacing w:after="0" w:line="240" w:lineRule="auto"/>
              <w:jc w:val="center"/>
              <w:rPr>
                <w:sz w:val="20"/>
              </w:rPr>
            </w:pPr>
            <w:r w:rsidRPr="00846A91">
              <w:rPr>
                <w:sz w:val="20"/>
              </w:rPr>
              <w:t>6.4</w:t>
            </w:r>
          </w:p>
        </w:tc>
        <w:tc>
          <w:tcPr>
            <w:tcW w:w="1530" w:type="dxa"/>
            <w:tcBorders>
              <w:top w:val="nil"/>
              <w:left w:val="nil"/>
              <w:bottom w:val="nil"/>
              <w:right w:val="nil"/>
            </w:tcBorders>
            <w:shd w:val="clear" w:color="auto" w:fill="FFFFFF" w:themeFill="background1"/>
          </w:tcPr>
          <w:p w14:paraId="2BEBAF89" w14:textId="77777777" w:rsidR="002B65B9" w:rsidRPr="00846A91" w:rsidRDefault="002B65B9" w:rsidP="0003380F">
            <w:pPr>
              <w:spacing w:after="0" w:line="240" w:lineRule="auto"/>
              <w:rPr>
                <w:sz w:val="20"/>
              </w:rPr>
            </w:pPr>
            <w:r w:rsidRPr="00846A91">
              <w:rPr>
                <w:sz w:val="20"/>
              </w:rPr>
              <w:t xml:space="preserve">Morphine </w:t>
            </w:r>
          </w:p>
        </w:tc>
        <w:tc>
          <w:tcPr>
            <w:tcW w:w="630" w:type="dxa"/>
            <w:tcBorders>
              <w:top w:val="nil"/>
              <w:left w:val="nil"/>
              <w:bottom w:val="nil"/>
              <w:right w:val="nil"/>
            </w:tcBorders>
            <w:shd w:val="clear" w:color="auto" w:fill="FFFFFF" w:themeFill="background1"/>
          </w:tcPr>
          <w:p w14:paraId="0BB9E746" w14:textId="77777777" w:rsidR="002B65B9" w:rsidRPr="00846A91" w:rsidRDefault="002B65B9" w:rsidP="0003380F">
            <w:pPr>
              <w:spacing w:after="0" w:line="240" w:lineRule="auto"/>
              <w:jc w:val="center"/>
              <w:rPr>
                <w:sz w:val="20"/>
              </w:rPr>
            </w:pPr>
            <w:r w:rsidRPr="00846A91">
              <w:rPr>
                <w:sz w:val="20"/>
              </w:rPr>
              <w:t>5.8</w:t>
            </w:r>
          </w:p>
        </w:tc>
        <w:tc>
          <w:tcPr>
            <w:tcW w:w="1530" w:type="dxa"/>
            <w:tcBorders>
              <w:top w:val="nil"/>
              <w:left w:val="nil"/>
              <w:bottom w:val="nil"/>
              <w:right w:val="nil"/>
            </w:tcBorders>
            <w:shd w:val="clear" w:color="auto" w:fill="FFFFFF" w:themeFill="background1"/>
          </w:tcPr>
          <w:p w14:paraId="75EA2D5C" w14:textId="77777777" w:rsidR="002B65B9" w:rsidRPr="00846A91" w:rsidRDefault="002B65B9" w:rsidP="0003380F">
            <w:pPr>
              <w:spacing w:after="0" w:line="240" w:lineRule="auto"/>
              <w:rPr>
                <w:sz w:val="20"/>
              </w:rPr>
            </w:pPr>
            <w:r w:rsidRPr="00846A91">
              <w:rPr>
                <w:sz w:val="20"/>
              </w:rPr>
              <w:t>Carvedilol</w:t>
            </w:r>
          </w:p>
        </w:tc>
        <w:tc>
          <w:tcPr>
            <w:tcW w:w="630" w:type="dxa"/>
            <w:tcBorders>
              <w:top w:val="nil"/>
              <w:left w:val="nil"/>
              <w:bottom w:val="nil"/>
              <w:right w:val="nil"/>
            </w:tcBorders>
            <w:shd w:val="clear" w:color="auto" w:fill="FFFFFF" w:themeFill="background1"/>
          </w:tcPr>
          <w:p w14:paraId="33DB26D2" w14:textId="77777777" w:rsidR="002B65B9" w:rsidRPr="00846A91" w:rsidRDefault="002B65B9" w:rsidP="0003380F">
            <w:pPr>
              <w:spacing w:after="0" w:line="240" w:lineRule="auto"/>
              <w:jc w:val="center"/>
              <w:rPr>
                <w:sz w:val="20"/>
              </w:rPr>
            </w:pPr>
            <w:r w:rsidRPr="00846A91">
              <w:rPr>
                <w:sz w:val="20"/>
              </w:rPr>
              <w:t>5.8</w:t>
            </w:r>
          </w:p>
        </w:tc>
        <w:tc>
          <w:tcPr>
            <w:tcW w:w="1635" w:type="dxa"/>
            <w:tcBorders>
              <w:top w:val="nil"/>
              <w:left w:val="nil"/>
              <w:bottom w:val="nil"/>
              <w:right w:val="nil"/>
            </w:tcBorders>
            <w:shd w:val="clear" w:color="auto" w:fill="FFFFFF" w:themeFill="background1"/>
          </w:tcPr>
          <w:p w14:paraId="796D1EA0" w14:textId="77777777" w:rsidR="002B65B9" w:rsidRPr="00846A91" w:rsidRDefault="002B65B9" w:rsidP="0003380F">
            <w:pPr>
              <w:spacing w:after="0" w:line="240" w:lineRule="auto"/>
              <w:rPr>
                <w:sz w:val="20"/>
              </w:rPr>
            </w:pPr>
            <w:r w:rsidRPr="00846A91">
              <w:rPr>
                <w:sz w:val="20"/>
              </w:rPr>
              <w:t>Potassium Chloride</w:t>
            </w:r>
          </w:p>
        </w:tc>
        <w:tc>
          <w:tcPr>
            <w:tcW w:w="540" w:type="dxa"/>
            <w:tcBorders>
              <w:top w:val="nil"/>
              <w:left w:val="nil"/>
              <w:bottom w:val="nil"/>
              <w:right w:val="nil"/>
            </w:tcBorders>
            <w:shd w:val="clear" w:color="auto" w:fill="FFFFFF" w:themeFill="background1"/>
          </w:tcPr>
          <w:p w14:paraId="6A3CE63F" w14:textId="77777777" w:rsidR="002B65B9" w:rsidRPr="00846A91" w:rsidRDefault="002B65B9" w:rsidP="0003380F">
            <w:pPr>
              <w:spacing w:after="0" w:line="240" w:lineRule="auto"/>
              <w:jc w:val="center"/>
              <w:rPr>
                <w:sz w:val="20"/>
              </w:rPr>
            </w:pPr>
            <w:r w:rsidRPr="00846A91">
              <w:rPr>
                <w:sz w:val="20"/>
              </w:rPr>
              <w:t>3.3</w:t>
            </w:r>
          </w:p>
        </w:tc>
        <w:tc>
          <w:tcPr>
            <w:tcW w:w="1530" w:type="dxa"/>
            <w:tcBorders>
              <w:top w:val="nil"/>
              <w:left w:val="nil"/>
              <w:bottom w:val="nil"/>
              <w:right w:val="nil"/>
            </w:tcBorders>
            <w:shd w:val="clear" w:color="auto" w:fill="FFFFFF" w:themeFill="background1"/>
          </w:tcPr>
          <w:p w14:paraId="3D59DE1F" w14:textId="77777777" w:rsidR="002B65B9" w:rsidRPr="00846A91" w:rsidRDefault="002B65B9" w:rsidP="0003380F">
            <w:pPr>
              <w:spacing w:after="0" w:line="240" w:lineRule="auto"/>
              <w:rPr>
                <w:sz w:val="20"/>
              </w:rPr>
            </w:pPr>
            <w:r w:rsidRPr="00846A91">
              <w:rPr>
                <w:sz w:val="20"/>
              </w:rPr>
              <w:t>Insulin</w:t>
            </w:r>
          </w:p>
        </w:tc>
        <w:tc>
          <w:tcPr>
            <w:tcW w:w="540" w:type="dxa"/>
            <w:tcBorders>
              <w:top w:val="nil"/>
              <w:left w:val="nil"/>
              <w:bottom w:val="nil"/>
              <w:right w:val="nil"/>
            </w:tcBorders>
            <w:shd w:val="clear" w:color="auto" w:fill="FFFFFF" w:themeFill="background1"/>
          </w:tcPr>
          <w:p w14:paraId="3BAB1FEE" w14:textId="77777777" w:rsidR="002B65B9" w:rsidRPr="00846A91" w:rsidRDefault="002B65B9" w:rsidP="0003380F">
            <w:pPr>
              <w:spacing w:after="0" w:line="240" w:lineRule="auto"/>
              <w:jc w:val="center"/>
              <w:rPr>
                <w:sz w:val="20"/>
              </w:rPr>
            </w:pPr>
            <w:r w:rsidRPr="00846A91">
              <w:rPr>
                <w:sz w:val="20"/>
              </w:rPr>
              <w:t>3.8</w:t>
            </w:r>
          </w:p>
        </w:tc>
      </w:tr>
      <w:tr w:rsidR="002B65B9" w:rsidRPr="00272761" w14:paraId="36DCF362" w14:textId="77777777" w:rsidTr="0003380F">
        <w:trPr>
          <w:trHeight w:val="20"/>
        </w:trPr>
        <w:tc>
          <w:tcPr>
            <w:tcW w:w="795" w:type="dxa"/>
            <w:tcBorders>
              <w:top w:val="nil"/>
              <w:left w:val="nil"/>
              <w:bottom w:val="nil"/>
              <w:right w:val="nil"/>
            </w:tcBorders>
            <w:shd w:val="clear" w:color="auto" w:fill="FFFFFF" w:themeFill="background1"/>
            <w:noWrap/>
            <w:hideMark/>
          </w:tcPr>
          <w:p w14:paraId="010455D6" w14:textId="77777777" w:rsidR="002B65B9" w:rsidRPr="00846A91" w:rsidRDefault="002B65B9" w:rsidP="0003380F">
            <w:pPr>
              <w:spacing w:after="0" w:line="240" w:lineRule="auto"/>
              <w:rPr>
                <w:sz w:val="20"/>
              </w:rPr>
            </w:pPr>
            <w:r w:rsidRPr="00846A91">
              <w:rPr>
                <w:sz w:val="20"/>
              </w:rPr>
              <w:t>7</w:t>
            </w:r>
          </w:p>
        </w:tc>
        <w:tc>
          <w:tcPr>
            <w:tcW w:w="1530" w:type="dxa"/>
            <w:tcBorders>
              <w:top w:val="nil"/>
              <w:left w:val="nil"/>
              <w:bottom w:val="nil"/>
              <w:right w:val="nil"/>
            </w:tcBorders>
            <w:shd w:val="clear" w:color="auto" w:fill="FFFFFF" w:themeFill="background1"/>
            <w:noWrap/>
            <w:hideMark/>
          </w:tcPr>
          <w:p w14:paraId="1E5DA71F" w14:textId="77777777" w:rsidR="002B65B9" w:rsidRPr="00846A91" w:rsidRDefault="002B65B9" w:rsidP="0003380F">
            <w:pPr>
              <w:spacing w:after="0" w:line="240" w:lineRule="auto"/>
              <w:jc w:val="both"/>
              <w:rPr>
                <w:sz w:val="20"/>
              </w:rPr>
            </w:pPr>
            <w:r w:rsidRPr="00846A91">
              <w:rPr>
                <w:sz w:val="20"/>
              </w:rPr>
              <w:t>Hydrocodone/ APAP</w:t>
            </w:r>
          </w:p>
        </w:tc>
        <w:tc>
          <w:tcPr>
            <w:tcW w:w="630" w:type="dxa"/>
            <w:tcBorders>
              <w:top w:val="nil"/>
              <w:left w:val="nil"/>
              <w:bottom w:val="nil"/>
              <w:right w:val="nil"/>
            </w:tcBorders>
            <w:shd w:val="clear" w:color="auto" w:fill="FFFFFF" w:themeFill="background1"/>
            <w:noWrap/>
            <w:hideMark/>
          </w:tcPr>
          <w:p w14:paraId="09E10278" w14:textId="77777777" w:rsidR="002B65B9" w:rsidRPr="00846A91" w:rsidRDefault="002B65B9" w:rsidP="0003380F">
            <w:pPr>
              <w:spacing w:after="0" w:line="240" w:lineRule="auto"/>
              <w:jc w:val="center"/>
              <w:rPr>
                <w:sz w:val="20"/>
              </w:rPr>
            </w:pPr>
            <w:r w:rsidRPr="00846A91">
              <w:rPr>
                <w:sz w:val="20"/>
              </w:rPr>
              <w:t>6.0</w:t>
            </w:r>
          </w:p>
        </w:tc>
        <w:tc>
          <w:tcPr>
            <w:tcW w:w="1530" w:type="dxa"/>
            <w:tcBorders>
              <w:top w:val="nil"/>
              <w:left w:val="nil"/>
              <w:bottom w:val="nil"/>
              <w:right w:val="nil"/>
            </w:tcBorders>
            <w:shd w:val="clear" w:color="auto" w:fill="FFFFFF" w:themeFill="background1"/>
          </w:tcPr>
          <w:p w14:paraId="18286909" w14:textId="77777777" w:rsidR="002B65B9" w:rsidRPr="00846A91" w:rsidRDefault="002B65B9" w:rsidP="0003380F">
            <w:pPr>
              <w:spacing w:after="0" w:line="240" w:lineRule="auto"/>
              <w:rPr>
                <w:sz w:val="20"/>
              </w:rPr>
            </w:pPr>
            <w:r w:rsidRPr="00846A91">
              <w:rPr>
                <w:sz w:val="20"/>
              </w:rPr>
              <w:t>Potassium Chloride</w:t>
            </w:r>
          </w:p>
        </w:tc>
        <w:tc>
          <w:tcPr>
            <w:tcW w:w="630" w:type="dxa"/>
            <w:tcBorders>
              <w:top w:val="nil"/>
              <w:left w:val="nil"/>
              <w:bottom w:val="nil"/>
              <w:right w:val="nil"/>
            </w:tcBorders>
            <w:shd w:val="clear" w:color="auto" w:fill="FFFFFF" w:themeFill="background1"/>
          </w:tcPr>
          <w:p w14:paraId="61523946" w14:textId="77777777" w:rsidR="002B65B9" w:rsidRPr="00846A91" w:rsidRDefault="002B65B9" w:rsidP="0003380F">
            <w:pPr>
              <w:spacing w:after="0" w:line="240" w:lineRule="auto"/>
              <w:jc w:val="center"/>
              <w:rPr>
                <w:sz w:val="20"/>
              </w:rPr>
            </w:pPr>
            <w:r w:rsidRPr="00846A91">
              <w:rPr>
                <w:sz w:val="20"/>
              </w:rPr>
              <w:t>6.4</w:t>
            </w:r>
          </w:p>
        </w:tc>
        <w:tc>
          <w:tcPr>
            <w:tcW w:w="1530" w:type="dxa"/>
            <w:tcBorders>
              <w:top w:val="nil"/>
              <w:left w:val="nil"/>
              <w:bottom w:val="nil"/>
              <w:right w:val="nil"/>
            </w:tcBorders>
            <w:shd w:val="clear" w:color="auto" w:fill="FFFFFF" w:themeFill="background1"/>
          </w:tcPr>
          <w:p w14:paraId="2A6C2110" w14:textId="77777777" w:rsidR="002B65B9" w:rsidRPr="00846A91" w:rsidRDefault="002B65B9" w:rsidP="0003380F">
            <w:pPr>
              <w:spacing w:after="0" w:line="240" w:lineRule="auto"/>
              <w:rPr>
                <w:sz w:val="20"/>
              </w:rPr>
            </w:pPr>
            <w:r w:rsidRPr="00846A91">
              <w:rPr>
                <w:sz w:val="20"/>
              </w:rPr>
              <w:t xml:space="preserve">Diltiazem </w:t>
            </w:r>
          </w:p>
        </w:tc>
        <w:tc>
          <w:tcPr>
            <w:tcW w:w="630" w:type="dxa"/>
            <w:tcBorders>
              <w:top w:val="nil"/>
              <w:left w:val="nil"/>
              <w:bottom w:val="nil"/>
              <w:right w:val="nil"/>
            </w:tcBorders>
            <w:shd w:val="clear" w:color="auto" w:fill="FFFFFF" w:themeFill="background1"/>
          </w:tcPr>
          <w:p w14:paraId="113D30E4" w14:textId="77777777" w:rsidR="002B65B9" w:rsidRPr="00846A91" w:rsidRDefault="002B65B9" w:rsidP="0003380F">
            <w:pPr>
              <w:spacing w:after="0" w:line="240" w:lineRule="auto"/>
              <w:jc w:val="center"/>
              <w:rPr>
                <w:sz w:val="20"/>
              </w:rPr>
            </w:pPr>
            <w:r w:rsidRPr="00846A91">
              <w:rPr>
                <w:sz w:val="20"/>
              </w:rPr>
              <w:t>5.7</w:t>
            </w:r>
          </w:p>
        </w:tc>
        <w:tc>
          <w:tcPr>
            <w:tcW w:w="1530" w:type="dxa"/>
            <w:tcBorders>
              <w:top w:val="nil"/>
              <w:left w:val="nil"/>
              <w:bottom w:val="nil"/>
              <w:right w:val="nil"/>
            </w:tcBorders>
            <w:shd w:val="clear" w:color="auto" w:fill="FFFFFF" w:themeFill="background1"/>
          </w:tcPr>
          <w:p w14:paraId="738958A4" w14:textId="77777777" w:rsidR="002B65B9" w:rsidRPr="00846A91" w:rsidRDefault="002B65B9" w:rsidP="0003380F">
            <w:pPr>
              <w:spacing w:after="0" w:line="240" w:lineRule="auto"/>
              <w:rPr>
                <w:sz w:val="20"/>
              </w:rPr>
            </w:pPr>
            <w:r w:rsidRPr="00846A91">
              <w:rPr>
                <w:sz w:val="20"/>
              </w:rPr>
              <w:t>Insulin</w:t>
            </w:r>
          </w:p>
        </w:tc>
        <w:tc>
          <w:tcPr>
            <w:tcW w:w="630" w:type="dxa"/>
            <w:tcBorders>
              <w:top w:val="nil"/>
              <w:left w:val="nil"/>
              <w:bottom w:val="nil"/>
              <w:right w:val="nil"/>
            </w:tcBorders>
            <w:shd w:val="clear" w:color="auto" w:fill="FFFFFF" w:themeFill="background1"/>
          </w:tcPr>
          <w:p w14:paraId="771A8628" w14:textId="77777777" w:rsidR="002B65B9" w:rsidRPr="00846A91" w:rsidRDefault="002B65B9" w:rsidP="0003380F">
            <w:pPr>
              <w:spacing w:after="0" w:line="240" w:lineRule="auto"/>
              <w:jc w:val="center"/>
              <w:rPr>
                <w:sz w:val="20"/>
              </w:rPr>
            </w:pPr>
            <w:r w:rsidRPr="00846A91">
              <w:rPr>
                <w:sz w:val="20"/>
              </w:rPr>
              <w:t>5.5</w:t>
            </w:r>
          </w:p>
        </w:tc>
        <w:tc>
          <w:tcPr>
            <w:tcW w:w="1635" w:type="dxa"/>
            <w:tcBorders>
              <w:top w:val="nil"/>
              <w:left w:val="nil"/>
              <w:bottom w:val="nil"/>
              <w:right w:val="nil"/>
            </w:tcBorders>
            <w:shd w:val="clear" w:color="auto" w:fill="FFFFFF" w:themeFill="background1"/>
          </w:tcPr>
          <w:p w14:paraId="4F99B307" w14:textId="77777777" w:rsidR="002B65B9" w:rsidRPr="00846A91" w:rsidRDefault="002B65B9" w:rsidP="0003380F">
            <w:pPr>
              <w:spacing w:after="0" w:line="240" w:lineRule="auto"/>
              <w:rPr>
                <w:sz w:val="20"/>
              </w:rPr>
            </w:pPr>
            <w:r w:rsidRPr="00846A91">
              <w:rPr>
                <w:sz w:val="20"/>
              </w:rPr>
              <w:t>Omeprazole</w:t>
            </w:r>
          </w:p>
        </w:tc>
        <w:tc>
          <w:tcPr>
            <w:tcW w:w="540" w:type="dxa"/>
            <w:tcBorders>
              <w:top w:val="nil"/>
              <w:left w:val="nil"/>
              <w:bottom w:val="nil"/>
              <w:right w:val="nil"/>
            </w:tcBorders>
            <w:shd w:val="clear" w:color="auto" w:fill="FFFFFF" w:themeFill="background1"/>
          </w:tcPr>
          <w:p w14:paraId="5675EF2E" w14:textId="77777777" w:rsidR="002B65B9" w:rsidRPr="00846A91" w:rsidRDefault="002B65B9" w:rsidP="0003380F">
            <w:pPr>
              <w:spacing w:after="0" w:line="240" w:lineRule="auto"/>
              <w:jc w:val="center"/>
              <w:rPr>
                <w:sz w:val="20"/>
              </w:rPr>
            </w:pPr>
            <w:r w:rsidRPr="00846A91">
              <w:rPr>
                <w:sz w:val="20"/>
              </w:rPr>
              <w:t>3.2</w:t>
            </w:r>
          </w:p>
        </w:tc>
        <w:tc>
          <w:tcPr>
            <w:tcW w:w="1530" w:type="dxa"/>
            <w:tcBorders>
              <w:top w:val="nil"/>
              <w:left w:val="nil"/>
              <w:bottom w:val="nil"/>
              <w:right w:val="nil"/>
            </w:tcBorders>
            <w:shd w:val="clear" w:color="auto" w:fill="FFFFFF" w:themeFill="background1"/>
          </w:tcPr>
          <w:p w14:paraId="0565972C" w14:textId="77777777" w:rsidR="002B65B9" w:rsidRPr="00846A91" w:rsidRDefault="002B65B9" w:rsidP="0003380F">
            <w:pPr>
              <w:spacing w:after="0" w:line="240" w:lineRule="auto"/>
              <w:rPr>
                <w:sz w:val="20"/>
              </w:rPr>
            </w:pPr>
            <w:r w:rsidRPr="00846A91">
              <w:rPr>
                <w:sz w:val="20"/>
              </w:rPr>
              <w:t>Metoprolol Tartrate</w:t>
            </w:r>
          </w:p>
        </w:tc>
        <w:tc>
          <w:tcPr>
            <w:tcW w:w="540" w:type="dxa"/>
            <w:tcBorders>
              <w:top w:val="nil"/>
              <w:left w:val="nil"/>
              <w:bottom w:val="nil"/>
              <w:right w:val="nil"/>
            </w:tcBorders>
            <w:shd w:val="clear" w:color="auto" w:fill="FFFFFF" w:themeFill="background1"/>
          </w:tcPr>
          <w:p w14:paraId="25653632" w14:textId="77777777" w:rsidR="002B65B9" w:rsidRPr="00846A91" w:rsidRDefault="002B65B9" w:rsidP="0003380F">
            <w:pPr>
              <w:spacing w:after="0" w:line="240" w:lineRule="auto"/>
              <w:jc w:val="center"/>
              <w:rPr>
                <w:sz w:val="20"/>
              </w:rPr>
            </w:pPr>
            <w:r w:rsidRPr="00846A91">
              <w:rPr>
                <w:sz w:val="20"/>
              </w:rPr>
              <w:t>3.6</w:t>
            </w:r>
          </w:p>
        </w:tc>
      </w:tr>
      <w:tr w:rsidR="002B65B9" w:rsidRPr="00272761" w14:paraId="4978E8F7" w14:textId="77777777" w:rsidTr="0003380F">
        <w:trPr>
          <w:trHeight w:val="20"/>
        </w:trPr>
        <w:tc>
          <w:tcPr>
            <w:tcW w:w="795" w:type="dxa"/>
            <w:tcBorders>
              <w:top w:val="nil"/>
              <w:left w:val="nil"/>
              <w:bottom w:val="nil"/>
              <w:right w:val="nil"/>
            </w:tcBorders>
            <w:shd w:val="clear" w:color="auto" w:fill="FFFFFF" w:themeFill="background1"/>
            <w:noWrap/>
            <w:hideMark/>
          </w:tcPr>
          <w:p w14:paraId="5571BA8F" w14:textId="77777777" w:rsidR="002B65B9" w:rsidRPr="00846A91" w:rsidRDefault="002B65B9" w:rsidP="0003380F">
            <w:pPr>
              <w:spacing w:after="0" w:line="240" w:lineRule="auto"/>
              <w:rPr>
                <w:sz w:val="20"/>
              </w:rPr>
            </w:pPr>
            <w:r w:rsidRPr="00846A91">
              <w:rPr>
                <w:sz w:val="20"/>
              </w:rPr>
              <w:t>8</w:t>
            </w:r>
          </w:p>
        </w:tc>
        <w:tc>
          <w:tcPr>
            <w:tcW w:w="1530" w:type="dxa"/>
            <w:tcBorders>
              <w:top w:val="nil"/>
              <w:left w:val="nil"/>
              <w:bottom w:val="nil"/>
              <w:right w:val="nil"/>
            </w:tcBorders>
            <w:shd w:val="clear" w:color="auto" w:fill="FFFFFF" w:themeFill="background1"/>
            <w:noWrap/>
            <w:hideMark/>
          </w:tcPr>
          <w:p w14:paraId="070EF67D" w14:textId="77777777" w:rsidR="002B65B9" w:rsidRPr="00846A91" w:rsidRDefault="002B65B9" w:rsidP="0003380F">
            <w:pPr>
              <w:spacing w:after="0" w:line="240" w:lineRule="auto"/>
              <w:jc w:val="both"/>
              <w:rPr>
                <w:sz w:val="20"/>
              </w:rPr>
            </w:pPr>
            <w:r w:rsidRPr="00846A91">
              <w:rPr>
                <w:sz w:val="20"/>
              </w:rPr>
              <w:t xml:space="preserve">Donepezil </w:t>
            </w:r>
          </w:p>
        </w:tc>
        <w:tc>
          <w:tcPr>
            <w:tcW w:w="630" w:type="dxa"/>
            <w:tcBorders>
              <w:top w:val="nil"/>
              <w:left w:val="nil"/>
              <w:bottom w:val="nil"/>
              <w:right w:val="nil"/>
            </w:tcBorders>
            <w:shd w:val="clear" w:color="auto" w:fill="FFFFFF" w:themeFill="background1"/>
            <w:noWrap/>
            <w:hideMark/>
          </w:tcPr>
          <w:p w14:paraId="6412DA85" w14:textId="77777777" w:rsidR="002B65B9" w:rsidRPr="00846A91" w:rsidRDefault="002B65B9" w:rsidP="0003380F">
            <w:pPr>
              <w:spacing w:after="0" w:line="240" w:lineRule="auto"/>
              <w:jc w:val="center"/>
              <w:rPr>
                <w:sz w:val="20"/>
              </w:rPr>
            </w:pPr>
            <w:r w:rsidRPr="00846A91">
              <w:rPr>
                <w:sz w:val="20"/>
              </w:rPr>
              <w:t>6.0</w:t>
            </w:r>
          </w:p>
        </w:tc>
        <w:tc>
          <w:tcPr>
            <w:tcW w:w="1530" w:type="dxa"/>
            <w:tcBorders>
              <w:top w:val="nil"/>
              <w:left w:val="nil"/>
              <w:bottom w:val="nil"/>
              <w:right w:val="nil"/>
            </w:tcBorders>
            <w:shd w:val="clear" w:color="auto" w:fill="FFFFFF" w:themeFill="background1"/>
          </w:tcPr>
          <w:p w14:paraId="42561A99" w14:textId="77777777" w:rsidR="002B65B9" w:rsidRPr="00846A91" w:rsidRDefault="002B65B9" w:rsidP="0003380F">
            <w:pPr>
              <w:spacing w:after="0" w:line="240" w:lineRule="auto"/>
              <w:rPr>
                <w:sz w:val="20"/>
              </w:rPr>
            </w:pPr>
            <w:r w:rsidRPr="00846A91">
              <w:rPr>
                <w:sz w:val="20"/>
              </w:rPr>
              <w:t>Metoprolol Tartrate</w:t>
            </w:r>
          </w:p>
        </w:tc>
        <w:tc>
          <w:tcPr>
            <w:tcW w:w="630" w:type="dxa"/>
            <w:tcBorders>
              <w:top w:val="nil"/>
              <w:left w:val="nil"/>
              <w:bottom w:val="nil"/>
              <w:right w:val="nil"/>
            </w:tcBorders>
            <w:shd w:val="clear" w:color="auto" w:fill="FFFFFF" w:themeFill="background1"/>
          </w:tcPr>
          <w:p w14:paraId="7C474A34" w14:textId="77777777" w:rsidR="002B65B9" w:rsidRPr="00846A91" w:rsidRDefault="002B65B9" w:rsidP="0003380F">
            <w:pPr>
              <w:spacing w:after="0" w:line="240" w:lineRule="auto"/>
              <w:jc w:val="center"/>
              <w:rPr>
                <w:sz w:val="20"/>
              </w:rPr>
            </w:pPr>
            <w:r w:rsidRPr="00846A91">
              <w:rPr>
                <w:sz w:val="20"/>
              </w:rPr>
              <w:t>6.4</w:t>
            </w:r>
          </w:p>
        </w:tc>
        <w:tc>
          <w:tcPr>
            <w:tcW w:w="1530" w:type="dxa"/>
            <w:tcBorders>
              <w:top w:val="nil"/>
              <w:left w:val="nil"/>
              <w:bottom w:val="nil"/>
              <w:right w:val="nil"/>
            </w:tcBorders>
            <w:shd w:val="clear" w:color="auto" w:fill="FFFFFF" w:themeFill="background1"/>
          </w:tcPr>
          <w:p w14:paraId="55F698F0" w14:textId="77777777" w:rsidR="002B65B9" w:rsidRPr="00846A91" w:rsidRDefault="002B65B9" w:rsidP="0003380F">
            <w:pPr>
              <w:spacing w:after="0" w:line="240" w:lineRule="auto"/>
              <w:rPr>
                <w:sz w:val="20"/>
              </w:rPr>
            </w:pPr>
            <w:r w:rsidRPr="00846A91">
              <w:rPr>
                <w:sz w:val="20"/>
              </w:rPr>
              <w:t xml:space="preserve">Albuterol </w:t>
            </w:r>
          </w:p>
        </w:tc>
        <w:tc>
          <w:tcPr>
            <w:tcW w:w="630" w:type="dxa"/>
            <w:tcBorders>
              <w:top w:val="nil"/>
              <w:left w:val="nil"/>
              <w:bottom w:val="nil"/>
              <w:right w:val="nil"/>
            </w:tcBorders>
            <w:shd w:val="clear" w:color="auto" w:fill="FFFFFF" w:themeFill="background1"/>
          </w:tcPr>
          <w:p w14:paraId="70560654" w14:textId="77777777" w:rsidR="002B65B9" w:rsidRPr="00846A91" w:rsidRDefault="002B65B9" w:rsidP="0003380F">
            <w:pPr>
              <w:spacing w:after="0" w:line="240" w:lineRule="auto"/>
              <w:jc w:val="center"/>
              <w:rPr>
                <w:sz w:val="20"/>
              </w:rPr>
            </w:pPr>
            <w:r w:rsidRPr="00846A91">
              <w:rPr>
                <w:sz w:val="20"/>
              </w:rPr>
              <w:t>5.5</w:t>
            </w:r>
          </w:p>
        </w:tc>
        <w:tc>
          <w:tcPr>
            <w:tcW w:w="1530" w:type="dxa"/>
            <w:tcBorders>
              <w:top w:val="nil"/>
              <w:left w:val="nil"/>
              <w:bottom w:val="nil"/>
              <w:right w:val="nil"/>
            </w:tcBorders>
            <w:shd w:val="clear" w:color="auto" w:fill="FFFFFF" w:themeFill="background1"/>
          </w:tcPr>
          <w:p w14:paraId="2F3DA7DF" w14:textId="77777777" w:rsidR="002B65B9" w:rsidRPr="00846A91" w:rsidRDefault="002B65B9" w:rsidP="0003380F">
            <w:pPr>
              <w:spacing w:after="0" w:line="240" w:lineRule="auto"/>
              <w:rPr>
                <w:sz w:val="20"/>
              </w:rPr>
            </w:pPr>
            <w:r w:rsidRPr="00846A91">
              <w:rPr>
                <w:sz w:val="20"/>
              </w:rPr>
              <w:t xml:space="preserve">Warfarin </w:t>
            </w:r>
          </w:p>
        </w:tc>
        <w:tc>
          <w:tcPr>
            <w:tcW w:w="630" w:type="dxa"/>
            <w:tcBorders>
              <w:top w:val="nil"/>
              <w:left w:val="nil"/>
              <w:bottom w:val="nil"/>
              <w:right w:val="nil"/>
            </w:tcBorders>
            <w:shd w:val="clear" w:color="auto" w:fill="FFFFFF" w:themeFill="background1"/>
          </w:tcPr>
          <w:p w14:paraId="6B5DEA74" w14:textId="77777777" w:rsidR="002B65B9" w:rsidRPr="00846A91" w:rsidRDefault="002B65B9" w:rsidP="0003380F">
            <w:pPr>
              <w:spacing w:after="0" w:line="240" w:lineRule="auto"/>
              <w:jc w:val="center"/>
              <w:rPr>
                <w:sz w:val="20"/>
              </w:rPr>
            </w:pPr>
            <w:r w:rsidRPr="00846A91">
              <w:rPr>
                <w:sz w:val="20"/>
              </w:rPr>
              <w:t>4.7</w:t>
            </w:r>
          </w:p>
        </w:tc>
        <w:tc>
          <w:tcPr>
            <w:tcW w:w="1635" w:type="dxa"/>
            <w:tcBorders>
              <w:top w:val="nil"/>
              <w:left w:val="nil"/>
              <w:bottom w:val="nil"/>
              <w:right w:val="nil"/>
            </w:tcBorders>
            <w:shd w:val="clear" w:color="auto" w:fill="FFFFFF" w:themeFill="background1"/>
          </w:tcPr>
          <w:p w14:paraId="0CF8592F" w14:textId="77777777" w:rsidR="002B65B9" w:rsidRPr="00846A91" w:rsidRDefault="002B65B9" w:rsidP="0003380F">
            <w:pPr>
              <w:spacing w:after="0" w:line="240" w:lineRule="auto"/>
              <w:rPr>
                <w:sz w:val="20"/>
              </w:rPr>
            </w:pPr>
            <w:r w:rsidRPr="00846A91">
              <w:rPr>
                <w:sz w:val="20"/>
              </w:rPr>
              <w:t xml:space="preserve">Clopidogrel </w:t>
            </w:r>
          </w:p>
        </w:tc>
        <w:tc>
          <w:tcPr>
            <w:tcW w:w="540" w:type="dxa"/>
            <w:tcBorders>
              <w:top w:val="nil"/>
              <w:left w:val="nil"/>
              <w:bottom w:val="nil"/>
              <w:right w:val="nil"/>
            </w:tcBorders>
            <w:shd w:val="clear" w:color="auto" w:fill="FFFFFF" w:themeFill="background1"/>
          </w:tcPr>
          <w:p w14:paraId="2E820910" w14:textId="77777777" w:rsidR="002B65B9" w:rsidRPr="00846A91" w:rsidRDefault="002B65B9" w:rsidP="0003380F">
            <w:pPr>
              <w:spacing w:after="0" w:line="240" w:lineRule="auto"/>
              <w:jc w:val="center"/>
              <w:rPr>
                <w:sz w:val="20"/>
              </w:rPr>
            </w:pPr>
            <w:r w:rsidRPr="00846A91">
              <w:rPr>
                <w:sz w:val="20"/>
              </w:rPr>
              <w:t>3.2</w:t>
            </w:r>
          </w:p>
        </w:tc>
        <w:tc>
          <w:tcPr>
            <w:tcW w:w="1530" w:type="dxa"/>
            <w:tcBorders>
              <w:top w:val="nil"/>
              <w:left w:val="nil"/>
              <w:bottom w:val="nil"/>
              <w:right w:val="nil"/>
            </w:tcBorders>
            <w:shd w:val="clear" w:color="auto" w:fill="FFFFFF" w:themeFill="background1"/>
          </w:tcPr>
          <w:p w14:paraId="4DA26C00" w14:textId="77777777" w:rsidR="002B65B9" w:rsidRPr="00846A91" w:rsidRDefault="002B65B9" w:rsidP="0003380F">
            <w:pPr>
              <w:spacing w:after="0" w:line="240" w:lineRule="auto"/>
              <w:rPr>
                <w:sz w:val="20"/>
              </w:rPr>
            </w:pPr>
            <w:r w:rsidRPr="00846A91">
              <w:rPr>
                <w:sz w:val="20"/>
              </w:rPr>
              <w:t>Carvedilol</w:t>
            </w:r>
          </w:p>
        </w:tc>
        <w:tc>
          <w:tcPr>
            <w:tcW w:w="540" w:type="dxa"/>
            <w:tcBorders>
              <w:top w:val="nil"/>
              <w:left w:val="nil"/>
              <w:bottom w:val="nil"/>
              <w:right w:val="nil"/>
            </w:tcBorders>
            <w:shd w:val="clear" w:color="auto" w:fill="FFFFFF" w:themeFill="background1"/>
          </w:tcPr>
          <w:p w14:paraId="6B1616E3" w14:textId="77777777" w:rsidR="002B65B9" w:rsidRPr="00846A91" w:rsidRDefault="002B65B9" w:rsidP="0003380F">
            <w:pPr>
              <w:spacing w:after="0" w:line="240" w:lineRule="auto"/>
              <w:jc w:val="center"/>
              <w:rPr>
                <w:sz w:val="20"/>
              </w:rPr>
            </w:pPr>
            <w:r w:rsidRPr="00846A91">
              <w:rPr>
                <w:sz w:val="20"/>
              </w:rPr>
              <w:t>3.5</w:t>
            </w:r>
          </w:p>
        </w:tc>
      </w:tr>
      <w:tr w:rsidR="002B65B9" w:rsidRPr="00272761" w14:paraId="6465A5C6" w14:textId="77777777" w:rsidTr="0003380F">
        <w:trPr>
          <w:trHeight w:val="20"/>
        </w:trPr>
        <w:tc>
          <w:tcPr>
            <w:tcW w:w="795" w:type="dxa"/>
            <w:tcBorders>
              <w:top w:val="nil"/>
              <w:left w:val="nil"/>
              <w:bottom w:val="nil"/>
              <w:right w:val="nil"/>
            </w:tcBorders>
            <w:shd w:val="clear" w:color="auto" w:fill="FFFFFF" w:themeFill="background1"/>
            <w:noWrap/>
            <w:hideMark/>
          </w:tcPr>
          <w:p w14:paraId="3E8E3827" w14:textId="77777777" w:rsidR="002B65B9" w:rsidRPr="00846A91" w:rsidRDefault="002B65B9" w:rsidP="0003380F">
            <w:pPr>
              <w:spacing w:after="0" w:line="240" w:lineRule="auto"/>
              <w:rPr>
                <w:sz w:val="20"/>
              </w:rPr>
            </w:pPr>
            <w:r w:rsidRPr="00846A91">
              <w:rPr>
                <w:sz w:val="20"/>
              </w:rPr>
              <w:t>9</w:t>
            </w:r>
          </w:p>
        </w:tc>
        <w:tc>
          <w:tcPr>
            <w:tcW w:w="1530" w:type="dxa"/>
            <w:tcBorders>
              <w:top w:val="nil"/>
              <w:left w:val="nil"/>
              <w:bottom w:val="nil"/>
              <w:right w:val="nil"/>
            </w:tcBorders>
            <w:shd w:val="clear" w:color="auto" w:fill="FFFFFF" w:themeFill="background1"/>
            <w:noWrap/>
            <w:hideMark/>
          </w:tcPr>
          <w:p w14:paraId="710D03A3" w14:textId="77777777" w:rsidR="002B65B9" w:rsidRPr="00846A91" w:rsidRDefault="002B65B9" w:rsidP="0003380F">
            <w:pPr>
              <w:spacing w:after="0" w:line="240" w:lineRule="auto"/>
              <w:jc w:val="both"/>
              <w:rPr>
                <w:sz w:val="20"/>
              </w:rPr>
            </w:pPr>
            <w:r w:rsidRPr="00846A91">
              <w:rPr>
                <w:sz w:val="20"/>
              </w:rPr>
              <w:t>Lisinopril</w:t>
            </w:r>
          </w:p>
        </w:tc>
        <w:tc>
          <w:tcPr>
            <w:tcW w:w="630" w:type="dxa"/>
            <w:tcBorders>
              <w:top w:val="nil"/>
              <w:left w:val="nil"/>
              <w:bottom w:val="nil"/>
              <w:right w:val="nil"/>
            </w:tcBorders>
            <w:shd w:val="clear" w:color="auto" w:fill="FFFFFF" w:themeFill="background1"/>
            <w:noWrap/>
            <w:hideMark/>
          </w:tcPr>
          <w:p w14:paraId="1B516B65" w14:textId="77777777" w:rsidR="002B65B9" w:rsidRPr="00846A91" w:rsidRDefault="002B65B9" w:rsidP="0003380F">
            <w:pPr>
              <w:spacing w:after="0" w:line="240" w:lineRule="auto"/>
              <w:jc w:val="center"/>
              <w:rPr>
                <w:sz w:val="20"/>
              </w:rPr>
            </w:pPr>
            <w:r w:rsidRPr="00846A91">
              <w:rPr>
                <w:sz w:val="20"/>
              </w:rPr>
              <w:t>5.8</w:t>
            </w:r>
          </w:p>
        </w:tc>
        <w:tc>
          <w:tcPr>
            <w:tcW w:w="1530" w:type="dxa"/>
            <w:tcBorders>
              <w:top w:val="nil"/>
              <w:left w:val="nil"/>
              <w:bottom w:val="nil"/>
              <w:right w:val="nil"/>
            </w:tcBorders>
            <w:shd w:val="clear" w:color="auto" w:fill="FFFFFF" w:themeFill="background1"/>
          </w:tcPr>
          <w:p w14:paraId="1D91B9D1" w14:textId="77777777" w:rsidR="002B65B9" w:rsidRPr="00846A91" w:rsidRDefault="002B65B9" w:rsidP="0003380F">
            <w:pPr>
              <w:spacing w:after="0" w:line="240" w:lineRule="auto"/>
              <w:rPr>
                <w:sz w:val="20"/>
              </w:rPr>
            </w:pPr>
            <w:r w:rsidRPr="00846A91">
              <w:rPr>
                <w:sz w:val="20"/>
              </w:rPr>
              <w:t xml:space="preserve">Amlodipine </w:t>
            </w:r>
          </w:p>
        </w:tc>
        <w:tc>
          <w:tcPr>
            <w:tcW w:w="630" w:type="dxa"/>
            <w:tcBorders>
              <w:top w:val="nil"/>
              <w:left w:val="nil"/>
              <w:bottom w:val="nil"/>
              <w:right w:val="nil"/>
            </w:tcBorders>
            <w:shd w:val="clear" w:color="auto" w:fill="FFFFFF" w:themeFill="background1"/>
          </w:tcPr>
          <w:p w14:paraId="7A923C45" w14:textId="77777777" w:rsidR="002B65B9" w:rsidRPr="00846A91" w:rsidRDefault="002B65B9" w:rsidP="0003380F">
            <w:pPr>
              <w:spacing w:after="0" w:line="240" w:lineRule="auto"/>
              <w:jc w:val="center"/>
              <w:rPr>
                <w:sz w:val="20"/>
              </w:rPr>
            </w:pPr>
            <w:r w:rsidRPr="00846A91">
              <w:rPr>
                <w:sz w:val="20"/>
              </w:rPr>
              <w:t>5.9</w:t>
            </w:r>
          </w:p>
        </w:tc>
        <w:tc>
          <w:tcPr>
            <w:tcW w:w="1530" w:type="dxa"/>
            <w:tcBorders>
              <w:top w:val="nil"/>
              <w:left w:val="nil"/>
              <w:bottom w:val="nil"/>
              <w:right w:val="nil"/>
            </w:tcBorders>
            <w:shd w:val="clear" w:color="auto" w:fill="FFFFFF" w:themeFill="background1"/>
          </w:tcPr>
          <w:p w14:paraId="571F2FDB" w14:textId="77777777" w:rsidR="002B65B9" w:rsidRPr="00846A91" w:rsidRDefault="002B65B9" w:rsidP="0003380F">
            <w:pPr>
              <w:spacing w:after="0" w:line="240" w:lineRule="auto"/>
              <w:rPr>
                <w:sz w:val="20"/>
              </w:rPr>
            </w:pPr>
            <w:r w:rsidRPr="00846A91">
              <w:rPr>
                <w:sz w:val="20"/>
              </w:rPr>
              <w:t xml:space="preserve">Tiotropium </w:t>
            </w:r>
          </w:p>
        </w:tc>
        <w:tc>
          <w:tcPr>
            <w:tcW w:w="630" w:type="dxa"/>
            <w:tcBorders>
              <w:top w:val="nil"/>
              <w:left w:val="nil"/>
              <w:bottom w:val="nil"/>
              <w:right w:val="nil"/>
            </w:tcBorders>
            <w:shd w:val="clear" w:color="auto" w:fill="FFFFFF" w:themeFill="background1"/>
          </w:tcPr>
          <w:p w14:paraId="627BCA16" w14:textId="77777777" w:rsidR="002B65B9" w:rsidRPr="00846A91" w:rsidRDefault="002B65B9" w:rsidP="0003380F">
            <w:pPr>
              <w:spacing w:after="0" w:line="240" w:lineRule="auto"/>
              <w:jc w:val="center"/>
              <w:rPr>
                <w:sz w:val="20"/>
              </w:rPr>
            </w:pPr>
            <w:r w:rsidRPr="00846A91">
              <w:rPr>
                <w:sz w:val="20"/>
              </w:rPr>
              <w:t>5.3</w:t>
            </w:r>
          </w:p>
        </w:tc>
        <w:tc>
          <w:tcPr>
            <w:tcW w:w="1530" w:type="dxa"/>
            <w:tcBorders>
              <w:top w:val="nil"/>
              <w:left w:val="nil"/>
              <w:bottom w:val="nil"/>
              <w:right w:val="nil"/>
            </w:tcBorders>
            <w:shd w:val="clear" w:color="auto" w:fill="FFFFFF" w:themeFill="background1"/>
          </w:tcPr>
          <w:p w14:paraId="42048C8D" w14:textId="77777777" w:rsidR="002B65B9" w:rsidRPr="00846A91" w:rsidRDefault="002B65B9" w:rsidP="0003380F">
            <w:pPr>
              <w:spacing w:after="0" w:line="240" w:lineRule="auto"/>
              <w:rPr>
                <w:sz w:val="20"/>
              </w:rPr>
            </w:pPr>
            <w:r w:rsidRPr="00846A91">
              <w:rPr>
                <w:sz w:val="20"/>
              </w:rPr>
              <w:t xml:space="preserve">Clopidogrel </w:t>
            </w:r>
          </w:p>
        </w:tc>
        <w:tc>
          <w:tcPr>
            <w:tcW w:w="630" w:type="dxa"/>
            <w:tcBorders>
              <w:top w:val="nil"/>
              <w:left w:val="nil"/>
              <w:bottom w:val="nil"/>
              <w:right w:val="nil"/>
            </w:tcBorders>
            <w:shd w:val="clear" w:color="auto" w:fill="FFFFFF" w:themeFill="background1"/>
          </w:tcPr>
          <w:p w14:paraId="4390DFE7" w14:textId="77777777" w:rsidR="002B65B9" w:rsidRPr="00846A91" w:rsidRDefault="002B65B9" w:rsidP="0003380F">
            <w:pPr>
              <w:spacing w:after="0" w:line="240" w:lineRule="auto"/>
              <w:jc w:val="center"/>
              <w:rPr>
                <w:sz w:val="20"/>
              </w:rPr>
            </w:pPr>
            <w:r w:rsidRPr="00846A91">
              <w:rPr>
                <w:sz w:val="20"/>
              </w:rPr>
              <w:t>4.7</w:t>
            </w:r>
          </w:p>
        </w:tc>
        <w:tc>
          <w:tcPr>
            <w:tcW w:w="1635" w:type="dxa"/>
            <w:tcBorders>
              <w:top w:val="nil"/>
              <w:left w:val="nil"/>
              <w:bottom w:val="nil"/>
              <w:right w:val="nil"/>
            </w:tcBorders>
            <w:shd w:val="clear" w:color="auto" w:fill="FFFFFF" w:themeFill="background1"/>
          </w:tcPr>
          <w:p w14:paraId="27EA833A" w14:textId="77777777" w:rsidR="002B65B9" w:rsidRPr="00846A91" w:rsidRDefault="002B65B9" w:rsidP="0003380F">
            <w:pPr>
              <w:spacing w:after="0" w:line="240" w:lineRule="auto"/>
              <w:rPr>
                <w:sz w:val="20"/>
              </w:rPr>
            </w:pPr>
            <w:r w:rsidRPr="00846A91">
              <w:rPr>
                <w:sz w:val="20"/>
              </w:rPr>
              <w:t>Lisinopril</w:t>
            </w:r>
          </w:p>
        </w:tc>
        <w:tc>
          <w:tcPr>
            <w:tcW w:w="540" w:type="dxa"/>
            <w:tcBorders>
              <w:top w:val="nil"/>
              <w:left w:val="nil"/>
              <w:bottom w:val="nil"/>
              <w:right w:val="nil"/>
            </w:tcBorders>
            <w:shd w:val="clear" w:color="auto" w:fill="FFFFFF" w:themeFill="background1"/>
          </w:tcPr>
          <w:p w14:paraId="6AB90788" w14:textId="77777777" w:rsidR="002B65B9" w:rsidRPr="00846A91" w:rsidRDefault="002B65B9" w:rsidP="0003380F">
            <w:pPr>
              <w:spacing w:after="0" w:line="240" w:lineRule="auto"/>
              <w:jc w:val="center"/>
              <w:rPr>
                <w:sz w:val="20"/>
              </w:rPr>
            </w:pPr>
            <w:r w:rsidRPr="00846A91">
              <w:rPr>
                <w:sz w:val="20"/>
              </w:rPr>
              <w:t>3.1</w:t>
            </w:r>
          </w:p>
        </w:tc>
        <w:tc>
          <w:tcPr>
            <w:tcW w:w="1530" w:type="dxa"/>
            <w:tcBorders>
              <w:top w:val="nil"/>
              <w:left w:val="nil"/>
              <w:bottom w:val="nil"/>
              <w:right w:val="nil"/>
            </w:tcBorders>
            <w:shd w:val="clear" w:color="auto" w:fill="FFFFFF" w:themeFill="background1"/>
          </w:tcPr>
          <w:p w14:paraId="5762E6D7" w14:textId="77777777" w:rsidR="002B65B9" w:rsidRPr="00846A91" w:rsidRDefault="002B65B9" w:rsidP="0003380F">
            <w:pPr>
              <w:spacing w:after="0" w:line="240" w:lineRule="auto"/>
              <w:rPr>
                <w:sz w:val="20"/>
              </w:rPr>
            </w:pPr>
            <w:r w:rsidRPr="00846A91">
              <w:rPr>
                <w:sz w:val="20"/>
              </w:rPr>
              <w:t>Hydrocodone/ APAP</w:t>
            </w:r>
          </w:p>
        </w:tc>
        <w:tc>
          <w:tcPr>
            <w:tcW w:w="540" w:type="dxa"/>
            <w:tcBorders>
              <w:top w:val="nil"/>
              <w:left w:val="nil"/>
              <w:bottom w:val="nil"/>
              <w:right w:val="nil"/>
            </w:tcBorders>
            <w:shd w:val="clear" w:color="auto" w:fill="FFFFFF" w:themeFill="background1"/>
          </w:tcPr>
          <w:p w14:paraId="083E984E" w14:textId="77777777" w:rsidR="002B65B9" w:rsidRPr="00846A91" w:rsidRDefault="002B65B9" w:rsidP="0003380F">
            <w:pPr>
              <w:spacing w:after="0" w:line="240" w:lineRule="auto"/>
              <w:jc w:val="center"/>
              <w:rPr>
                <w:sz w:val="20"/>
              </w:rPr>
            </w:pPr>
            <w:r w:rsidRPr="00846A91">
              <w:rPr>
                <w:sz w:val="20"/>
              </w:rPr>
              <w:t>3.5</w:t>
            </w:r>
          </w:p>
        </w:tc>
      </w:tr>
      <w:tr w:rsidR="002B65B9" w:rsidRPr="00272761" w14:paraId="73327A9F" w14:textId="77777777" w:rsidTr="0003380F">
        <w:trPr>
          <w:trHeight w:val="20"/>
        </w:trPr>
        <w:tc>
          <w:tcPr>
            <w:tcW w:w="795" w:type="dxa"/>
            <w:tcBorders>
              <w:top w:val="nil"/>
              <w:left w:val="nil"/>
              <w:bottom w:val="nil"/>
              <w:right w:val="nil"/>
            </w:tcBorders>
            <w:shd w:val="clear" w:color="auto" w:fill="FFFFFF" w:themeFill="background1"/>
            <w:noWrap/>
            <w:hideMark/>
          </w:tcPr>
          <w:p w14:paraId="69F90B0A" w14:textId="77777777" w:rsidR="002B65B9" w:rsidRDefault="002B65B9" w:rsidP="0003380F">
            <w:pPr>
              <w:spacing w:after="0" w:line="240" w:lineRule="auto"/>
              <w:rPr>
                <w:sz w:val="20"/>
              </w:rPr>
            </w:pPr>
            <w:r w:rsidRPr="00846A91">
              <w:rPr>
                <w:sz w:val="20"/>
              </w:rPr>
              <w:t>10</w:t>
            </w:r>
          </w:p>
          <w:p w14:paraId="2A959B09" w14:textId="77777777" w:rsidR="009C6575" w:rsidRPr="00846A91" w:rsidRDefault="009C6575"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486976A5" w14:textId="77777777" w:rsidR="002B65B9" w:rsidRPr="00846A91" w:rsidRDefault="002B65B9" w:rsidP="0003380F">
            <w:pPr>
              <w:spacing w:after="0" w:line="240" w:lineRule="auto"/>
              <w:jc w:val="both"/>
              <w:rPr>
                <w:sz w:val="20"/>
              </w:rPr>
            </w:pPr>
            <w:r w:rsidRPr="00846A91">
              <w:rPr>
                <w:sz w:val="20"/>
              </w:rPr>
              <w:t xml:space="preserve">Amlodipine </w:t>
            </w:r>
          </w:p>
        </w:tc>
        <w:tc>
          <w:tcPr>
            <w:tcW w:w="630" w:type="dxa"/>
            <w:tcBorders>
              <w:top w:val="nil"/>
              <w:left w:val="nil"/>
              <w:bottom w:val="nil"/>
              <w:right w:val="nil"/>
            </w:tcBorders>
            <w:shd w:val="clear" w:color="auto" w:fill="FFFFFF" w:themeFill="background1"/>
            <w:noWrap/>
            <w:hideMark/>
          </w:tcPr>
          <w:p w14:paraId="10F971A2" w14:textId="77777777" w:rsidR="002B65B9" w:rsidRPr="00846A91" w:rsidRDefault="002B65B9" w:rsidP="0003380F">
            <w:pPr>
              <w:spacing w:after="0" w:line="240" w:lineRule="auto"/>
              <w:jc w:val="center"/>
              <w:rPr>
                <w:sz w:val="20"/>
              </w:rPr>
            </w:pPr>
            <w:r w:rsidRPr="00846A91">
              <w:rPr>
                <w:sz w:val="20"/>
              </w:rPr>
              <w:t>5.7</w:t>
            </w:r>
          </w:p>
        </w:tc>
        <w:tc>
          <w:tcPr>
            <w:tcW w:w="1530" w:type="dxa"/>
            <w:tcBorders>
              <w:top w:val="nil"/>
              <w:left w:val="nil"/>
              <w:bottom w:val="nil"/>
              <w:right w:val="nil"/>
            </w:tcBorders>
            <w:shd w:val="clear" w:color="auto" w:fill="FFFFFF" w:themeFill="background1"/>
          </w:tcPr>
          <w:p w14:paraId="4C891796" w14:textId="77777777" w:rsidR="002B65B9" w:rsidRPr="00846A91" w:rsidRDefault="002B65B9" w:rsidP="0003380F">
            <w:pPr>
              <w:spacing w:after="0" w:line="240" w:lineRule="auto"/>
              <w:rPr>
                <w:sz w:val="20"/>
              </w:rPr>
            </w:pPr>
            <w:r w:rsidRPr="00846A91">
              <w:rPr>
                <w:sz w:val="20"/>
              </w:rPr>
              <w:t>Lisinopril</w:t>
            </w:r>
          </w:p>
        </w:tc>
        <w:tc>
          <w:tcPr>
            <w:tcW w:w="630" w:type="dxa"/>
            <w:tcBorders>
              <w:top w:val="nil"/>
              <w:left w:val="nil"/>
              <w:bottom w:val="nil"/>
              <w:right w:val="nil"/>
            </w:tcBorders>
            <w:shd w:val="clear" w:color="auto" w:fill="FFFFFF" w:themeFill="background1"/>
          </w:tcPr>
          <w:p w14:paraId="425AB720" w14:textId="77777777" w:rsidR="002B65B9" w:rsidRPr="00846A91" w:rsidRDefault="002B65B9" w:rsidP="0003380F">
            <w:pPr>
              <w:spacing w:after="0" w:line="240" w:lineRule="auto"/>
              <w:jc w:val="center"/>
              <w:rPr>
                <w:sz w:val="20"/>
              </w:rPr>
            </w:pPr>
            <w:r w:rsidRPr="00846A91">
              <w:rPr>
                <w:sz w:val="20"/>
              </w:rPr>
              <w:t>5.3</w:t>
            </w:r>
          </w:p>
        </w:tc>
        <w:tc>
          <w:tcPr>
            <w:tcW w:w="1530" w:type="dxa"/>
            <w:tcBorders>
              <w:top w:val="nil"/>
              <w:left w:val="nil"/>
              <w:bottom w:val="nil"/>
              <w:right w:val="nil"/>
            </w:tcBorders>
            <w:shd w:val="clear" w:color="auto" w:fill="FFFFFF" w:themeFill="background1"/>
          </w:tcPr>
          <w:p w14:paraId="2D30141A" w14:textId="77777777" w:rsidR="002B65B9" w:rsidRPr="00846A91" w:rsidRDefault="002B65B9" w:rsidP="0003380F">
            <w:pPr>
              <w:spacing w:after="0" w:line="240" w:lineRule="auto"/>
              <w:rPr>
                <w:sz w:val="20"/>
              </w:rPr>
            </w:pPr>
            <w:r w:rsidRPr="00846A91">
              <w:rPr>
                <w:sz w:val="20"/>
              </w:rPr>
              <w:t>Digoxin</w:t>
            </w:r>
          </w:p>
        </w:tc>
        <w:tc>
          <w:tcPr>
            <w:tcW w:w="630" w:type="dxa"/>
            <w:tcBorders>
              <w:top w:val="nil"/>
              <w:left w:val="nil"/>
              <w:bottom w:val="nil"/>
              <w:right w:val="nil"/>
            </w:tcBorders>
            <w:shd w:val="clear" w:color="auto" w:fill="FFFFFF" w:themeFill="background1"/>
          </w:tcPr>
          <w:p w14:paraId="287FFC3E" w14:textId="77777777" w:rsidR="002B65B9" w:rsidRPr="00846A91" w:rsidRDefault="002B65B9" w:rsidP="0003380F">
            <w:pPr>
              <w:spacing w:after="0" w:line="240" w:lineRule="auto"/>
              <w:jc w:val="center"/>
              <w:rPr>
                <w:sz w:val="20"/>
              </w:rPr>
            </w:pPr>
            <w:r w:rsidRPr="00846A91">
              <w:rPr>
                <w:sz w:val="20"/>
              </w:rPr>
              <w:t>4.8</w:t>
            </w:r>
          </w:p>
        </w:tc>
        <w:tc>
          <w:tcPr>
            <w:tcW w:w="1530" w:type="dxa"/>
            <w:tcBorders>
              <w:top w:val="nil"/>
              <w:left w:val="nil"/>
              <w:bottom w:val="nil"/>
              <w:right w:val="nil"/>
            </w:tcBorders>
            <w:shd w:val="clear" w:color="auto" w:fill="FFFFFF" w:themeFill="background1"/>
          </w:tcPr>
          <w:p w14:paraId="50FCA559" w14:textId="77777777" w:rsidR="002B65B9" w:rsidRPr="00846A91" w:rsidRDefault="002B65B9" w:rsidP="0003380F">
            <w:pPr>
              <w:spacing w:after="0" w:line="240" w:lineRule="auto"/>
              <w:rPr>
                <w:sz w:val="20"/>
              </w:rPr>
            </w:pPr>
            <w:r w:rsidRPr="00846A91">
              <w:rPr>
                <w:sz w:val="20"/>
              </w:rPr>
              <w:t>Digoxin</w:t>
            </w:r>
          </w:p>
        </w:tc>
        <w:tc>
          <w:tcPr>
            <w:tcW w:w="630" w:type="dxa"/>
            <w:tcBorders>
              <w:top w:val="nil"/>
              <w:left w:val="nil"/>
              <w:bottom w:val="nil"/>
              <w:right w:val="nil"/>
            </w:tcBorders>
            <w:shd w:val="clear" w:color="auto" w:fill="FFFFFF" w:themeFill="background1"/>
          </w:tcPr>
          <w:p w14:paraId="07602479" w14:textId="77777777" w:rsidR="002B65B9" w:rsidRPr="00846A91" w:rsidRDefault="002B65B9" w:rsidP="0003380F">
            <w:pPr>
              <w:spacing w:after="0" w:line="240" w:lineRule="auto"/>
              <w:jc w:val="center"/>
              <w:rPr>
                <w:sz w:val="20"/>
              </w:rPr>
            </w:pPr>
            <w:r w:rsidRPr="00846A91">
              <w:rPr>
                <w:sz w:val="20"/>
              </w:rPr>
              <w:t>4.7</w:t>
            </w:r>
          </w:p>
        </w:tc>
        <w:tc>
          <w:tcPr>
            <w:tcW w:w="1635" w:type="dxa"/>
            <w:tcBorders>
              <w:top w:val="nil"/>
              <w:left w:val="nil"/>
              <w:bottom w:val="nil"/>
              <w:right w:val="nil"/>
            </w:tcBorders>
            <w:shd w:val="clear" w:color="auto" w:fill="FFFFFF" w:themeFill="background1"/>
          </w:tcPr>
          <w:p w14:paraId="0E63E0F8" w14:textId="77777777" w:rsidR="002B65B9" w:rsidRPr="00846A91" w:rsidRDefault="002B65B9" w:rsidP="0003380F">
            <w:pPr>
              <w:spacing w:after="0" w:line="240" w:lineRule="auto"/>
              <w:rPr>
                <w:sz w:val="20"/>
              </w:rPr>
            </w:pPr>
            <w:r w:rsidRPr="00846A91">
              <w:rPr>
                <w:sz w:val="20"/>
              </w:rPr>
              <w:t>Simvastatin</w:t>
            </w:r>
          </w:p>
        </w:tc>
        <w:tc>
          <w:tcPr>
            <w:tcW w:w="540" w:type="dxa"/>
            <w:tcBorders>
              <w:top w:val="nil"/>
              <w:left w:val="nil"/>
              <w:bottom w:val="nil"/>
              <w:right w:val="nil"/>
            </w:tcBorders>
            <w:shd w:val="clear" w:color="auto" w:fill="FFFFFF" w:themeFill="background1"/>
          </w:tcPr>
          <w:p w14:paraId="28BA479D" w14:textId="77777777" w:rsidR="002B65B9" w:rsidRPr="00846A91" w:rsidRDefault="002B65B9" w:rsidP="0003380F">
            <w:pPr>
              <w:spacing w:after="0" w:line="240" w:lineRule="auto"/>
              <w:jc w:val="center"/>
              <w:rPr>
                <w:sz w:val="20"/>
              </w:rPr>
            </w:pPr>
            <w:r w:rsidRPr="00846A91">
              <w:rPr>
                <w:sz w:val="20"/>
              </w:rPr>
              <w:t>2.9</w:t>
            </w:r>
          </w:p>
        </w:tc>
        <w:tc>
          <w:tcPr>
            <w:tcW w:w="1530" w:type="dxa"/>
            <w:tcBorders>
              <w:top w:val="nil"/>
              <w:left w:val="nil"/>
              <w:bottom w:val="nil"/>
              <w:right w:val="nil"/>
            </w:tcBorders>
            <w:shd w:val="clear" w:color="auto" w:fill="FFFFFF" w:themeFill="background1"/>
          </w:tcPr>
          <w:p w14:paraId="0D5A0A62" w14:textId="77777777" w:rsidR="002B65B9" w:rsidRPr="00846A91" w:rsidRDefault="002B65B9" w:rsidP="0003380F">
            <w:pPr>
              <w:spacing w:after="0" w:line="240" w:lineRule="auto"/>
              <w:rPr>
                <w:sz w:val="20"/>
              </w:rPr>
            </w:pPr>
            <w:r w:rsidRPr="00846A91">
              <w:rPr>
                <w:sz w:val="20"/>
              </w:rPr>
              <w:t xml:space="preserve">Hydralazine </w:t>
            </w:r>
          </w:p>
        </w:tc>
        <w:tc>
          <w:tcPr>
            <w:tcW w:w="540" w:type="dxa"/>
            <w:tcBorders>
              <w:top w:val="nil"/>
              <w:left w:val="nil"/>
              <w:bottom w:val="nil"/>
              <w:right w:val="nil"/>
            </w:tcBorders>
            <w:shd w:val="clear" w:color="auto" w:fill="FFFFFF" w:themeFill="background1"/>
          </w:tcPr>
          <w:p w14:paraId="524D1BDB" w14:textId="77777777" w:rsidR="002B65B9" w:rsidRPr="00846A91" w:rsidRDefault="002B65B9" w:rsidP="0003380F">
            <w:pPr>
              <w:spacing w:after="0" w:line="240" w:lineRule="auto"/>
              <w:jc w:val="center"/>
              <w:rPr>
                <w:sz w:val="20"/>
              </w:rPr>
            </w:pPr>
            <w:r w:rsidRPr="00846A91">
              <w:rPr>
                <w:sz w:val="20"/>
              </w:rPr>
              <w:t>2.3</w:t>
            </w:r>
          </w:p>
        </w:tc>
      </w:tr>
      <w:tr w:rsidR="002B65B9" w:rsidRPr="00272761" w14:paraId="5EB9D4F0" w14:textId="77777777" w:rsidTr="0003380F">
        <w:trPr>
          <w:trHeight w:val="20"/>
        </w:trPr>
        <w:tc>
          <w:tcPr>
            <w:tcW w:w="795" w:type="dxa"/>
            <w:tcBorders>
              <w:top w:val="nil"/>
              <w:left w:val="nil"/>
              <w:bottom w:val="nil"/>
              <w:right w:val="nil"/>
            </w:tcBorders>
            <w:shd w:val="clear" w:color="auto" w:fill="FFFFFF" w:themeFill="background1"/>
            <w:noWrap/>
            <w:hideMark/>
          </w:tcPr>
          <w:p w14:paraId="72970C56" w14:textId="77777777" w:rsidR="002B65B9" w:rsidRPr="00846A91" w:rsidRDefault="002B65B9" w:rsidP="0003380F">
            <w:pPr>
              <w:spacing w:after="0" w:line="240" w:lineRule="auto"/>
              <w:rPr>
                <w:sz w:val="20"/>
              </w:rPr>
            </w:pPr>
            <w:r w:rsidRPr="00846A91">
              <w:rPr>
                <w:sz w:val="20"/>
              </w:rPr>
              <w:t>11</w:t>
            </w:r>
          </w:p>
        </w:tc>
        <w:tc>
          <w:tcPr>
            <w:tcW w:w="1530" w:type="dxa"/>
            <w:tcBorders>
              <w:top w:val="nil"/>
              <w:left w:val="nil"/>
              <w:bottom w:val="nil"/>
              <w:right w:val="nil"/>
            </w:tcBorders>
            <w:shd w:val="clear" w:color="auto" w:fill="FFFFFF" w:themeFill="background1"/>
            <w:noWrap/>
            <w:hideMark/>
          </w:tcPr>
          <w:p w14:paraId="27C132B5" w14:textId="77777777" w:rsidR="002B65B9" w:rsidRPr="00846A91" w:rsidRDefault="002B65B9" w:rsidP="0003380F">
            <w:pPr>
              <w:spacing w:after="0" w:line="240" w:lineRule="auto"/>
              <w:jc w:val="both"/>
              <w:rPr>
                <w:sz w:val="20"/>
              </w:rPr>
            </w:pPr>
            <w:r w:rsidRPr="00846A91">
              <w:rPr>
                <w:sz w:val="20"/>
              </w:rPr>
              <w:t>Mirtazapine</w:t>
            </w:r>
          </w:p>
        </w:tc>
        <w:tc>
          <w:tcPr>
            <w:tcW w:w="630" w:type="dxa"/>
            <w:tcBorders>
              <w:top w:val="nil"/>
              <w:left w:val="nil"/>
              <w:bottom w:val="nil"/>
              <w:right w:val="nil"/>
            </w:tcBorders>
            <w:shd w:val="clear" w:color="auto" w:fill="FFFFFF" w:themeFill="background1"/>
            <w:noWrap/>
            <w:hideMark/>
          </w:tcPr>
          <w:p w14:paraId="39C32026" w14:textId="77777777" w:rsidR="002B65B9" w:rsidRPr="00846A91" w:rsidRDefault="002B65B9" w:rsidP="0003380F">
            <w:pPr>
              <w:spacing w:after="0" w:line="240" w:lineRule="auto"/>
              <w:jc w:val="center"/>
              <w:rPr>
                <w:sz w:val="20"/>
              </w:rPr>
            </w:pPr>
            <w:r w:rsidRPr="00846A91">
              <w:rPr>
                <w:sz w:val="20"/>
              </w:rPr>
              <w:t>5.4</w:t>
            </w:r>
          </w:p>
        </w:tc>
        <w:tc>
          <w:tcPr>
            <w:tcW w:w="1530" w:type="dxa"/>
            <w:tcBorders>
              <w:top w:val="nil"/>
              <w:left w:val="nil"/>
              <w:bottom w:val="nil"/>
              <w:right w:val="nil"/>
            </w:tcBorders>
            <w:shd w:val="clear" w:color="auto" w:fill="FFFFFF" w:themeFill="background1"/>
          </w:tcPr>
          <w:p w14:paraId="0DB515D8" w14:textId="77777777" w:rsidR="002B65B9" w:rsidRPr="00846A91" w:rsidRDefault="002B65B9" w:rsidP="0003380F">
            <w:pPr>
              <w:spacing w:after="0" w:line="240" w:lineRule="auto"/>
              <w:rPr>
                <w:sz w:val="20"/>
              </w:rPr>
            </w:pPr>
            <w:r w:rsidRPr="00846A91">
              <w:rPr>
                <w:sz w:val="20"/>
              </w:rPr>
              <w:t xml:space="preserve">Quetiapine </w:t>
            </w:r>
          </w:p>
        </w:tc>
        <w:tc>
          <w:tcPr>
            <w:tcW w:w="630" w:type="dxa"/>
            <w:tcBorders>
              <w:top w:val="nil"/>
              <w:left w:val="nil"/>
              <w:bottom w:val="nil"/>
              <w:right w:val="nil"/>
            </w:tcBorders>
            <w:shd w:val="clear" w:color="auto" w:fill="FFFFFF" w:themeFill="background1"/>
          </w:tcPr>
          <w:p w14:paraId="7713B03E" w14:textId="77777777" w:rsidR="002B65B9" w:rsidRPr="00846A91" w:rsidRDefault="002B65B9" w:rsidP="0003380F">
            <w:pPr>
              <w:spacing w:after="0" w:line="240" w:lineRule="auto"/>
              <w:jc w:val="center"/>
              <w:rPr>
                <w:sz w:val="20"/>
              </w:rPr>
            </w:pPr>
            <w:r w:rsidRPr="00846A91">
              <w:rPr>
                <w:sz w:val="20"/>
              </w:rPr>
              <w:t>5.2</w:t>
            </w:r>
          </w:p>
        </w:tc>
        <w:tc>
          <w:tcPr>
            <w:tcW w:w="1530" w:type="dxa"/>
            <w:tcBorders>
              <w:top w:val="nil"/>
              <w:left w:val="nil"/>
              <w:bottom w:val="nil"/>
              <w:right w:val="nil"/>
            </w:tcBorders>
            <w:shd w:val="clear" w:color="auto" w:fill="FFFFFF" w:themeFill="background1"/>
          </w:tcPr>
          <w:p w14:paraId="495D443E" w14:textId="77777777" w:rsidR="002B65B9" w:rsidRPr="00846A91" w:rsidRDefault="002B65B9" w:rsidP="0003380F">
            <w:pPr>
              <w:spacing w:after="0" w:line="240" w:lineRule="auto"/>
              <w:rPr>
                <w:sz w:val="20"/>
              </w:rPr>
            </w:pPr>
            <w:r w:rsidRPr="00846A91">
              <w:rPr>
                <w:sz w:val="20"/>
              </w:rPr>
              <w:t>Levofloxacin</w:t>
            </w:r>
          </w:p>
        </w:tc>
        <w:tc>
          <w:tcPr>
            <w:tcW w:w="630" w:type="dxa"/>
            <w:tcBorders>
              <w:top w:val="nil"/>
              <w:left w:val="nil"/>
              <w:bottom w:val="nil"/>
              <w:right w:val="nil"/>
            </w:tcBorders>
            <w:shd w:val="clear" w:color="auto" w:fill="FFFFFF" w:themeFill="background1"/>
          </w:tcPr>
          <w:p w14:paraId="1A0FD2F8" w14:textId="77777777" w:rsidR="002B65B9" w:rsidRPr="00846A91" w:rsidRDefault="002B65B9" w:rsidP="0003380F">
            <w:pPr>
              <w:spacing w:after="0" w:line="240" w:lineRule="auto"/>
              <w:jc w:val="center"/>
              <w:rPr>
                <w:sz w:val="20"/>
              </w:rPr>
            </w:pPr>
            <w:r w:rsidRPr="00846A91">
              <w:rPr>
                <w:sz w:val="20"/>
              </w:rPr>
              <w:t>4.7</w:t>
            </w:r>
          </w:p>
        </w:tc>
        <w:tc>
          <w:tcPr>
            <w:tcW w:w="1530" w:type="dxa"/>
            <w:tcBorders>
              <w:top w:val="nil"/>
              <w:left w:val="nil"/>
              <w:bottom w:val="nil"/>
              <w:right w:val="nil"/>
            </w:tcBorders>
            <w:shd w:val="clear" w:color="auto" w:fill="FFFFFF" w:themeFill="background1"/>
          </w:tcPr>
          <w:p w14:paraId="6C1D42C4" w14:textId="77777777" w:rsidR="002B65B9" w:rsidRPr="00846A91" w:rsidRDefault="002B65B9" w:rsidP="0003380F">
            <w:pPr>
              <w:spacing w:after="0" w:line="240" w:lineRule="auto"/>
              <w:rPr>
                <w:sz w:val="20"/>
              </w:rPr>
            </w:pPr>
            <w:r w:rsidRPr="00846A91">
              <w:rPr>
                <w:sz w:val="20"/>
              </w:rPr>
              <w:t>Hydrocodone/ APAP</w:t>
            </w:r>
          </w:p>
        </w:tc>
        <w:tc>
          <w:tcPr>
            <w:tcW w:w="630" w:type="dxa"/>
            <w:tcBorders>
              <w:top w:val="nil"/>
              <w:left w:val="nil"/>
              <w:bottom w:val="nil"/>
              <w:right w:val="nil"/>
            </w:tcBorders>
            <w:shd w:val="clear" w:color="auto" w:fill="FFFFFF" w:themeFill="background1"/>
          </w:tcPr>
          <w:p w14:paraId="39974EC4" w14:textId="77777777" w:rsidR="002B65B9" w:rsidRPr="00846A91" w:rsidRDefault="002B65B9" w:rsidP="0003380F">
            <w:pPr>
              <w:spacing w:after="0" w:line="240" w:lineRule="auto"/>
              <w:jc w:val="center"/>
              <w:rPr>
                <w:sz w:val="20"/>
              </w:rPr>
            </w:pPr>
            <w:r w:rsidRPr="00846A91">
              <w:rPr>
                <w:sz w:val="20"/>
              </w:rPr>
              <w:t>4.6</w:t>
            </w:r>
          </w:p>
        </w:tc>
        <w:tc>
          <w:tcPr>
            <w:tcW w:w="1635" w:type="dxa"/>
            <w:tcBorders>
              <w:top w:val="nil"/>
              <w:left w:val="nil"/>
              <w:bottom w:val="nil"/>
              <w:right w:val="nil"/>
            </w:tcBorders>
            <w:shd w:val="clear" w:color="auto" w:fill="FFFFFF" w:themeFill="background1"/>
          </w:tcPr>
          <w:p w14:paraId="7CB58EE4" w14:textId="77777777" w:rsidR="002B65B9" w:rsidRPr="00846A91" w:rsidRDefault="002B65B9" w:rsidP="0003380F">
            <w:pPr>
              <w:spacing w:after="0" w:line="240" w:lineRule="auto"/>
              <w:rPr>
                <w:sz w:val="20"/>
              </w:rPr>
            </w:pPr>
            <w:r w:rsidRPr="00846A91">
              <w:rPr>
                <w:sz w:val="20"/>
              </w:rPr>
              <w:t xml:space="preserve">Amlodipine </w:t>
            </w:r>
          </w:p>
        </w:tc>
        <w:tc>
          <w:tcPr>
            <w:tcW w:w="540" w:type="dxa"/>
            <w:tcBorders>
              <w:top w:val="nil"/>
              <w:left w:val="nil"/>
              <w:bottom w:val="nil"/>
              <w:right w:val="nil"/>
            </w:tcBorders>
            <w:shd w:val="clear" w:color="auto" w:fill="FFFFFF" w:themeFill="background1"/>
          </w:tcPr>
          <w:p w14:paraId="5C37AAED" w14:textId="77777777" w:rsidR="002B65B9" w:rsidRPr="00846A91" w:rsidRDefault="002B65B9" w:rsidP="0003380F">
            <w:pPr>
              <w:spacing w:after="0" w:line="240" w:lineRule="auto"/>
              <w:jc w:val="center"/>
              <w:rPr>
                <w:sz w:val="20"/>
              </w:rPr>
            </w:pPr>
            <w:r w:rsidRPr="00846A91">
              <w:rPr>
                <w:sz w:val="20"/>
              </w:rPr>
              <w:t>2.8</w:t>
            </w:r>
          </w:p>
        </w:tc>
        <w:tc>
          <w:tcPr>
            <w:tcW w:w="1530" w:type="dxa"/>
            <w:tcBorders>
              <w:top w:val="nil"/>
              <w:left w:val="nil"/>
              <w:bottom w:val="nil"/>
              <w:right w:val="nil"/>
            </w:tcBorders>
            <w:shd w:val="clear" w:color="auto" w:fill="FFFFFF" w:themeFill="background1"/>
          </w:tcPr>
          <w:p w14:paraId="5EA527BA" w14:textId="77777777" w:rsidR="002B65B9" w:rsidRPr="00846A91" w:rsidRDefault="002B65B9" w:rsidP="0003380F">
            <w:pPr>
              <w:spacing w:after="0" w:line="240" w:lineRule="auto"/>
              <w:rPr>
                <w:sz w:val="20"/>
              </w:rPr>
            </w:pPr>
            <w:r w:rsidRPr="00846A91">
              <w:rPr>
                <w:sz w:val="20"/>
              </w:rPr>
              <w:t>Isosorbide Mononitrate</w:t>
            </w:r>
          </w:p>
        </w:tc>
        <w:tc>
          <w:tcPr>
            <w:tcW w:w="540" w:type="dxa"/>
            <w:tcBorders>
              <w:top w:val="nil"/>
              <w:left w:val="nil"/>
              <w:bottom w:val="nil"/>
              <w:right w:val="nil"/>
            </w:tcBorders>
            <w:shd w:val="clear" w:color="auto" w:fill="FFFFFF" w:themeFill="background1"/>
          </w:tcPr>
          <w:p w14:paraId="00F1FE6A" w14:textId="77777777" w:rsidR="002B65B9" w:rsidRPr="00846A91" w:rsidRDefault="002B65B9" w:rsidP="0003380F">
            <w:pPr>
              <w:spacing w:after="0" w:line="240" w:lineRule="auto"/>
              <w:jc w:val="center"/>
              <w:rPr>
                <w:sz w:val="20"/>
              </w:rPr>
            </w:pPr>
            <w:r w:rsidRPr="00846A91">
              <w:rPr>
                <w:sz w:val="20"/>
              </w:rPr>
              <w:t>2.1</w:t>
            </w:r>
          </w:p>
        </w:tc>
      </w:tr>
      <w:tr w:rsidR="002B65B9" w:rsidRPr="00272761" w14:paraId="367E84C7" w14:textId="77777777" w:rsidTr="0003380F">
        <w:trPr>
          <w:trHeight w:val="20"/>
        </w:trPr>
        <w:tc>
          <w:tcPr>
            <w:tcW w:w="795" w:type="dxa"/>
            <w:tcBorders>
              <w:top w:val="nil"/>
              <w:left w:val="nil"/>
              <w:bottom w:val="nil"/>
              <w:right w:val="nil"/>
            </w:tcBorders>
            <w:shd w:val="clear" w:color="auto" w:fill="FFFFFF" w:themeFill="background1"/>
            <w:noWrap/>
            <w:hideMark/>
          </w:tcPr>
          <w:p w14:paraId="1A2AF061" w14:textId="77777777" w:rsidR="002B65B9" w:rsidRPr="00846A91" w:rsidRDefault="002B65B9" w:rsidP="0003380F">
            <w:pPr>
              <w:spacing w:after="0" w:line="240" w:lineRule="auto"/>
              <w:rPr>
                <w:sz w:val="20"/>
              </w:rPr>
            </w:pPr>
            <w:r w:rsidRPr="00846A91">
              <w:rPr>
                <w:sz w:val="20"/>
              </w:rPr>
              <w:t>12</w:t>
            </w:r>
          </w:p>
        </w:tc>
        <w:tc>
          <w:tcPr>
            <w:tcW w:w="1530" w:type="dxa"/>
            <w:tcBorders>
              <w:top w:val="nil"/>
              <w:left w:val="nil"/>
              <w:bottom w:val="nil"/>
              <w:right w:val="nil"/>
            </w:tcBorders>
            <w:shd w:val="clear" w:color="auto" w:fill="FFFFFF" w:themeFill="background1"/>
            <w:noWrap/>
            <w:hideMark/>
          </w:tcPr>
          <w:p w14:paraId="7C547B79" w14:textId="77777777" w:rsidR="002B65B9" w:rsidRPr="00846A91" w:rsidRDefault="002B65B9" w:rsidP="0003380F">
            <w:pPr>
              <w:spacing w:after="0" w:line="240" w:lineRule="auto"/>
              <w:jc w:val="both"/>
              <w:rPr>
                <w:sz w:val="20"/>
              </w:rPr>
            </w:pPr>
            <w:r w:rsidRPr="00846A91">
              <w:rPr>
                <w:sz w:val="20"/>
              </w:rPr>
              <w:t xml:space="preserve">Memantine </w:t>
            </w:r>
          </w:p>
        </w:tc>
        <w:tc>
          <w:tcPr>
            <w:tcW w:w="630" w:type="dxa"/>
            <w:tcBorders>
              <w:top w:val="nil"/>
              <w:left w:val="nil"/>
              <w:bottom w:val="nil"/>
              <w:right w:val="nil"/>
            </w:tcBorders>
            <w:shd w:val="clear" w:color="auto" w:fill="FFFFFF" w:themeFill="background1"/>
            <w:noWrap/>
            <w:hideMark/>
          </w:tcPr>
          <w:p w14:paraId="5011C0AD" w14:textId="77777777" w:rsidR="002B65B9" w:rsidRPr="00846A91" w:rsidRDefault="002B65B9" w:rsidP="0003380F">
            <w:pPr>
              <w:spacing w:after="0" w:line="240" w:lineRule="auto"/>
              <w:jc w:val="center"/>
              <w:rPr>
                <w:sz w:val="20"/>
              </w:rPr>
            </w:pPr>
            <w:r w:rsidRPr="00846A91">
              <w:rPr>
                <w:sz w:val="20"/>
              </w:rPr>
              <w:t>4.7</w:t>
            </w:r>
          </w:p>
        </w:tc>
        <w:tc>
          <w:tcPr>
            <w:tcW w:w="1530" w:type="dxa"/>
            <w:tcBorders>
              <w:top w:val="nil"/>
              <w:left w:val="nil"/>
              <w:bottom w:val="nil"/>
              <w:right w:val="nil"/>
            </w:tcBorders>
            <w:shd w:val="clear" w:color="auto" w:fill="FFFFFF" w:themeFill="background1"/>
          </w:tcPr>
          <w:p w14:paraId="54198018" w14:textId="77777777" w:rsidR="002B65B9" w:rsidRPr="00846A91" w:rsidRDefault="002B65B9" w:rsidP="0003380F">
            <w:pPr>
              <w:spacing w:after="0" w:line="240" w:lineRule="auto"/>
              <w:rPr>
                <w:sz w:val="20"/>
              </w:rPr>
            </w:pPr>
            <w:r w:rsidRPr="00846A91">
              <w:rPr>
                <w:sz w:val="20"/>
              </w:rPr>
              <w:t>Hydrocodone/ APAP</w:t>
            </w:r>
          </w:p>
        </w:tc>
        <w:tc>
          <w:tcPr>
            <w:tcW w:w="630" w:type="dxa"/>
            <w:tcBorders>
              <w:top w:val="nil"/>
              <w:left w:val="nil"/>
              <w:bottom w:val="nil"/>
              <w:right w:val="nil"/>
            </w:tcBorders>
            <w:shd w:val="clear" w:color="auto" w:fill="FFFFFF" w:themeFill="background1"/>
          </w:tcPr>
          <w:p w14:paraId="7153EAFD" w14:textId="77777777" w:rsidR="002B65B9" w:rsidRPr="00846A91" w:rsidRDefault="002B65B9" w:rsidP="0003380F">
            <w:pPr>
              <w:spacing w:after="0" w:line="240" w:lineRule="auto"/>
              <w:jc w:val="center"/>
              <w:rPr>
                <w:sz w:val="20"/>
              </w:rPr>
            </w:pPr>
            <w:r w:rsidRPr="00846A91">
              <w:rPr>
                <w:sz w:val="20"/>
              </w:rPr>
              <w:t>4.9</w:t>
            </w:r>
          </w:p>
        </w:tc>
        <w:tc>
          <w:tcPr>
            <w:tcW w:w="1530" w:type="dxa"/>
            <w:tcBorders>
              <w:top w:val="nil"/>
              <w:left w:val="nil"/>
              <w:bottom w:val="nil"/>
              <w:right w:val="nil"/>
            </w:tcBorders>
            <w:shd w:val="clear" w:color="auto" w:fill="FFFFFF" w:themeFill="background1"/>
          </w:tcPr>
          <w:p w14:paraId="3B6AD6AF" w14:textId="77777777" w:rsidR="002B65B9" w:rsidRPr="00846A91" w:rsidRDefault="002B65B9" w:rsidP="0003380F">
            <w:pPr>
              <w:spacing w:after="0" w:line="240" w:lineRule="auto"/>
              <w:rPr>
                <w:sz w:val="20"/>
              </w:rPr>
            </w:pPr>
            <w:r w:rsidRPr="00846A91">
              <w:rPr>
                <w:sz w:val="20"/>
              </w:rPr>
              <w:t>Hydrocodone/ APAP</w:t>
            </w:r>
          </w:p>
        </w:tc>
        <w:tc>
          <w:tcPr>
            <w:tcW w:w="630" w:type="dxa"/>
            <w:tcBorders>
              <w:top w:val="nil"/>
              <w:left w:val="nil"/>
              <w:bottom w:val="nil"/>
              <w:right w:val="nil"/>
            </w:tcBorders>
            <w:shd w:val="clear" w:color="auto" w:fill="FFFFFF" w:themeFill="background1"/>
          </w:tcPr>
          <w:p w14:paraId="0CBACB46" w14:textId="77777777" w:rsidR="002B65B9" w:rsidRPr="00846A91" w:rsidRDefault="002B65B9" w:rsidP="0003380F">
            <w:pPr>
              <w:spacing w:after="0" w:line="240" w:lineRule="auto"/>
              <w:jc w:val="center"/>
              <w:rPr>
                <w:sz w:val="20"/>
              </w:rPr>
            </w:pPr>
            <w:r w:rsidRPr="00846A91">
              <w:rPr>
                <w:sz w:val="20"/>
              </w:rPr>
              <w:t>4.6</w:t>
            </w:r>
          </w:p>
        </w:tc>
        <w:tc>
          <w:tcPr>
            <w:tcW w:w="1530" w:type="dxa"/>
            <w:tcBorders>
              <w:top w:val="nil"/>
              <w:left w:val="nil"/>
              <w:bottom w:val="nil"/>
              <w:right w:val="nil"/>
            </w:tcBorders>
            <w:shd w:val="clear" w:color="auto" w:fill="FFFFFF" w:themeFill="background1"/>
          </w:tcPr>
          <w:p w14:paraId="7514EBC8" w14:textId="77777777" w:rsidR="002B65B9" w:rsidRPr="00846A91" w:rsidRDefault="002B65B9" w:rsidP="0003380F">
            <w:pPr>
              <w:spacing w:after="0" w:line="240" w:lineRule="auto"/>
              <w:rPr>
                <w:sz w:val="20"/>
              </w:rPr>
            </w:pPr>
            <w:r w:rsidRPr="00846A91">
              <w:rPr>
                <w:sz w:val="20"/>
              </w:rPr>
              <w:t>Simvastatin</w:t>
            </w:r>
          </w:p>
        </w:tc>
        <w:tc>
          <w:tcPr>
            <w:tcW w:w="630" w:type="dxa"/>
            <w:tcBorders>
              <w:top w:val="nil"/>
              <w:left w:val="nil"/>
              <w:bottom w:val="nil"/>
              <w:right w:val="nil"/>
            </w:tcBorders>
            <w:shd w:val="clear" w:color="auto" w:fill="FFFFFF" w:themeFill="background1"/>
          </w:tcPr>
          <w:p w14:paraId="3EA65011" w14:textId="77777777" w:rsidR="002B65B9" w:rsidRPr="00846A91" w:rsidRDefault="002B65B9" w:rsidP="0003380F">
            <w:pPr>
              <w:spacing w:after="0" w:line="240" w:lineRule="auto"/>
              <w:jc w:val="center"/>
              <w:rPr>
                <w:sz w:val="20"/>
              </w:rPr>
            </w:pPr>
            <w:r w:rsidRPr="00846A91">
              <w:rPr>
                <w:sz w:val="20"/>
              </w:rPr>
              <w:t>4.6</w:t>
            </w:r>
          </w:p>
        </w:tc>
        <w:tc>
          <w:tcPr>
            <w:tcW w:w="1635" w:type="dxa"/>
            <w:tcBorders>
              <w:top w:val="nil"/>
              <w:left w:val="nil"/>
              <w:bottom w:val="nil"/>
              <w:right w:val="nil"/>
            </w:tcBorders>
            <w:shd w:val="clear" w:color="auto" w:fill="FFFFFF" w:themeFill="background1"/>
          </w:tcPr>
          <w:p w14:paraId="0D5A721F" w14:textId="77777777" w:rsidR="002B65B9" w:rsidRPr="00846A91" w:rsidRDefault="002B65B9" w:rsidP="0003380F">
            <w:pPr>
              <w:spacing w:after="0" w:line="240" w:lineRule="auto"/>
              <w:rPr>
                <w:sz w:val="20"/>
              </w:rPr>
            </w:pPr>
            <w:r w:rsidRPr="00846A91">
              <w:rPr>
                <w:sz w:val="20"/>
              </w:rPr>
              <w:t>Digoxin</w:t>
            </w:r>
          </w:p>
        </w:tc>
        <w:tc>
          <w:tcPr>
            <w:tcW w:w="540" w:type="dxa"/>
            <w:tcBorders>
              <w:top w:val="nil"/>
              <w:left w:val="nil"/>
              <w:bottom w:val="nil"/>
              <w:right w:val="nil"/>
            </w:tcBorders>
            <w:shd w:val="clear" w:color="auto" w:fill="FFFFFF" w:themeFill="background1"/>
          </w:tcPr>
          <w:p w14:paraId="61D8CFD9" w14:textId="77777777" w:rsidR="002B65B9" w:rsidRPr="00846A91" w:rsidRDefault="002B65B9" w:rsidP="0003380F">
            <w:pPr>
              <w:spacing w:after="0" w:line="240" w:lineRule="auto"/>
              <w:jc w:val="center"/>
              <w:rPr>
                <w:sz w:val="20"/>
              </w:rPr>
            </w:pPr>
            <w:r w:rsidRPr="00846A91">
              <w:rPr>
                <w:sz w:val="20"/>
              </w:rPr>
              <w:t>2.8</w:t>
            </w:r>
          </w:p>
        </w:tc>
        <w:tc>
          <w:tcPr>
            <w:tcW w:w="1530" w:type="dxa"/>
            <w:tcBorders>
              <w:top w:val="nil"/>
              <w:left w:val="nil"/>
              <w:bottom w:val="nil"/>
              <w:right w:val="nil"/>
            </w:tcBorders>
            <w:shd w:val="clear" w:color="auto" w:fill="FFFFFF" w:themeFill="background1"/>
          </w:tcPr>
          <w:p w14:paraId="55AAA7B3" w14:textId="77777777" w:rsidR="002B65B9" w:rsidRPr="00846A91" w:rsidRDefault="002B65B9" w:rsidP="0003380F">
            <w:pPr>
              <w:spacing w:after="0" w:line="240" w:lineRule="auto"/>
              <w:rPr>
                <w:sz w:val="20"/>
              </w:rPr>
            </w:pPr>
            <w:r w:rsidRPr="00846A91">
              <w:rPr>
                <w:sz w:val="20"/>
              </w:rPr>
              <w:t>Simvastatin</w:t>
            </w:r>
          </w:p>
        </w:tc>
        <w:tc>
          <w:tcPr>
            <w:tcW w:w="540" w:type="dxa"/>
            <w:tcBorders>
              <w:top w:val="nil"/>
              <w:left w:val="nil"/>
              <w:bottom w:val="nil"/>
              <w:right w:val="nil"/>
            </w:tcBorders>
            <w:shd w:val="clear" w:color="auto" w:fill="FFFFFF" w:themeFill="background1"/>
          </w:tcPr>
          <w:p w14:paraId="0EF05F23" w14:textId="77777777" w:rsidR="002B65B9" w:rsidRPr="00846A91" w:rsidRDefault="002B65B9" w:rsidP="0003380F">
            <w:pPr>
              <w:spacing w:after="0" w:line="240" w:lineRule="auto"/>
              <w:jc w:val="center"/>
              <w:rPr>
                <w:sz w:val="20"/>
              </w:rPr>
            </w:pPr>
            <w:r w:rsidRPr="00846A91">
              <w:rPr>
                <w:sz w:val="20"/>
              </w:rPr>
              <w:t>2.1</w:t>
            </w:r>
          </w:p>
        </w:tc>
      </w:tr>
      <w:tr w:rsidR="002B65B9" w:rsidRPr="00272761" w14:paraId="4297ADBE" w14:textId="77777777" w:rsidTr="0003380F">
        <w:trPr>
          <w:trHeight w:val="20"/>
        </w:trPr>
        <w:tc>
          <w:tcPr>
            <w:tcW w:w="795" w:type="dxa"/>
            <w:tcBorders>
              <w:top w:val="nil"/>
              <w:left w:val="nil"/>
              <w:bottom w:val="nil"/>
              <w:right w:val="nil"/>
            </w:tcBorders>
            <w:shd w:val="clear" w:color="auto" w:fill="FFFFFF" w:themeFill="background1"/>
            <w:noWrap/>
            <w:hideMark/>
          </w:tcPr>
          <w:p w14:paraId="2EB88F93" w14:textId="77777777" w:rsidR="002B65B9" w:rsidRPr="00846A91" w:rsidRDefault="002B65B9" w:rsidP="0003380F">
            <w:pPr>
              <w:spacing w:after="0" w:line="240" w:lineRule="auto"/>
              <w:rPr>
                <w:sz w:val="20"/>
              </w:rPr>
            </w:pPr>
            <w:r w:rsidRPr="00846A91">
              <w:rPr>
                <w:sz w:val="20"/>
              </w:rPr>
              <w:t>13</w:t>
            </w:r>
          </w:p>
        </w:tc>
        <w:tc>
          <w:tcPr>
            <w:tcW w:w="1530" w:type="dxa"/>
            <w:tcBorders>
              <w:top w:val="nil"/>
              <w:left w:val="nil"/>
              <w:bottom w:val="nil"/>
              <w:right w:val="nil"/>
            </w:tcBorders>
            <w:shd w:val="clear" w:color="auto" w:fill="FFFFFF" w:themeFill="background1"/>
            <w:noWrap/>
            <w:hideMark/>
          </w:tcPr>
          <w:p w14:paraId="7968C69A" w14:textId="77777777" w:rsidR="002B65B9" w:rsidRPr="00846A91" w:rsidRDefault="002B65B9" w:rsidP="0003380F">
            <w:pPr>
              <w:spacing w:after="0" w:line="240" w:lineRule="auto"/>
              <w:jc w:val="both"/>
              <w:rPr>
                <w:sz w:val="20"/>
              </w:rPr>
            </w:pPr>
            <w:r w:rsidRPr="00846A91">
              <w:rPr>
                <w:sz w:val="20"/>
              </w:rPr>
              <w:t>Levofloxacin</w:t>
            </w:r>
          </w:p>
        </w:tc>
        <w:tc>
          <w:tcPr>
            <w:tcW w:w="630" w:type="dxa"/>
            <w:tcBorders>
              <w:top w:val="nil"/>
              <w:left w:val="nil"/>
              <w:bottom w:val="nil"/>
              <w:right w:val="nil"/>
            </w:tcBorders>
            <w:shd w:val="clear" w:color="auto" w:fill="FFFFFF" w:themeFill="background1"/>
            <w:noWrap/>
            <w:hideMark/>
          </w:tcPr>
          <w:p w14:paraId="4397F7BC" w14:textId="77777777" w:rsidR="002B65B9" w:rsidRPr="00846A91" w:rsidRDefault="002B65B9" w:rsidP="0003380F">
            <w:pPr>
              <w:spacing w:after="0" w:line="240" w:lineRule="auto"/>
              <w:jc w:val="center"/>
              <w:rPr>
                <w:sz w:val="20"/>
              </w:rPr>
            </w:pPr>
            <w:r w:rsidRPr="00846A91">
              <w:rPr>
                <w:sz w:val="20"/>
              </w:rPr>
              <w:t>4.7</w:t>
            </w:r>
          </w:p>
        </w:tc>
        <w:tc>
          <w:tcPr>
            <w:tcW w:w="1530" w:type="dxa"/>
            <w:tcBorders>
              <w:top w:val="nil"/>
              <w:left w:val="nil"/>
              <w:bottom w:val="nil"/>
              <w:right w:val="nil"/>
            </w:tcBorders>
            <w:shd w:val="clear" w:color="auto" w:fill="FFFFFF" w:themeFill="background1"/>
          </w:tcPr>
          <w:p w14:paraId="3807AF74" w14:textId="77777777" w:rsidR="002B65B9" w:rsidRPr="00846A91" w:rsidRDefault="002B65B9" w:rsidP="0003380F">
            <w:pPr>
              <w:spacing w:after="0" w:line="240" w:lineRule="auto"/>
              <w:rPr>
                <w:sz w:val="20"/>
              </w:rPr>
            </w:pPr>
            <w:r w:rsidRPr="00846A91">
              <w:rPr>
                <w:sz w:val="20"/>
              </w:rPr>
              <w:t>Insulin</w:t>
            </w:r>
          </w:p>
        </w:tc>
        <w:tc>
          <w:tcPr>
            <w:tcW w:w="630" w:type="dxa"/>
            <w:tcBorders>
              <w:top w:val="nil"/>
              <w:left w:val="nil"/>
              <w:bottom w:val="nil"/>
              <w:right w:val="nil"/>
            </w:tcBorders>
            <w:shd w:val="clear" w:color="auto" w:fill="FFFFFF" w:themeFill="background1"/>
          </w:tcPr>
          <w:p w14:paraId="19E2CBE9" w14:textId="77777777" w:rsidR="002B65B9" w:rsidRPr="00846A91" w:rsidRDefault="002B65B9" w:rsidP="0003380F">
            <w:pPr>
              <w:spacing w:after="0" w:line="240" w:lineRule="auto"/>
              <w:jc w:val="center"/>
              <w:rPr>
                <w:sz w:val="20"/>
              </w:rPr>
            </w:pPr>
            <w:r w:rsidRPr="00846A91">
              <w:rPr>
                <w:sz w:val="20"/>
              </w:rPr>
              <w:t>4.7</w:t>
            </w:r>
          </w:p>
        </w:tc>
        <w:tc>
          <w:tcPr>
            <w:tcW w:w="1530" w:type="dxa"/>
            <w:tcBorders>
              <w:top w:val="nil"/>
              <w:left w:val="nil"/>
              <w:bottom w:val="nil"/>
              <w:right w:val="nil"/>
            </w:tcBorders>
            <w:shd w:val="clear" w:color="auto" w:fill="FFFFFF" w:themeFill="background1"/>
          </w:tcPr>
          <w:p w14:paraId="2CB56A29" w14:textId="77777777" w:rsidR="002B65B9" w:rsidRPr="00846A91" w:rsidRDefault="002B65B9" w:rsidP="0003380F">
            <w:pPr>
              <w:spacing w:after="0" w:line="240" w:lineRule="auto"/>
              <w:rPr>
                <w:sz w:val="20"/>
              </w:rPr>
            </w:pPr>
            <w:r w:rsidRPr="00846A91">
              <w:rPr>
                <w:sz w:val="20"/>
              </w:rPr>
              <w:t xml:space="preserve">Amlodipine </w:t>
            </w:r>
          </w:p>
        </w:tc>
        <w:tc>
          <w:tcPr>
            <w:tcW w:w="630" w:type="dxa"/>
            <w:tcBorders>
              <w:top w:val="nil"/>
              <w:left w:val="nil"/>
              <w:bottom w:val="nil"/>
              <w:right w:val="nil"/>
            </w:tcBorders>
            <w:shd w:val="clear" w:color="auto" w:fill="FFFFFF" w:themeFill="background1"/>
          </w:tcPr>
          <w:p w14:paraId="46B6696E" w14:textId="77777777" w:rsidR="002B65B9" w:rsidRPr="00846A91" w:rsidRDefault="002B65B9" w:rsidP="0003380F">
            <w:pPr>
              <w:spacing w:after="0" w:line="240" w:lineRule="auto"/>
              <w:jc w:val="center"/>
              <w:rPr>
                <w:sz w:val="20"/>
              </w:rPr>
            </w:pPr>
            <w:r w:rsidRPr="00846A91">
              <w:rPr>
                <w:sz w:val="20"/>
              </w:rPr>
              <w:t>4.4</w:t>
            </w:r>
          </w:p>
        </w:tc>
        <w:tc>
          <w:tcPr>
            <w:tcW w:w="1530" w:type="dxa"/>
            <w:tcBorders>
              <w:top w:val="nil"/>
              <w:left w:val="nil"/>
              <w:bottom w:val="nil"/>
              <w:right w:val="nil"/>
            </w:tcBorders>
            <w:shd w:val="clear" w:color="auto" w:fill="FFFFFF" w:themeFill="background1"/>
          </w:tcPr>
          <w:p w14:paraId="5EF78630" w14:textId="77777777" w:rsidR="002B65B9" w:rsidRPr="00846A91" w:rsidRDefault="002B65B9" w:rsidP="0003380F">
            <w:pPr>
              <w:spacing w:after="0" w:line="240" w:lineRule="auto"/>
              <w:rPr>
                <w:sz w:val="20"/>
              </w:rPr>
            </w:pPr>
            <w:r w:rsidRPr="00846A91">
              <w:rPr>
                <w:sz w:val="20"/>
              </w:rPr>
              <w:t>Metoprolol Tartrate</w:t>
            </w:r>
          </w:p>
        </w:tc>
        <w:tc>
          <w:tcPr>
            <w:tcW w:w="630" w:type="dxa"/>
            <w:tcBorders>
              <w:top w:val="nil"/>
              <w:left w:val="nil"/>
              <w:bottom w:val="nil"/>
              <w:right w:val="nil"/>
            </w:tcBorders>
            <w:shd w:val="clear" w:color="auto" w:fill="FFFFFF" w:themeFill="background1"/>
          </w:tcPr>
          <w:p w14:paraId="58E3C87C" w14:textId="77777777" w:rsidR="002B65B9" w:rsidRPr="00846A91" w:rsidRDefault="002B65B9" w:rsidP="0003380F">
            <w:pPr>
              <w:spacing w:after="0" w:line="240" w:lineRule="auto"/>
              <w:jc w:val="center"/>
              <w:rPr>
                <w:sz w:val="20"/>
              </w:rPr>
            </w:pPr>
            <w:r w:rsidRPr="00846A91">
              <w:rPr>
                <w:sz w:val="20"/>
              </w:rPr>
              <w:t>4.5</w:t>
            </w:r>
          </w:p>
        </w:tc>
        <w:tc>
          <w:tcPr>
            <w:tcW w:w="1635" w:type="dxa"/>
            <w:tcBorders>
              <w:top w:val="nil"/>
              <w:left w:val="nil"/>
              <w:bottom w:val="nil"/>
              <w:right w:val="nil"/>
            </w:tcBorders>
            <w:shd w:val="clear" w:color="auto" w:fill="FFFFFF" w:themeFill="background1"/>
          </w:tcPr>
          <w:p w14:paraId="358F3036" w14:textId="77777777" w:rsidR="002B65B9" w:rsidRPr="00846A91" w:rsidRDefault="002B65B9" w:rsidP="0003380F">
            <w:pPr>
              <w:spacing w:after="0" w:line="240" w:lineRule="auto"/>
              <w:rPr>
                <w:sz w:val="20"/>
              </w:rPr>
            </w:pPr>
            <w:r w:rsidRPr="00846A91">
              <w:rPr>
                <w:sz w:val="20"/>
              </w:rPr>
              <w:t>Hydrocodone/ APAP</w:t>
            </w:r>
          </w:p>
        </w:tc>
        <w:tc>
          <w:tcPr>
            <w:tcW w:w="540" w:type="dxa"/>
            <w:tcBorders>
              <w:top w:val="nil"/>
              <w:left w:val="nil"/>
              <w:bottom w:val="nil"/>
              <w:right w:val="nil"/>
            </w:tcBorders>
            <w:shd w:val="clear" w:color="auto" w:fill="FFFFFF" w:themeFill="background1"/>
          </w:tcPr>
          <w:p w14:paraId="5139686C" w14:textId="77777777" w:rsidR="002B65B9" w:rsidRPr="00846A91" w:rsidRDefault="002B65B9" w:rsidP="0003380F">
            <w:pPr>
              <w:spacing w:after="0" w:line="240" w:lineRule="auto"/>
              <w:jc w:val="center"/>
              <w:rPr>
                <w:sz w:val="20"/>
              </w:rPr>
            </w:pPr>
            <w:r w:rsidRPr="00846A91">
              <w:rPr>
                <w:sz w:val="20"/>
              </w:rPr>
              <w:t>2.8</w:t>
            </w:r>
          </w:p>
        </w:tc>
        <w:tc>
          <w:tcPr>
            <w:tcW w:w="1530" w:type="dxa"/>
            <w:tcBorders>
              <w:top w:val="nil"/>
              <w:left w:val="nil"/>
              <w:bottom w:val="nil"/>
              <w:right w:val="nil"/>
            </w:tcBorders>
            <w:shd w:val="clear" w:color="auto" w:fill="FFFFFF" w:themeFill="background1"/>
          </w:tcPr>
          <w:p w14:paraId="2267EB27" w14:textId="77777777" w:rsidR="002B65B9" w:rsidRPr="00846A91" w:rsidRDefault="002B65B9" w:rsidP="0003380F">
            <w:pPr>
              <w:spacing w:after="0" w:line="240" w:lineRule="auto"/>
              <w:rPr>
                <w:sz w:val="20"/>
              </w:rPr>
            </w:pPr>
            <w:r w:rsidRPr="00846A91">
              <w:rPr>
                <w:sz w:val="20"/>
              </w:rPr>
              <w:t>Lisinopril</w:t>
            </w:r>
          </w:p>
        </w:tc>
        <w:tc>
          <w:tcPr>
            <w:tcW w:w="540" w:type="dxa"/>
            <w:tcBorders>
              <w:top w:val="nil"/>
              <w:left w:val="nil"/>
              <w:bottom w:val="nil"/>
              <w:right w:val="nil"/>
            </w:tcBorders>
            <w:shd w:val="clear" w:color="auto" w:fill="FFFFFF" w:themeFill="background1"/>
          </w:tcPr>
          <w:p w14:paraId="07B4EA93" w14:textId="77777777" w:rsidR="002B65B9" w:rsidRPr="00846A91" w:rsidRDefault="002B65B9" w:rsidP="0003380F">
            <w:pPr>
              <w:spacing w:after="0" w:line="240" w:lineRule="auto"/>
              <w:jc w:val="center"/>
              <w:rPr>
                <w:sz w:val="20"/>
              </w:rPr>
            </w:pPr>
            <w:r w:rsidRPr="00846A91">
              <w:rPr>
                <w:sz w:val="20"/>
              </w:rPr>
              <w:t>2.0</w:t>
            </w:r>
          </w:p>
        </w:tc>
      </w:tr>
      <w:tr w:rsidR="002B65B9" w:rsidRPr="00272761" w14:paraId="0EEF64B0" w14:textId="77777777" w:rsidTr="0003380F">
        <w:trPr>
          <w:trHeight w:val="20"/>
        </w:trPr>
        <w:tc>
          <w:tcPr>
            <w:tcW w:w="795" w:type="dxa"/>
            <w:tcBorders>
              <w:top w:val="nil"/>
              <w:left w:val="nil"/>
              <w:bottom w:val="nil"/>
              <w:right w:val="nil"/>
            </w:tcBorders>
            <w:shd w:val="clear" w:color="auto" w:fill="FFFFFF" w:themeFill="background1"/>
            <w:noWrap/>
            <w:hideMark/>
          </w:tcPr>
          <w:p w14:paraId="12296D28" w14:textId="77777777" w:rsidR="002B65B9" w:rsidRDefault="002B65B9" w:rsidP="0003380F">
            <w:pPr>
              <w:spacing w:after="0" w:line="240" w:lineRule="auto"/>
              <w:rPr>
                <w:sz w:val="20"/>
              </w:rPr>
            </w:pPr>
            <w:r w:rsidRPr="00846A91">
              <w:rPr>
                <w:sz w:val="20"/>
              </w:rPr>
              <w:t>14</w:t>
            </w:r>
          </w:p>
          <w:p w14:paraId="4FF12F89" w14:textId="77777777" w:rsidR="009C6575" w:rsidRPr="00846A91" w:rsidRDefault="009C6575"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72B9689E" w14:textId="77777777" w:rsidR="002B65B9" w:rsidRPr="00846A91" w:rsidRDefault="002B65B9" w:rsidP="0003380F">
            <w:pPr>
              <w:spacing w:after="0" w:line="240" w:lineRule="auto"/>
              <w:jc w:val="both"/>
              <w:rPr>
                <w:sz w:val="20"/>
              </w:rPr>
            </w:pPr>
            <w:r w:rsidRPr="00846A91">
              <w:rPr>
                <w:sz w:val="20"/>
              </w:rPr>
              <w:t>Insulin</w:t>
            </w:r>
          </w:p>
        </w:tc>
        <w:tc>
          <w:tcPr>
            <w:tcW w:w="630" w:type="dxa"/>
            <w:tcBorders>
              <w:top w:val="nil"/>
              <w:left w:val="nil"/>
              <w:bottom w:val="nil"/>
              <w:right w:val="nil"/>
            </w:tcBorders>
            <w:shd w:val="clear" w:color="auto" w:fill="FFFFFF" w:themeFill="background1"/>
            <w:noWrap/>
            <w:hideMark/>
          </w:tcPr>
          <w:p w14:paraId="4DEF6B09" w14:textId="77777777" w:rsidR="002B65B9" w:rsidRPr="00846A91" w:rsidRDefault="002B65B9" w:rsidP="0003380F">
            <w:pPr>
              <w:spacing w:after="0" w:line="240" w:lineRule="auto"/>
              <w:jc w:val="center"/>
              <w:rPr>
                <w:sz w:val="20"/>
              </w:rPr>
            </w:pPr>
            <w:r w:rsidRPr="00846A91">
              <w:rPr>
                <w:sz w:val="20"/>
              </w:rPr>
              <w:t>4.6</w:t>
            </w:r>
          </w:p>
        </w:tc>
        <w:tc>
          <w:tcPr>
            <w:tcW w:w="1530" w:type="dxa"/>
            <w:tcBorders>
              <w:top w:val="nil"/>
              <w:left w:val="nil"/>
              <w:bottom w:val="nil"/>
              <w:right w:val="nil"/>
            </w:tcBorders>
            <w:shd w:val="clear" w:color="auto" w:fill="FFFFFF" w:themeFill="background1"/>
          </w:tcPr>
          <w:p w14:paraId="74EA1900" w14:textId="77777777" w:rsidR="002B65B9" w:rsidRPr="00846A91" w:rsidRDefault="002B65B9" w:rsidP="0003380F">
            <w:pPr>
              <w:spacing w:after="0" w:line="240" w:lineRule="auto"/>
              <w:rPr>
                <w:sz w:val="20"/>
              </w:rPr>
            </w:pPr>
            <w:r w:rsidRPr="00846A91">
              <w:rPr>
                <w:sz w:val="20"/>
              </w:rPr>
              <w:t>Ciprofloxacin</w:t>
            </w:r>
          </w:p>
        </w:tc>
        <w:tc>
          <w:tcPr>
            <w:tcW w:w="630" w:type="dxa"/>
            <w:tcBorders>
              <w:top w:val="nil"/>
              <w:left w:val="nil"/>
              <w:bottom w:val="nil"/>
              <w:right w:val="nil"/>
            </w:tcBorders>
            <w:shd w:val="clear" w:color="auto" w:fill="FFFFFF" w:themeFill="background1"/>
          </w:tcPr>
          <w:p w14:paraId="53CE01F2" w14:textId="77777777" w:rsidR="002B65B9" w:rsidRPr="00846A91" w:rsidRDefault="002B65B9" w:rsidP="0003380F">
            <w:pPr>
              <w:spacing w:after="0" w:line="240" w:lineRule="auto"/>
              <w:jc w:val="center"/>
              <w:rPr>
                <w:sz w:val="20"/>
              </w:rPr>
            </w:pPr>
            <w:r w:rsidRPr="00846A91">
              <w:rPr>
                <w:sz w:val="20"/>
              </w:rPr>
              <w:t>4.6</w:t>
            </w:r>
          </w:p>
        </w:tc>
        <w:tc>
          <w:tcPr>
            <w:tcW w:w="1530" w:type="dxa"/>
            <w:tcBorders>
              <w:top w:val="nil"/>
              <w:left w:val="nil"/>
              <w:bottom w:val="nil"/>
              <w:right w:val="nil"/>
            </w:tcBorders>
            <w:shd w:val="clear" w:color="auto" w:fill="FFFFFF" w:themeFill="background1"/>
          </w:tcPr>
          <w:p w14:paraId="212D7EF4" w14:textId="77777777" w:rsidR="002B65B9" w:rsidRPr="00846A91" w:rsidRDefault="002B65B9" w:rsidP="0003380F">
            <w:pPr>
              <w:spacing w:after="0" w:line="240" w:lineRule="auto"/>
              <w:rPr>
                <w:sz w:val="20"/>
              </w:rPr>
            </w:pPr>
            <w:r w:rsidRPr="00846A91">
              <w:rPr>
                <w:sz w:val="20"/>
              </w:rPr>
              <w:t>Lisinopril</w:t>
            </w:r>
          </w:p>
        </w:tc>
        <w:tc>
          <w:tcPr>
            <w:tcW w:w="630" w:type="dxa"/>
            <w:tcBorders>
              <w:top w:val="nil"/>
              <w:left w:val="nil"/>
              <w:bottom w:val="nil"/>
              <w:right w:val="nil"/>
            </w:tcBorders>
            <w:shd w:val="clear" w:color="auto" w:fill="FFFFFF" w:themeFill="background1"/>
          </w:tcPr>
          <w:p w14:paraId="696C088A" w14:textId="77777777" w:rsidR="002B65B9" w:rsidRPr="00846A91" w:rsidRDefault="002B65B9" w:rsidP="0003380F">
            <w:pPr>
              <w:spacing w:after="0" w:line="240" w:lineRule="auto"/>
              <w:jc w:val="center"/>
              <w:rPr>
                <w:sz w:val="20"/>
              </w:rPr>
            </w:pPr>
            <w:r w:rsidRPr="00846A91">
              <w:rPr>
                <w:sz w:val="20"/>
              </w:rPr>
              <w:t>4.2</w:t>
            </w:r>
          </w:p>
        </w:tc>
        <w:tc>
          <w:tcPr>
            <w:tcW w:w="1530" w:type="dxa"/>
            <w:tcBorders>
              <w:top w:val="nil"/>
              <w:left w:val="nil"/>
              <w:bottom w:val="nil"/>
              <w:right w:val="nil"/>
            </w:tcBorders>
            <w:shd w:val="clear" w:color="auto" w:fill="FFFFFF" w:themeFill="background1"/>
          </w:tcPr>
          <w:p w14:paraId="70909549" w14:textId="77777777" w:rsidR="002B65B9" w:rsidRPr="00846A91" w:rsidRDefault="002B65B9" w:rsidP="0003380F">
            <w:pPr>
              <w:spacing w:after="0" w:line="240" w:lineRule="auto"/>
              <w:rPr>
                <w:sz w:val="20"/>
              </w:rPr>
            </w:pPr>
            <w:r w:rsidRPr="00846A91">
              <w:rPr>
                <w:sz w:val="20"/>
              </w:rPr>
              <w:t>Lisinopril</w:t>
            </w:r>
          </w:p>
        </w:tc>
        <w:tc>
          <w:tcPr>
            <w:tcW w:w="630" w:type="dxa"/>
            <w:tcBorders>
              <w:top w:val="nil"/>
              <w:left w:val="nil"/>
              <w:bottom w:val="nil"/>
              <w:right w:val="nil"/>
            </w:tcBorders>
            <w:shd w:val="clear" w:color="auto" w:fill="FFFFFF" w:themeFill="background1"/>
          </w:tcPr>
          <w:p w14:paraId="75BBF4B9" w14:textId="77777777" w:rsidR="002B65B9" w:rsidRPr="00846A91" w:rsidRDefault="002B65B9" w:rsidP="0003380F">
            <w:pPr>
              <w:spacing w:after="0" w:line="240" w:lineRule="auto"/>
              <w:jc w:val="center"/>
              <w:rPr>
                <w:sz w:val="20"/>
              </w:rPr>
            </w:pPr>
            <w:r w:rsidRPr="00846A91">
              <w:rPr>
                <w:sz w:val="20"/>
              </w:rPr>
              <w:t>4.3</w:t>
            </w:r>
          </w:p>
        </w:tc>
        <w:tc>
          <w:tcPr>
            <w:tcW w:w="1635" w:type="dxa"/>
            <w:tcBorders>
              <w:top w:val="nil"/>
              <w:left w:val="nil"/>
              <w:bottom w:val="nil"/>
              <w:right w:val="nil"/>
            </w:tcBorders>
            <w:shd w:val="clear" w:color="auto" w:fill="FFFFFF" w:themeFill="background1"/>
          </w:tcPr>
          <w:p w14:paraId="46A849EE" w14:textId="77777777" w:rsidR="002B65B9" w:rsidRPr="00846A91" w:rsidRDefault="002B65B9" w:rsidP="0003380F">
            <w:pPr>
              <w:spacing w:after="0" w:line="240" w:lineRule="auto"/>
              <w:rPr>
                <w:sz w:val="20"/>
              </w:rPr>
            </w:pPr>
            <w:r w:rsidRPr="00846A91">
              <w:rPr>
                <w:sz w:val="20"/>
              </w:rPr>
              <w:t>Levofloxacin</w:t>
            </w:r>
          </w:p>
        </w:tc>
        <w:tc>
          <w:tcPr>
            <w:tcW w:w="540" w:type="dxa"/>
            <w:tcBorders>
              <w:top w:val="nil"/>
              <w:left w:val="nil"/>
              <w:bottom w:val="nil"/>
              <w:right w:val="nil"/>
            </w:tcBorders>
            <w:shd w:val="clear" w:color="auto" w:fill="FFFFFF" w:themeFill="background1"/>
          </w:tcPr>
          <w:p w14:paraId="4128F884" w14:textId="77777777" w:rsidR="002B65B9" w:rsidRPr="00846A91" w:rsidRDefault="002B65B9" w:rsidP="0003380F">
            <w:pPr>
              <w:spacing w:after="0" w:line="240" w:lineRule="auto"/>
              <w:jc w:val="center"/>
              <w:rPr>
                <w:sz w:val="20"/>
              </w:rPr>
            </w:pPr>
            <w:r w:rsidRPr="00846A91">
              <w:rPr>
                <w:sz w:val="20"/>
              </w:rPr>
              <w:t>2.2</w:t>
            </w:r>
          </w:p>
        </w:tc>
        <w:tc>
          <w:tcPr>
            <w:tcW w:w="1530" w:type="dxa"/>
            <w:tcBorders>
              <w:top w:val="nil"/>
              <w:left w:val="nil"/>
              <w:bottom w:val="nil"/>
              <w:right w:val="nil"/>
            </w:tcBorders>
            <w:shd w:val="clear" w:color="auto" w:fill="FFFFFF" w:themeFill="background1"/>
          </w:tcPr>
          <w:p w14:paraId="5BD2BD9D" w14:textId="77777777" w:rsidR="002B65B9" w:rsidRPr="00846A91" w:rsidRDefault="002B65B9" w:rsidP="0003380F">
            <w:pPr>
              <w:spacing w:after="0" w:line="240" w:lineRule="auto"/>
              <w:rPr>
                <w:sz w:val="20"/>
              </w:rPr>
            </w:pPr>
            <w:r w:rsidRPr="00846A91">
              <w:rPr>
                <w:sz w:val="20"/>
              </w:rPr>
              <w:t>Clonidine</w:t>
            </w:r>
          </w:p>
        </w:tc>
        <w:tc>
          <w:tcPr>
            <w:tcW w:w="540" w:type="dxa"/>
            <w:tcBorders>
              <w:top w:val="nil"/>
              <w:left w:val="nil"/>
              <w:bottom w:val="nil"/>
              <w:right w:val="nil"/>
            </w:tcBorders>
            <w:shd w:val="clear" w:color="auto" w:fill="FFFFFF" w:themeFill="background1"/>
          </w:tcPr>
          <w:p w14:paraId="3EC10BD3" w14:textId="77777777" w:rsidR="002B65B9" w:rsidRPr="00846A91" w:rsidRDefault="002B65B9" w:rsidP="0003380F">
            <w:pPr>
              <w:spacing w:after="0" w:line="240" w:lineRule="auto"/>
              <w:jc w:val="center"/>
              <w:rPr>
                <w:sz w:val="20"/>
              </w:rPr>
            </w:pPr>
            <w:r w:rsidRPr="00846A91">
              <w:rPr>
                <w:sz w:val="20"/>
              </w:rPr>
              <w:t>1.9</w:t>
            </w:r>
          </w:p>
        </w:tc>
      </w:tr>
      <w:tr w:rsidR="002B65B9" w:rsidRPr="00272761" w14:paraId="77B0C2E4" w14:textId="77777777" w:rsidTr="0003380F">
        <w:trPr>
          <w:trHeight w:val="20"/>
        </w:trPr>
        <w:tc>
          <w:tcPr>
            <w:tcW w:w="795" w:type="dxa"/>
            <w:tcBorders>
              <w:top w:val="nil"/>
              <w:left w:val="nil"/>
              <w:bottom w:val="nil"/>
              <w:right w:val="nil"/>
            </w:tcBorders>
            <w:shd w:val="clear" w:color="auto" w:fill="FFFFFF" w:themeFill="background1"/>
            <w:noWrap/>
            <w:hideMark/>
          </w:tcPr>
          <w:p w14:paraId="10F66EE9" w14:textId="77777777" w:rsidR="002B65B9" w:rsidRPr="00846A91" w:rsidRDefault="002B65B9" w:rsidP="0003380F">
            <w:pPr>
              <w:spacing w:after="0" w:line="240" w:lineRule="auto"/>
              <w:rPr>
                <w:sz w:val="20"/>
              </w:rPr>
            </w:pPr>
            <w:r w:rsidRPr="00846A91">
              <w:rPr>
                <w:sz w:val="20"/>
              </w:rPr>
              <w:t>15</w:t>
            </w:r>
          </w:p>
        </w:tc>
        <w:tc>
          <w:tcPr>
            <w:tcW w:w="1530" w:type="dxa"/>
            <w:tcBorders>
              <w:top w:val="nil"/>
              <w:left w:val="nil"/>
              <w:bottom w:val="nil"/>
              <w:right w:val="nil"/>
            </w:tcBorders>
            <w:shd w:val="clear" w:color="auto" w:fill="FFFFFF" w:themeFill="background1"/>
            <w:noWrap/>
            <w:hideMark/>
          </w:tcPr>
          <w:p w14:paraId="5909923F" w14:textId="77777777" w:rsidR="002B65B9" w:rsidRPr="00846A91" w:rsidRDefault="002B65B9" w:rsidP="0003380F">
            <w:pPr>
              <w:spacing w:after="0" w:line="240" w:lineRule="auto"/>
              <w:jc w:val="both"/>
              <w:rPr>
                <w:sz w:val="20"/>
              </w:rPr>
            </w:pPr>
            <w:r w:rsidRPr="00846A91">
              <w:rPr>
                <w:sz w:val="20"/>
              </w:rPr>
              <w:t>Ciprofloxacin</w:t>
            </w:r>
          </w:p>
        </w:tc>
        <w:tc>
          <w:tcPr>
            <w:tcW w:w="630" w:type="dxa"/>
            <w:tcBorders>
              <w:top w:val="nil"/>
              <w:left w:val="nil"/>
              <w:bottom w:val="nil"/>
              <w:right w:val="nil"/>
            </w:tcBorders>
            <w:shd w:val="clear" w:color="auto" w:fill="FFFFFF" w:themeFill="background1"/>
            <w:noWrap/>
            <w:hideMark/>
          </w:tcPr>
          <w:p w14:paraId="5F3C5E2A" w14:textId="77777777" w:rsidR="002B65B9" w:rsidRPr="00846A91" w:rsidRDefault="002B65B9" w:rsidP="0003380F">
            <w:pPr>
              <w:spacing w:after="0" w:line="240" w:lineRule="auto"/>
              <w:jc w:val="center"/>
              <w:rPr>
                <w:sz w:val="20"/>
              </w:rPr>
            </w:pPr>
            <w:r w:rsidRPr="00846A91">
              <w:rPr>
                <w:sz w:val="20"/>
              </w:rPr>
              <w:t>4.4</w:t>
            </w:r>
          </w:p>
        </w:tc>
        <w:tc>
          <w:tcPr>
            <w:tcW w:w="1530" w:type="dxa"/>
            <w:tcBorders>
              <w:top w:val="nil"/>
              <w:left w:val="nil"/>
              <w:bottom w:val="nil"/>
              <w:right w:val="nil"/>
            </w:tcBorders>
            <w:shd w:val="clear" w:color="auto" w:fill="FFFFFF" w:themeFill="background1"/>
          </w:tcPr>
          <w:p w14:paraId="29F564F3" w14:textId="77777777" w:rsidR="002B65B9" w:rsidRPr="00846A91" w:rsidRDefault="002B65B9" w:rsidP="0003380F">
            <w:pPr>
              <w:spacing w:after="0" w:line="240" w:lineRule="auto"/>
              <w:rPr>
                <w:sz w:val="20"/>
              </w:rPr>
            </w:pPr>
            <w:r w:rsidRPr="00846A91">
              <w:rPr>
                <w:sz w:val="20"/>
              </w:rPr>
              <w:t>Levofloxacin</w:t>
            </w:r>
          </w:p>
        </w:tc>
        <w:tc>
          <w:tcPr>
            <w:tcW w:w="630" w:type="dxa"/>
            <w:tcBorders>
              <w:top w:val="nil"/>
              <w:left w:val="nil"/>
              <w:bottom w:val="nil"/>
              <w:right w:val="nil"/>
            </w:tcBorders>
            <w:shd w:val="clear" w:color="auto" w:fill="FFFFFF" w:themeFill="background1"/>
          </w:tcPr>
          <w:p w14:paraId="462E8323" w14:textId="77777777" w:rsidR="002B65B9" w:rsidRPr="00846A91" w:rsidRDefault="002B65B9" w:rsidP="0003380F">
            <w:pPr>
              <w:spacing w:after="0" w:line="240" w:lineRule="auto"/>
              <w:jc w:val="center"/>
              <w:rPr>
                <w:sz w:val="20"/>
              </w:rPr>
            </w:pPr>
            <w:r w:rsidRPr="00846A91">
              <w:rPr>
                <w:sz w:val="20"/>
              </w:rPr>
              <w:t>4.6</w:t>
            </w:r>
          </w:p>
        </w:tc>
        <w:tc>
          <w:tcPr>
            <w:tcW w:w="1530" w:type="dxa"/>
            <w:tcBorders>
              <w:top w:val="nil"/>
              <w:left w:val="nil"/>
              <w:bottom w:val="nil"/>
              <w:right w:val="nil"/>
            </w:tcBorders>
            <w:shd w:val="clear" w:color="auto" w:fill="FFFFFF" w:themeFill="background1"/>
          </w:tcPr>
          <w:p w14:paraId="0169ACC9" w14:textId="77777777" w:rsidR="002B65B9" w:rsidRPr="00846A91" w:rsidRDefault="002B65B9" w:rsidP="0003380F">
            <w:pPr>
              <w:spacing w:after="0" w:line="240" w:lineRule="auto"/>
              <w:rPr>
                <w:sz w:val="20"/>
              </w:rPr>
            </w:pPr>
            <w:r w:rsidRPr="00846A91">
              <w:rPr>
                <w:sz w:val="20"/>
              </w:rPr>
              <w:t xml:space="preserve">Ipratropium/ Albuterol </w:t>
            </w:r>
          </w:p>
        </w:tc>
        <w:tc>
          <w:tcPr>
            <w:tcW w:w="630" w:type="dxa"/>
            <w:tcBorders>
              <w:top w:val="nil"/>
              <w:left w:val="nil"/>
              <w:bottom w:val="nil"/>
              <w:right w:val="nil"/>
            </w:tcBorders>
            <w:shd w:val="clear" w:color="auto" w:fill="FFFFFF" w:themeFill="background1"/>
          </w:tcPr>
          <w:p w14:paraId="4E16510B" w14:textId="77777777" w:rsidR="002B65B9" w:rsidRPr="00846A91" w:rsidRDefault="002B65B9" w:rsidP="0003380F">
            <w:pPr>
              <w:spacing w:after="0" w:line="240" w:lineRule="auto"/>
              <w:jc w:val="center"/>
              <w:rPr>
                <w:sz w:val="20"/>
              </w:rPr>
            </w:pPr>
            <w:r w:rsidRPr="00846A91">
              <w:rPr>
                <w:sz w:val="20"/>
              </w:rPr>
              <w:t>4.2</w:t>
            </w:r>
          </w:p>
        </w:tc>
        <w:tc>
          <w:tcPr>
            <w:tcW w:w="1530" w:type="dxa"/>
            <w:tcBorders>
              <w:top w:val="nil"/>
              <w:left w:val="nil"/>
              <w:bottom w:val="nil"/>
              <w:right w:val="nil"/>
            </w:tcBorders>
            <w:shd w:val="clear" w:color="auto" w:fill="FFFFFF" w:themeFill="background1"/>
          </w:tcPr>
          <w:p w14:paraId="492FEB6A" w14:textId="77777777" w:rsidR="002B65B9" w:rsidRPr="00846A91" w:rsidRDefault="002B65B9" w:rsidP="0003380F">
            <w:pPr>
              <w:spacing w:after="0" w:line="240" w:lineRule="auto"/>
              <w:rPr>
                <w:sz w:val="20"/>
              </w:rPr>
            </w:pPr>
            <w:r w:rsidRPr="00846A91">
              <w:rPr>
                <w:sz w:val="20"/>
              </w:rPr>
              <w:t>Levofloxacin</w:t>
            </w:r>
          </w:p>
        </w:tc>
        <w:tc>
          <w:tcPr>
            <w:tcW w:w="630" w:type="dxa"/>
            <w:tcBorders>
              <w:top w:val="nil"/>
              <w:left w:val="nil"/>
              <w:bottom w:val="nil"/>
              <w:right w:val="nil"/>
            </w:tcBorders>
            <w:shd w:val="clear" w:color="auto" w:fill="FFFFFF" w:themeFill="background1"/>
          </w:tcPr>
          <w:p w14:paraId="4E670D56" w14:textId="77777777" w:rsidR="002B65B9" w:rsidRPr="00846A91" w:rsidRDefault="002B65B9" w:rsidP="0003380F">
            <w:pPr>
              <w:spacing w:after="0" w:line="240" w:lineRule="auto"/>
              <w:jc w:val="center"/>
              <w:rPr>
                <w:sz w:val="20"/>
              </w:rPr>
            </w:pPr>
            <w:r w:rsidRPr="00846A91">
              <w:rPr>
                <w:sz w:val="20"/>
              </w:rPr>
              <w:t>4.2</w:t>
            </w:r>
          </w:p>
        </w:tc>
        <w:tc>
          <w:tcPr>
            <w:tcW w:w="1635" w:type="dxa"/>
            <w:tcBorders>
              <w:top w:val="nil"/>
              <w:left w:val="nil"/>
              <w:bottom w:val="nil"/>
              <w:right w:val="nil"/>
            </w:tcBorders>
            <w:shd w:val="clear" w:color="auto" w:fill="FFFFFF" w:themeFill="background1"/>
          </w:tcPr>
          <w:p w14:paraId="62776F30" w14:textId="77777777" w:rsidR="002B65B9" w:rsidRPr="00846A91" w:rsidRDefault="002B65B9" w:rsidP="0003380F">
            <w:pPr>
              <w:spacing w:after="0" w:line="240" w:lineRule="auto"/>
              <w:rPr>
                <w:sz w:val="20"/>
              </w:rPr>
            </w:pPr>
            <w:r w:rsidRPr="00846A91">
              <w:rPr>
                <w:sz w:val="20"/>
              </w:rPr>
              <w:t xml:space="preserve">Warfarin </w:t>
            </w:r>
          </w:p>
        </w:tc>
        <w:tc>
          <w:tcPr>
            <w:tcW w:w="540" w:type="dxa"/>
            <w:tcBorders>
              <w:top w:val="nil"/>
              <w:left w:val="nil"/>
              <w:bottom w:val="nil"/>
              <w:right w:val="nil"/>
            </w:tcBorders>
            <w:shd w:val="clear" w:color="auto" w:fill="FFFFFF" w:themeFill="background1"/>
          </w:tcPr>
          <w:p w14:paraId="1AF16134" w14:textId="77777777" w:rsidR="002B65B9" w:rsidRPr="00846A91" w:rsidRDefault="002B65B9" w:rsidP="0003380F">
            <w:pPr>
              <w:spacing w:after="0" w:line="240" w:lineRule="auto"/>
              <w:jc w:val="center"/>
              <w:rPr>
                <w:sz w:val="20"/>
              </w:rPr>
            </w:pPr>
            <w:r w:rsidRPr="00846A91">
              <w:rPr>
                <w:sz w:val="20"/>
              </w:rPr>
              <w:t>2.1</w:t>
            </w:r>
          </w:p>
        </w:tc>
        <w:tc>
          <w:tcPr>
            <w:tcW w:w="1530" w:type="dxa"/>
            <w:tcBorders>
              <w:top w:val="nil"/>
              <w:left w:val="nil"/>
              <w:bottom w:val="nil"/>
              <w:right w:val="nil"/>
            </w:tcBorders>
            <w:shd w:val="clear" w:color="auto" w:fill="FFFFFF" w:themeFill="background1"/>
          </w:tcPr>
          <w:p w14:paraId="392AB66C" w14:textId="77777777" w:rsidR="002B65B9" w:rsidRPr="00846A91" w:rsidRDefault="002B65B9" w:rsidP="0003380F">
            <w:pPr>
              <w:spacing w:after="0" w:line="240" w:lineRule="auto"/>
              <w:rPr>
                <w:sz w:val="20"/>
              </w:rPr>
            </w:pPr>
            <w:r w:rsidRPr="00846A91">
              <w:rPr>
                <w:sz w:val="20"/>
              </w:rPr>
              <w:t>Digoxin</w:t>
            </w:r>
          </w:p>
        </w:tc>
        <w:tc>
          <w:tcPr>
            <w:tcW w:w="540" w:type="dxa"/>
            <w:tcBorders>
              <w:top w:val="nil"/>
              <w:left w:val="nil"/>
              <w:bottom w:val="nil"/>
              <w:right w:val="nil"/>
            </w:tcBorders>
            <w:shd w:val="clear" w:color="auto" w:fill="FFFFFF" w:themeFill="background1"/>
          </w:tcPr>
          <w:p w14:paraId="36A51F5B" w14:textId="77777777" w:rsidR="002B65B9" w:rsidRPr="00846A91" w:rsidRDefault="002B65B9" w:rsidP="0003380F">
            <w:pPr>
              <w:spacing w:after="0" w:line="240" w:lineRule="auto"/>
              <w:jc w:val="center"/>
              <w:rPr>
                <w:sz w:val="20"/>
              </w:rPr>
            </w:pPr>
            <w:r w:rsidRPr="00846A91">
              <w:rPr>
                <w:sz w:val="20"/>
              </w:rPr>
              <w:t>1.9</w:t>
            </w:r>
          </w:p>
        </w:tc>
      </w:tr>
      <w:tr w:rsidR="002B65B9" w:rsidRPr="00272761" w14:paraId="12D47934" w14:textId="77777777" w:rsidTr="0003380F">
        <w:trPr>
          <w:trHeight w:val="20"/>
        </w:trPr>
        <w:tc>
          <w:tcPr>
            <w:tcW w:w="795" w:type="dxa"/>
            <w:tcBorders>
              <w:top w:val="nil"/>
              <w:left w:val="nil"/>
              <w:bottom w:val="nil"/>
              <w:right w:val="nil"/>
            </w:tcBorders>
            <w:shd w:val="clear" w:color="auto" w:fill="FFFFFF" w:themeFill="background1"/>
            <w:noWrap/>
            <w:hideMark/>
          </w:tcPr>
          <w:p w14:paraId="5331A70D" w14:textId="77777777" w:rsidR="002B65B9" w:rsidRPr="00846A91" w:rsidRDefault="002B65B9" w:rsidP="0003380F">
            <w:pPr>
              <w:spacing w:after="0" w:line="240" w:lineRule="auto"/>
              <w:rPr>
                <w:sz w:val="20"/>
              </w:rPr>
            </w:pPr>
            <w:r w:rsidRPr="00846A91">
              <w:rPr>
                <w:sz w:val="20"/>
              </w:rPr>
              <w:t>16</w:t>
            </w:r>
          </w:p>
        </w:tc>
        <w:tc>
          <w:tcPr>
            <w:tcW w:w="1530" w:type="dxa"/>
            <w:tcBorders>
              <w:top w:val="nil"/>
              <w:left w:val="nil"/>
              <w:bottom w:val="nil"/>
              <w:right w:val="nil"/>
            </w:tcBorders>
            <w:shd w:val="clear" w:color="auto" w:fill="FFFFFF" w:themeFill="background1"/>
            <w:noWrap/>
            <w:hideMark/>
          </w:tcPr>
          <w:p w14:paraId="32E2923D" w14:textId="77777777" w:rsidR="002B65B9" w:rsidRPr="00846A91" w:rsidRDefault="002B65B9" w:rsidP="0003380F">
            <w:pPr>
              <w:spacing w:after="0" w:line="240" w:lineRule="auto"/>
              <w:jc w:val="both"/>
              <w:rPr>
                <w:sz w:val="20"/>
              </w:rPr>
            </w:pPr>
            <w:r w:rsidRPr="00846A91">
              <w:rPr>
                <w:sz w:val="20"/>
              </w:rPr>
              <w:t>Fentanyl</w:t>
            </w:r>
          </w:p>
        </w:tc>
        <w:tc>
          <w:tcPr>
            <w:tcW w:w="630" w:type="dxa"/>
            <w:tcBorders>
              <w:top w:val="nil"/>
              <w:left w:val="nil"/>
              <w:bottom w:val="nil"/>
              <w:right w:val="nil"/>
            </w:tcBorders>
            <w:shd w:val="clear" w:color="auto" w:fill="FFFFFF" w:themeFill="background1"/>
            <w:noWrap/>
            <w:hideMark/>
          </w:tcPr>
          <w:p w14:paraId="3910F2F2" w14:textId="77777777" w:rsidR="002B65B9" w:rsidRPr="00846A91" w:rsidRDefault="002B65B9" w:rsidP="0003380F">
            <w:pPr>
              <w:spacing w:after="0" w:line="240" w:lineRule="auto"/>
              <w:jc w:val="center"/>
              <w:rPr>
                <w:sz w:val="20"/>
              </w:rPr>
            </w:pPr>
            <w:r w:rsidRPr="00846A91">
              <w:rPr>
                <w:sz w:val="20"/>
              </w:rPr>
              <w:t>4.2</w:t>
            </w:r>
          </w:p>
        </w:tc>
        <w:tc>
          <w:tcPr>
            <w:tcW w:w="1530" w:type="dxa"/>
            <w:tcBorders>
              <w:top w:val="nil"/>
              <w:left w:val="nil"/>
              <w:bottom w:val="nil"/>
              <w:right w:val="nil"/>
            </w:tcBorders>
            <w:shd w:val="clear" w:color="auto" w:fill="FFFFFF" w:themeFill="background1"/>
          </w:tcPr>
          <w:p w14:paraId="5A44FE03" w14:textId="77777777" w:rsidR="002B65B9" w:rsidRPr="00846A91" w:rsidRDefault="002B65B9" w:rsidP="0003380F">
            <w:pPr>
              <w:spacing w:after="0" w:line="240" w:lineRule="auto"/>
              <w:rPr>
                <w:sz w:val="20"/>
              </w:rPr>
            </w:pPr>
            <w:r w:rsidRPr="00846A91">
              <w:rPr>
                <w:sz w:val="20"/>
              </w:rPr>
              <w:t xml:space="preserve">Megestrol </w:t>
            </w:r>
          </w:p>
        </w:tc>
        <w:tc>
          <w:tcPr>
            <w:tcW w:w="630" w:type="dxa"/>
            <w:tcBorders>
              <w:top w:val="nil"/>
              <w:left w:val="nil"/>
              <w:bottom w:val="nil"/>
              <w:right w:val="nil"/>
            </w:tcBorders>
            <w:shd w:val="clear" w:color="auto" w:fill="FFFFFF" w:themeFill="background1"/>
          </w:tcPr>
          <w:p w14:paraId="23D19999" w14:textId="77777777" w:rsidR="002B65B9" w:rsidRPr="00846A91" w:rsidRDefault="002B65B9" w:rsidP="0003380F">
            <w:pPr>
              <w:spacing w:after="0" w:line="240" w:lineRule="auto"/>
              <w:jc w:val="center"/>
              <w:rPr>
                <w:sz w:val="20"/>
              </w:rPr>
            </w:pPr>
            <w:r w:rsidRPr="00846A91">
              <w:rPr>
                <w:sz w:val="20"/>
              </w:rPr>
              <w:t>4.2</w:t>
            </w:r>
          </w:p>
        </w:tc>
        <w:tc>
          <w:tcPr>
            <w:tcW w:w="1530" w:type="dxa"/>
            <w:tcBorders>
              <w:top w:val="nil"/>
              <w:left w:val="nil"/>
              <w:bottom w:val="nil"/>
              <w:right w:val="nil"/>
            </w:tcBorders>
            <w:shd w:val="clear" w:color="auto" w:fill="FFFFFF" w:themeFill="background1"/>
          </w:tcPr>
          <w:p w14:paraId="3AFE5AA0" w14:textId="77777777" w:rsidR="002B65B9" w:rsidRPr="00846A91" w:rsidRDefault="002B65B9" w:rsidP="0003380F">
            <w:pPr>
              <w:spacing w:after="0" w:line="240" w:lineRule="auto"/>
              <w:rPr>
                <w:sz w:val="20"/>
              </w:rPr>
            </w:pPr>
            <w:r w:rsidRPr="00846A91">
              <w:rPr>
                <w:sz w:val="20"/>
              </w:rPr>
              <w:t>Metoprolol Tartrate</w:t>
            </w:r>
          </w:p>
        </w:tc>
        <w:tc>
          <w:tcPr>
            <w:tcW w:w="630" w:type="dxa"/>
            <w:tcBorders>
              <w:top w:val="nil"/>
              <w:left w:val="nil"/>
              <w:bottom w:val="nil"/>
              <w:right w:val="nil"/>
            </w:tcBorders>
            <w:shd w:val="clear" w:color="auto" w:fill="FFFFFF" w:themeFill="background1"/>
          </w:tcPr>
          <w:p w14:paraId="4AE77002" w14:textId="77777777" w:rsidR="002B65B9" w:rsidRPr="00846A91" w:rsidRDefault="002B65B9" w:rsidP="0003380F">
            <w:pPr>
              <w:spacing w:after="0" w:line="240" w:lineRule="auto"/>
              <w:jc w:val="center"/>
              <w:rPr>
                <w:sz w:val="20"/>
              </w:rPr>
            </w:pPr>
            <w:r w:rsidRPr="00846A91">
              <w:rPr>
                <w:sz w:val="20"/>
              </w:rPr>
              <w:t>4.2</w:t>
            </w:r>
          </w:p>
        </w:tc>
        <w:tc>
          <w:tcPr>
            <w:tcW w:w="1530" w:type="dxa"/>
            <w:tcBorders>
              <w:top w:val="nil"/>
              <w:left w:val="nil"/>
              <w:bottom w:val="nil"/>
              <w:right w:val="nil"/>
            </w:tcBorders>
            <w:shd w:val="clear" w:color="auto" w:fill="FFFFFF" w:themeFill="background1"/>
          </w:tcPr>
          <w:p w14:paraId="2BC0EC4C" w14:textId="77777777" w:rsidR="002B65B9" w:rsidRPr="00846A91" w:rsidRDefault="002B65B9" w:rsidP="0003380F">
            <w:pPr>
              <w:spacing w:after="0" w:line="240" w:lineRule="auto"/>
              <w:rPr>
                <w:sz w:val="20"/>
              </w:rPr>
            </w:pPr>
            <w:r w:rsidRPr="00846A91">
              <w:rPr>
                <w:sz w:val="20"/>
              </w:rPr>
              <w:t>Ciprofloxacin</w:t>
            </w:r>
          </w:p>
        </w:tc>
        <w:tc>
          <w:tcPr>
            <w:tcW w:w="630" w:type="dxa"/>
            <w:tcBorders>
              <w:top w:val="nil"/>
              <w:left w:val="nil"/>
              <w:bottom w:val="nil"/>
              <w:right w:val="nil"/>
            </w:tcBorders>
            <w:shd w:val="clear" w:color="auto" w:fill="FFFFFF" w:themeFill="background1"/>
          </w:tcPr>
          <w:p w14:paraId="2335E4D8" w14:textId="77777777" w:rsidR="002B65B9" w:rsidRPr="00846A91" w:rsidRDefault="002B65B9" w:rsidP="0003380F">
            <w:pPr>
              <w:spacing w:after="0" w:line="240" w:lineRule="auto"/>
              <w:jc w:val="center"/>
              <w:rPr>
                <w:sz w:val="20"/>
              </w:rPr>
            </w:pPr>
            <w:r w:rsidRPr="00846A91">
              <w:rPr>
                <w:sz w:val="20"/>
              </w:rPr>
              <w:t>4.0</w:t>
            </w:r>
          </w:p>
        </w:tc>
        <w:tc>
          <w:tcPr>
            <w:tcW w:w="1635" w:type="dxa"/>
            <w:tcBorders>
              <w:top w:val="nil"/>
              <w:left w:val="nil"/>
              <w:bottom w:val="nil"/>
              <w:right w:val="nil"/>
            </w:tcBorders>
            <w:shd w:val="clear" w:color="auto" w:fill="FFFFFF" w:themeFill="background1"/>
          </w:tcPr>
          <w:p w14:paraId="65990603" w14:textId="77777777" w:rsidR="002B65B9" w:rsidRPr="00846A91" w:rsidRDefault="002B65B9" w:rsidP="0003380F">
            <w:pPr>
              <w:spacing w:after="0" w:line="240" w:lineRule="auto"/>
              <w:rPr>
                <w:sz w:val="20"/>
              </w:rPr>
            </w:pPr>
            <w:r w:rsidRPr="00846A91">
              <w:rPr>
                <w:sz w:val="20"/>
              </w:rPr>
              <w:t>Clonidine</w:t>
            </w:r>
          </w:p>
        </w:tc>
        <w:tc>
          <w:tcPr>
            <w:tcW w:w="540" w:type="dxa"/>
            <w:tcBorders>
              <w:top w:val="nil"/>
              <w:left w:val="nil"/>
              <w:bottom w:val="nil"/>
              <w:right w:val="nil"/>
            </w:tcBorders>
            <w:shd w:val="clear" w:color="auto" w:fill="FFFFFF" w:themeFill="background1"/>
          </w:tcPr>
          <w:p w14:paraId="3A888F3C" w14:textId="77777777" w:rsidR="002B65B9" w:rsidRPr="00846A91" w:rsidRDefault="002B65B9" w:rsidP="0003380F">
            <w:pPr>
              <w:spacing w:after="0" w:line="240" w:lineRule="auto"/>
              <w:jc w:val="center"/>
              <w:rPr>
                <w:sz w:val="20"/>
              </w:rPr>
            </w:pPr>
            <w:r w:rsidRPr="00846A91">
              <w:rPr>
                <w:sz w:val="20"/>
              </w:rPr>
              <w:t>2.0</w:t>
            </w:r>
          </w:p>
        </w:tc>
        <w:tc>
          <w:tcPr>
            <w:tcW w:w="1530" w:type="dxa"/>
            <w:tcBorders>
              <w:top w:val="nil"/>
              <w:left w:val="nil"/>
              <w:bottom w:val="nil"/>
              <w:right w:val="nil"/>
            </w:tcBorders>
            <w:shd w:val="clear" w:color="auto" w:fill="FFFFFF" w:themeFill="background1"/>
          </w:tcPr>
          <w:p w14:paraId="23EBCB16" w14:textId="77777777" w:rsidR="002B65B9" w:rsidRPr="00846A91" w:rsidRDefault="002B65B9" w:rsidP="0003380F">
            <w:pPr>
              <w:spacing w:after="0" w:line="240" w:lineRule="auto"/>
              <w:rPr>
                <w:sz w:val="20"/>
              </w:rPr>
            </w:pPr>
            <w:r w:rsidRPr="00846A91">
              <w:rPr>
                <w:sz w:val="20"/>
              </w:rPr>
              <w:t xml:space="preserve">Albuterol </w:t>
            </w:r>
          </w:p>
        </w:tc>
        <w:tc>
          <w:tcPr>
            <w:tcW w:w="540" w:type="dxa"/>
            <w:tcBorders>
              <w:top w:val="nil"/>
              <w:left w:val="nil"/>
              <w:bottom w:val="nil"/>
              <w:right w:val="nil"/>
            </w:tcBorders>
            <w:shd w:val="clear" w:color="auto" w:fill="FFFFFF" w:themeFill="background1"/>
          </w:tcPr>
          <w:p w14:paraId="27DAE01D" w14:textId="77777777" w:rsidR="002B65B9" w:rsidRPr="00846A91" w:rsidRDefault="002B65B9" w:rsidP="0003380F">
            <w:pPr>
              <w:spacing w:after="0" w:line="240" w:lineRule="auto"/>
              <w:jc w:val="center"/>
              <w:rPr>
                <w:sz w:val="20"/>
              </w:rPr>
            </w:pPr>
            <w:r w:rsidRPr="00846A91">
              <w:rPr>
                <w:sz w:val="20"/>
              </w:rPr>
              <w:t>1.8</w:t>
            </w:r>
          </w:p>
        </w:tc>
      </w:tr>
      <w:tr w:rsidR="002B65B9" w:rsidRPr="00272761" w14:paraId="53BA9ADE" w14:textId="77777777" w:rsidTr="0003380F">
        <w:trPr>
          <w:trHeight w:val="20"/>
        </w:trPr>
        <w:tc>
          <w:tcPr>
            <w:tcW w:w="795" w:type="dxa"/>
            <w:tcBorders>
              <w:top w:val="nil"/>
              <w:left w:val="nil"/>
              <w:bottom w:val="single" w:sz="4" w:space="0" w:color="auto"/>
              <w:right w:val="nil"/>
            </w:tcBorders>
            <w:shd w:val="clear" w:color="auto" w:fill="FFFFFF" w:themeFill="background1"/>
            <w:noWrap/>
            <w:hideMark/>
          </w:tcPr>
          <w:p w14:paraId="5A4D47EF" w14:textId="77777777" w:rsidR="002B65B9" w:rsidRDefault="002B65B9" w:rsidP="0003380F">
            <w:pPr>
              <w:spacing w:after="0" w:line="240" w:lineRule="auto"/>
              <w:rPr>
                <w:sz w:val="20"/>
              </w:rPr>
            </w:pPr>
            <w:r w:rsidRPr="00846A91">
              <w:rPr>
                <w:sz w:val="20"/>
              </w:rPr>
              <w:t>17</w:t>
            </w:r>
          </w:p>
          <w:p w14:paraId="548A55BC" w14:textId="77777777" w:rsidR="009C6575" w:rsidRDefault="009C6575" w:rsidP="0003380F">
            <w:pPr>
              <w:spacing w:after="0" w:line="240" w:lineRule="auto"/>
              <w:rPr>
                <w:sz w:val="20"/>
              </w:rPr>
            </w:pPr>
          </w:p>
          <w:p w14:paraId="7C3A69FF" w14:textId="240958CF" w:rsidR="0003380F" w:rsidRPr="00846A91" w:rsidRDefault="0003380F" w:rsidP="0003380F">
            <w:pPr>
              <w:spacing w:after="0" w:line="240" w:lineRule="auto"/>
              <w:rPr>
                <w:sz w:val="20"/>
              </w:rPr>
            </w:pPr>
          </w:p>
        </w:tc>
        <w:tc>
          <w:tcPr>
            <w:tcW w:w="1530" w:type="dxa"/>
            <w:tcBorders>
              <w:top w:val="nil"/>
              <w:left w:val="nil"/>
              <w:bottom w:val="single" w:sz="4" w:space="0" w:color="auto"/>
              <w:right w:val="nil"/>
            </w:tcBorders>
            <w:shd w:val="clear" w:color="auto" w:fill="FFFFFF" w:themeFill="background1"/>
            <w:noWrap/>
            <w:hideMark/>
          </w:tcPr>
          <w:p w14:paraId="68015EFC" w14:textId="77777777" w:rsidR="002B65B9" w:rsidRPr="00846A91" w:rsidRDefault="002B65B9" w:rsidP="0003380F">
            <w:pPr>
              <w:spacing w:after="0" w:line="240" w:lineRule="auto"/>
              <w:jc w:val="both"/>
              <w:rPr>
                <w:sz w:val="20"/>
              </w:rPr>
            </w:pPr>
            <w:r w:rsidRPr="00846A91">
              <w:rPr>
                <w:sz w:val="20"/>
              </w:rPr>
              <w:t xml:space="preserve">Quetiapine </w:t>
            </w:r>
          </w:p>
        </w:tc>
        <w:tc>
          <w:tcPr>
            <w:tcW w:w="630" w:type="dxa"/>
            <w:tcBorders>
              <w:top w:val="nil"/>
              <w:left w:val="nil"/>
              <w:bottom w:val="single" w:sz="4" w:space="0" w:color="auto"/>
              <w:right w:val="nil"/>
            </w:tcBorders>
            <w:shd w:val="clear" w:color="auto" w:fill="FFFFFF" w:themeFill="background1"/>
            <w:noWrap/>
            <w:hideMark/>
          </w:tcPr>
          <w:p w14:paraId="17A5D36C" w14:textId="77777777" w:rsidR="002B65B9" w:rsidRPr="00846A91" w:rsidRDefault="002B65B9" w:rsidP="0003380F">
            <w:pPr>
              <w:spacing w:after="0" w:line="240" w:lineRule="auto"/>
              <w:jc w:val="center"/>
              <w:rPr>
                <w:sz w:val="20"/>
              </w:rPr>
            </w:pPr>
            <w:r w:rsidRPr="00846A91">
              <w:rPr>
                <w:sz w:val="20"/>
              </w:rPr>
              <w:t>4.1</w:t>
            </w:r>
          </w:p>
        </w:tc>
        <w:tc>
          <w:tcPr>
            <w:tcW w:w="1530" w:type="dxa"/>
            <w:tcBorders>
              <w:top w:val="nil"/>
              <w:left w:val="nil"/>
              <w:bottom w:val="single" w:sz="4" w:space="0" w:color="auto"/>
              <w:right w:val="nil"/>
            </w:tcBorders>
            <w:shd w:val="clear" w:color="auto" w:fill="FFFFFF" w:themeFill="background1"/>
          </w:tcPr>
          <w:p w14:paraId="4FACA2F6" w14:textId="77777777" w:rsidR="002B65B9" w:rsidRPr="00846A91" w:rsidRDefault="002B65B9" w:rsidP="0003380F">
            <w:pPr>
              <w:spacing w:after="0" w:line="240" w:lineRule="auto"/>
              <w:rPr>
                <w:sz w:val="20"/>
              </w:rPr>
            </w:pPr>
            <w:r w:rsidRPr="00846A91">
              <w:rPr>
                <w:sz w:val="20"/>
              </w:rPr>
              <w:t>Mirtazapine</w:t>
            </w:r>
          </w:p>
        </w:tc>
        <w:tc>
          <w:tcPr>
            <w:tcW w:w="630" w:type="dxa"/>
            <w:tcBorders>
              <w:top w:val="nil"/>
              <w:left w:val="nil"/>
              <w:bottom w:val="single" w:sz="4" w:space="0" w:color="auto"/>
              <w:right w:val="nil"/>
            </w:tcBorders>
            <w:shd w:val="clear" w:color="auto" w:fill="FFFFFF" w:themeFill="background1"/>
          </w:tcPr>
          <w:p w14:paraId="2CF49135" w14:textId="77777777" w:rsidR="002B65B9" w:rsidRPr="00846A91" w:rsidRDefault="002B65B9" w:rsidP="0003380F">
            <w:pPr>
              <w:spacing w:after="0" w:line="240" w:lineRule="auto"/>
              <w:jc w:val="center"/>
              <w:rPr>
                <w:sz w:val="20"/>
              </w:rPr>
            </w:pPr>
            <w:r w:rsidRPr="00846A91">
              <w:rPr>
                <w:sz w:val="20"/>
              </w:rPr>
              <w:t>4.2</w:t>
            </w:r>
          </w:p>
        </w:tc>
        <w:tc>
          <w:tcPr>
            <w:tcW w:w="1530" w:type="dxa"/>
            <w:tcBorders>
              <w:top w:val="nil"/>
              <w:left w:val="nil"/>
              <w:bottom w:val="single" w:sz="4" w:space="0" w:color="auto"/>
              <w:right w:val="nil"/>
            </w:tcBorders>
            <w:shd w:val="clear" w:color="auto" w:fill="FFFFFF" w:themeFill="background1"/>
          </w:tcPr>
          <w:p w14:paraId="3D736FED" w14:textId="77777777" w:rsidR="002B65B9" w:rsidRPr="00846A91" w:rsidRDefault="002B65B9" w:rsidP="0003380F">
            <w:pPr>
              <w:spacing w:after="0" w:line="240" w:lineRule="auto"/>
              <w:rPr>
                <w:sz w:val="20"/>
              </w:rPr>
            </w:pPr>
            <w:r w:rsidRPr="00846A91">
              <w:rPr>
                <w:sz w:val="20"/>
              </w:rPr>
              <w:t>Insulin</w:t>
            </w:r>
          </w:p>
        </w:tc>
        <w:tc>
          <w:tcPr>
            <w:tcW w:w="630" w:type="dxa"/>
            <w:tcBorders>
              <w:top w:val="nil"/>
              <w:left w:val="nil"/>
              <w:bottom w:val="single" w:sz="4" w:space="0" w:color="auto"/>
              <w:right w:val="nil"/>
            </w:tcBorders>
            <w:shd w:val="clear" w:color="auto" w:fill="FFFFFF" w:themeFill="background1"/>
          </w:tcPr>
          <w:p w14:paraId="1099B07E" w14:textId="77777777" w:rsidR="002B65B9" w:rsidRPr="00846A91" w:rsidRDefault="002B65B9" w:rsidP="0003380F">
            <w:pPr>
              <w:spacing w:after="0" w:line="240" w:lineRule="auto"/>
              <w:jc w:val="center"/>
              <w:rPr>
                <w:sz w:val="20"/>
              </w:rPr>
            </w:pPr>
            <w:r w:rsidRPr="00846A91">
              <w:rPr>
                <w:sz w:val="20"/>
              </w:rPr>
              <w:t>4.0</w:t>
            </w:r>
          </w:p>
        </w:tc>
        <w:tc>
          <w:tcPr>
            <w:tcW w:w="1530" w:type="dxa"/>
            <w:tcBorders>
              <w:top w:val="nil"/>
              <w:left w:val="nil"/>
              <w:bottom w:val="single" w:sz="4" w:space="0" w:color="auto"/>
              <w:right w:val="nil"/>
            </w:tcBorders>
            <w:shd w:val="clear" w:color="auto" w:fill="FFFFFF" w:themeFill="background1"/>
          </w:tcPr>
          <w:p w14:paraId="731479A2" w14:textId="77777777" w:rsidR="002B65B9" w:rsidRPr="00846A91" w:rsidRDefault="002B65B9" w:rsidP="0003380F">
            <w:pPr>
              <w:spacing w:after="0" w:line="240" w:lineRule="auto"/>
              <w:rPr>
                <w:sz w:val="20"/>
              </w:rPr>
            </w:pPr>
            <w:r w:rsidRPr="00846A91">
              <w:rPr>
                <w:sz w:val="20"/>
              </w:rPr>
              <w:t xml:space="preserve">Pantoprazole </w:t>
            </w:r>
          </w:p>
        </w:tc>
        <w:tc>
          <w:tcPr>
            <w:tcW w:w="630" w:type="dxa"/>
            <w:tcBorders>
              <w:top w:val="nil"/>
              <w:left w:val="nil"/>
              <w:bottom w:val="single" w:sz="4" w:space="0" w:color="auto"/>
              <w:right w:val="nil"/>
            </w:tcBorders>
            <w:shd w:val="clear" w:color="auto" w:fill="FFFFFF" w:themeFill="background1"/>
          </w:tcPr>
          <w:p w14:paraId="738B2DF7" w14:textId="77777777" w:rsidR="002B65B9" w:rsidRPr="00846A91" w:rsidRDefault="002B65B9" w:rsidP="0003380F">
            <w:pPr>
              <w:spacing w:after="0" w:line="240" w:lineRule="auto"/>
              <w:jc w:val="center"/>
              <w:rPr>
                <w:sz w:val="20"/>
              </w:rPr>
            </w:pPr>
            <w:r w:rsidRPr="00846A91">
              <w:rPr>
                <w:sz w:val="20"/>
              </w:rPr>
              <w:t>3.7</w:t>
            </w:r>
          </w:p>
        </w:tc>
        <w:tc>
          <w:tcPr>
            <w:tcW w:w="1635" w:type="dxa"/>
            <w:tcBorders>
              <w:top w:val="nil"/>
              <w:left w:val="nil"/>
              <w:bottom w:val="single" w:sz="4" w:space="0" w:color="auto"/>
              <w:right w:val="nil"/>
            </w:tcBorders>
            <w:shd w:val="clear" w:color="auto" w:fill="FFFFFF" w:themeFill="background1"/>
          </w:tcPr>
          <w:p w14:paraId="3D6F4F25" w14:textId="77777777" w:rsidR="002B65B9" w:rsidRPr="00846A91" w:rsidRDefault="002B65B9" w:rsidP="0003380F">
            <w:pPr>
              <w:spacing w:after="0" w:line="240" w:lineRule="auto"/>
              <w:rPr>
                <w:sz w:val="20"/>
              </w:rPr>
            </w:pPr>
            <w:r w:rsidRPr="00846A91">
              <w:rPr>
                <w:sz w:val="20"/>
              </w:rPr>
              <w:t>Mirtazapine</w:t>
            </w:r>
          </w:p>
        </w:tc>
        <w:tc>
          <w:tcPr>
            <w:tcW w:w="540" w:type="dxa"/>
            <w:tcBorders>
              <w:top w:val="nil"/>
              <w:left w:val="nil"/>
              <w:bottom w:val="single" w:sz="4" w:space="0" w:color="auto"/>
              <w:right w:val="nil"/>
            </w:tcBorders>
            <w:shd w:val="clear" w:color="auto" w:fill="FFFFFF" w:themeFill="background1"/>
          </w:tcPr>
          <w:p w14:paraId="723C265D" w14:textId="77777777" w:rsidR="002B65B9" w:rsidRPr="00846A91" w:rsidRDefault="002B65B9" w:rsidP="0003380F">
            <w:pPr>
              <w:spacing w:after="0" w:line="240" w:lineRule="auto"/>
              <w:jc w:val="center"/>
              <w:rPr>
                <w:sz w:val="20"/>
              </w:rPr>
            </w:pPr>
            <w:r w:rsidRPr="00846A91">
              <w:rPr>
                <w:sz w:val="20"/>
              </w:rPr>
              <w:t>1.9</w:t>
            </w:r>
          </w:p>
        </w:tc>
        <w:tc>
          <w:tcPr>
            <w:tcW w:w="1530" w:type="dxa"/>
            <w:tcBorders>
              <w:top w:val="nil"/>
              <w:left w:val="nil"/>
              <w:bottom w:val="single" w:sz="4" w:space="0" w:color="auto"/>
              <w:right w:val="nil"/>
            </w:tcBorders>
            <w:shd w:val="clear" w:color="auto" w:fill="FFFFFF" w:themeFill="background1"/>
          </w:tcPr>
          <w:p w14:paraId="0898BB85" w14:textId="77777777" w:rsidR="002B65B9" w:rsidRPr="00846A91" w:rsidRDefault="002B65B9" w:rsidP="0003380F">
            <w:pPr>
              <w:spacing w:after="0" w:line="240" w:lineRule="auto"/>
              <w:rPr>
                <w:sz w:val="20"/>
              </w:rPr>
            </w:pPr>
            <w:r w:rsidRPr="00846A91">
              <w:rPr>
                <w:sz w:val="20"/>
              </w:rPr>
              <w:t>Fentanyl</w:t>
            </w:r>
          </w:p>
        </w:tc>
        <w:tc>
          <w:tcPr>
            <w:tcW w:w="540" w:type="dxa"/>
            <w:tcBorders>
              <w:top w:val="nil"/>
              <w:left w:val="nil"/>
              <w:bottom w:val="single" w:sz="4" w:space="0" w:color="auto"/>
              <w:right w:val="nil"/>
            </w:tcBorders>
            <w:shd w:val="clear" w:color="auto" w:fill="FFFFFF" w:themeFill="background1"/>
          </w:tcPr>
          <w:p w14:paraId="665E88FF" w14:textId="77777777" w:rsidR="002B65B9" w:rsidRPr="00846A91" w:rsidRDefault="002B65B9" w:rsidP="0003380F">
            <w:pPr>
              <w:spacing w:after="0" w:line="240" w:lineRule="auto"/>
              <w:jc w:val="center"/>
              <w:rPr>
                <w:sz w:val="20"/>
              </w:rPr>
            </w:pPr>
            <w:r w:rsidRPr="00846A91">
              <w:rPr>
                <w:sz w:val="20"/>
              </w:rPr>
              <w:t>1.8</w:t>
            </w:r>
          </w:p>
        </w:tc>
      </w:tr>
    </w:tbl>
    <w:p w14:paraId="2A65FB7E" w14:textId="73470D56" w:rsidR="00EC41B9" w:rsidRDefault="00C35635" w:rsidP="00EC41B9">
      <w:pPr>
        <w:spacing w:after="0" w:line="240" w:lineRule="auto"/>
        <w:jc w:val="center"/>
        <w:rPr>
          <w:rFonts w:cs="Arial"/>
          <w:b/>
          <w:szCs w:val="22"/>
        </w:rPr>
      </w:pPr>
      <w:r>
        <w:rPr>
          <w:rFonts w:cs="Arial"/>
          <w:b/>
          <w:szCs w:val="22"/>
        </w:rPr>
        <w:lastRenderedPageBreak/>
        <w:t>TABLE VI</w:t>
      </w:r>
      <w:r w:rsidR="00EC41B9" w:rsidRPr="002B65B9">
        <w:rPr>
          <w:rFonts w:cs="Arial"/>
          <w:b/>
          <w:szCs w:val="22"/>
        </w:rPr>
        <w:t>I</w:t>
      </w:r>
      <w:r w:rsidR="00EC41B9">
        <w:rPr>
          <w:rFonts w:cs="Arial"/>
          <w:b/>
          <w:szCs w:val="22"/>
        </w:rPr>
        <w:t xml:space="preserve"> (continued)</w:t>
      </w:r>
    </w:p>
    <w:p w14:paraId="256DE8AB" w14:textId="77777777" w:rsidR="00EC41B9" w:rsidRPr="002B65B9" w:rsidRDefault="00EC41B9" w:rsidP="00EC41B9">
      <w:pPr>
        <w:spacing w:after="0" w:line="240" w:lineRule="auto"/>
        <w:jc w:val="center"/>
        <w:rPr>
          <w:rFonts w:cs="Arial"/>
          <w:b/>
          <w:szCs w:val="22"/>
        </w:rPr>
      </w:pPr>
    </w:p>
    <w:p w14:paraId="7354ADB8" w14:textId="4853E9FC" w:rsidR="0003380F" w:rsidRPr="00EC41B9" w:rsidRDefault="00EC41B9" w:rsidP="00EC41B9">
      <w:pPr>
        <w:tabs>
          <w:tab w:val="left" w:pos="90"/>
        </w:tabs>
        <w:spacing w:after="0" w:line="240" w:lineRule="auto"/>
        <w:jc w:val="center"/>
        <w:rPr>
          <w:rFonts w:cs="Arial"/>
          <w:caps/>
          <w:szCs w:val="22"/>
        </w:rPr>
      </w:pPr>
      <w:r w:rsidRPr="00562236">
        <w:rPr>
          <w:caps/>
          <w:szCs w:val="22"/>
        </w:rPr>
        <w:t>Top 25 Medications Received</w:t>
      </w:r>
      <w:r>
        <w:rPr>
          <w:caps/>
          <w:szCs w:val="22"/>
        </w:rPr>
        <w:t xml:space="preserve"> THROUGH MEDICARE PART D</w:t>
      </w:r>
      <w:r w:rsidRPr="00562236">
        <w:rPr>
          <w:caps/>
          <w:szCs w:val="22"/>
        </w:rPr>
        <w:t xml:space="preserve"> After Hospice Admission By Non-Cancer </w:t>
      </w:r>
      <w:r>
        <w:rPr>
          <w:caps/>
          <w:szCs w:val="22"/>
        </w:rPr>
        <w:t>HOSPICE</w:t>
      </w:r>
      <w:r w:rsidRPr="00562236">
        <w:rPr>
          <w:caps/>
          <w:szCs w:val="22"/>
        </w:rPr>
        <w:t xml:space="preserve"> Admission Diagnosis</w:t>
      </w:r>
    </w:p>
    <w:tbl>
      <w:tblPr>
        <w:tblpPr w:leftFromText="180" w:rightFromText="180" w:vertAnchor="text" w:tblpY="1"/>
        <w:tblOverlap w:val="never"/>
        <w:tblW w:w="13680"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5"/>
        <w:gridCol w:w="1530"/>
        <w:gridCol w:w="630"/>
        <w:gridCol w:w="1530"/>
        <w:gridCol w:w="630"/>
        <w:gridCol w:w="1530"/>
        <w:gridCol w:w="630"/>
        <w:gridCol w:w="1530"/>
        <w:gridCol w:w="630"/>
        <w:gridCol w:w="1635"/>
        <w:gridCol w:w="540"/>
        <w:gridCol w:w="1530"/>
        <w:gridCol w:w="540"/>
      </w:tblGrid>
      <w:tr w:rsidR="009C6575" w:rsidRPr="00272761" w14:paraId="493DD145" w14:textId="77777777" w:rsidTr="0003380F">
        <w:trPr>
          <w:trHeight w:val="20"/>
        </w:trPr>
        <w:tc>
          <w:tcPr>
            <w:tcW w:w="795" w:type="dxa"/>
            <w:tcBorders>
              <w:top w:val="single" w:sz="4" w:space="0" w:color="auto"/>
              <w:left w:val="nil"/>
              <w:bottom w:val="nil"/>
              <w:right w:val="nil"/>
            </w:tcBorders>
            <w:shd w:val="clear" w:color="auto" w:fill="FFFFFF" w:themeFill="background1"/>
            <w:noWrap/>
            <w:vAlign w:val="center"/>
          </w:tcPr>
          <w:p w14:paraId="09F3E4E3" w14:textId="77777777" w:rsidR="009C6575" w:rsidRPr="00846A91" w:rsidRDefault="009C6575" w:rsidP="0003380F">
            <w:pPr>
              <w:spacing w:after="0" w:line="240" w:lineRule="auto"/>
              <w:jc w:val="center"/>
              <w:rPr>
                <w:sz w:val="20"/>
              </w:rPr>
            </w:pPr>
          </w:p>
        </w:tc>
        <w:tc>
          <w:tcPr>
            <w:tcW w:w="1530" w:type="dxa"/>
            <w:tcBorders>
              <w:top w:val="single" w:sz="4" w:space="0" w:color="auto"/>
              <w:left w:val="nil"/>
              <w:bottom w:val="nil"/>
              <w:right w:val="nil"/>
            </w:tcBorders>
            <w:shd w:val="clear" w:color="auto" w:fill="FFFFFF" w:themeFill="background1"/>
            <w:noWrap/>
            <w:vAlign w:val="center"/>
          </w:tcPr>
          <w:p w14:paraId="6CA08F58" w14:textId="50912904" w:rsidR="009C6575" w:rsidRPr="00846A91" w:rsidRDefault="009C6575" w:rsidP="0003380F">
            <w:pPr>
              <w:spacing w:after="0" w:line="240" w:lineRule="auto"/>
              <w:jc w:val="center"/>
              <w:rPr>
                <w:sz w:val="20"/>
              </w:rPr>
            </w:pPr>
            <w:r w:rsidRPr="00EE6144">
              <w:rPr>
                <w:b/>
                <w:bCs/>
                <w:sz w:val="20"/>
              </w:rPr>
              <w:t>Debility/AFT</w:t>
            </w:r>
          </w:p>
        </w:tc>
        <w:tc>
          <w:tcPr>
            <w:tcW w:w="630" w:type="dxa"/>
            <w:tcBorders>
              <w:top w:val="single" w:sz="4" w:space="0" w:color="auto"/>
              <w:left w:val="nil"/>
              <w:bottom w:val="nil"/>
              <w:right w:val="nil"/>
            </w:tcBorders>
            <w:shd w:val="clear" w:color="auto" w:fill="FFFFFF" w:themeFill="background1"/>
            <w:noWrap/>
            <w:vAlign w:val="center"/>
          </w:tcPr>
          <w:p w14:paraId="66A82158" w14:textId="77777777" w:rsidR="009C6575" w:rsidRPr="00846A91" w:rsidRDefault="009C6575" w:rsidP="0003380F">
            <w:pPr>
              <w:spacing w:after="0" w:line="240" w:lineRule="auto"/>
              <w:jc w:val="center"/>
              <w:rPr>
                <w:sz w:val="20"/>
              </w:rPr>
            </w:pPr>
          </w:p>
        </w:tc>
        <w:tc>
          <w:tcPr>
            <w:tcW w:w="1530" w:type="dxa"/>
            <w:tcBorders>
              <w:top w:val="single" w:sz="4" w:space="0" w:color="auto"/>
              <w:left w:val="nil"/>
              <w:bottom w:val="nil"/>
              <w:right w:val="nil"/>
            </w:tcBorders>
            <w:shd w:val="clear" w:color="auto" w:fill="FFFFFF" w:themeFill="background1"/>
            <w:vAlign w:val="center"/>
          </w:tcPr>
          <w:p w14:paraId="5B140FF3" w14:textId="6BDF6015" w:rsidR="009C6575" w:rsidRPr="00846A91" w:rsidRDefault="009C6575" w:rsidP="0003380F">
            <w:pPr>
              <w:spacing w:after="0" w:line="240" w:lineRule="auto"/>
              <w:jc w:val="center"/>
              <w:rPr>
                <w:sz w:val="20"/>
              </w:rPr>
            </w:pPr>
            <w:r w:rsidRPr="00EE6144">
              <w:rPr>
                <w:b/>
                <w:bCs/>
                <w:sz w:val="20"/>
              </w:rPr>
              <w:t>Dementia</w:t>
            </w:r>
          </w:p>
        </w:tc>
        <w:tc>
          <w:tcPr>
            <w:tcW w:w="630" w:type="dxa"/>
            <w:tcBorders>
              <w:top w:val="single" w:sz="4" w:space="0" w:color="auto"/>
              <w:left w:val="nil"/>
              <w:bottom w:val="nil"/>
              <w:right w:val="nil"/>
            </w:tcBorders>
            <w:shd w:val="clear" w:color="auto" w:fill="FFFFFF" w:themeFill="background1"/>
            <w:vAlign w:val="center"/>
          </w:tcPr>
          <w:p w14:paraId="2BB4B518" w14:textId="77777777" w:rsidR="009C6575" w:rsidRPr="00846A91" w:rsidRDefault="009C6575" w:rsidP="0003380F">
            <w:pPr>
              <w:spacing w:after="0" w:line="240" w:lineRule="auto"/>
              <w:jc w:val="center"/>
              <w:rPr>
                <w:sz w:val="20"/>
              </w:rPr>
            </w:pPr>
          </w:p>
        </w:tc>
        <w:tc>
          <w:tcPr>
            <w:tcW w:w="1530" w:type="dxa"/>
            <w:tcBorders>
              <w:top w:val="single" w:sz="4" w:space="0" w:color="auto"/>
              <w:left w:val="nil"/>
              <w:bottom w:val="nil"/>
              <w:right w:val="nil"/>
            </w:tcBorders>
            <w:shd w:val="clear" w:color="auto" w:fill="FFFFFF" w:themeFill="background1"/>
            <w:vAlign w:val="center"/>
          </w:tcPr>
          <w:p w14:paraId="4E942F10" w14:textId="7375F977" w:rsidR="009C6575" w:rsidRPr="00846A91" w:rsidRDefault="009C6575" w:rsidP="0003380F">
            <w:pPr>
              <w:spacing w:after="0" w:line="240" w:lineRule="auto"/>
              <w:jc w:val="center"/>
              <w:rPr>
                <w:sz w:val="20"/>
              </w:rPr>
            </w:pPr>
            <w:r w:rsidRPr="00EE6144">
              <w:rPr>
                <w:b/>
                <w:bCs/>
                <w:sz w:val="20"/>
              </w:rPr>
              <w:t>Lung Disease</w:t>
            </w:r>
          </w:p>
        </w:tc>
        <w:tc>
          <w:tcPr>
            <w:tcW w:w="630" w:type="dxa"/>
            <w:tcBorders>
              <w:top w:val="single" w:sz="4" w:space="0" w:color="auto"/>
              <w:left w:val="nil"/>
              <w:bottom w:val="nil"/>
              <w:right w:val="nil"/>
            </w:tcBorders>
            <w:shd w:val="clear" w:color="auto" w:fill="FFFFFF" w:themeFill="background1"/>
            <w:vAlign w:val="bottom"/>
          </w:tcPr>
          <w:p w14:paraId="25DE4E62" w14:textId="77777777" w:rsidR="009C6575" w:rsidRPr="00846A91" w:rsidRDefault="009C6575" w:rsidP="0003380F">
            <w:pPr>
              <w:spacing w:after="0" w:line="240" w:lineRule="auto"/>
              <w:jc w:val="center"/>
              <w:rPr>
                <w:sz w:val="20"/>
              </w:rPr>
            </w:pPr>
          </w:p>
        </w:tc>
        <w:tc>
          <w:tcPr>
            <w:tcW w:w="1530" w:type="dxa"/>
            <w:tcBorders>
              <w:top w:val="single" w:sz="4" w:space="0" w:color="auto"/>
              <w:left w:val="nil"/>
              <w:bottom w:val="nil"/>
              <w:right w:val="nil"/>
            </w:tcBorders>
            <w:shd w:val="clear" w:color="auto" w:fill="FFFFFF" w:themeFill="background1"/>
            <w:vAlign w:val="bottom"/>
          </w:tcPr>
          <w:p w14:paraId="5C71C9B6" w14:textId="0FF0438B" w:rsidR="009C6575" w:rsidRPr="00846A91" w:rsidRDefault="009C6575" w:rsidP="0003380F">
            <w:pPr>
              <w:spacing w:after="0" w:line="240" w:lineRule="auto"/>
              <w:jc w:val="center"/>
              <w:rPr>
                <w:sz w:val="20"/>
              </w:rPr>
            </w:pPr>
            <w:r w:rsidRPr="00CB03B8">
              <w:rPr>
                <w:b/>
                <w:bCs/>
                <w:sz w:val="20"/>
              </w:rPr>
              <w:t>Heart Disease</w:t>
            </w:r>
          </w:p>
        </w:tc>
        <w:tc>
          <w:tcPr>
            <w:tcW w:w="630" w:type="dxa"/>
            <w:tcBorders>
              <w:top w:val="single" w:sz="4" w:space="0" w:color="auto"/>
              <w:left w:val="nil"/>
              <w:bottom w:val="nil"/>
              <w:right w:val="nil"/>
            </w:tcBorders>
            <w:shd w:val="clear" w:color="auto" w:fill="FFFFFF" w:themeFill="background1"/>
            <w:vAlign w:val="bottom"/>
          </w:tcPr>
          <w:p w14:paraId="1454293B" w14:textId="77777777" w:rsidR="009C6575" w:rsidRPr="00846A91" w:rsidRDefault="009C6575" w:rsidP="0003380F">
            <w:pPr>
              <w:spacing w:after="0" w:line="240" w:lineRule="auto"/>
              <w:jc w:val="center"/>
              <w:rPr>
                <w:sz w:val="20"/>
              </w:rPr>
            </w:pPr>
          </w:p>
        </w:tc>
        <w:tc>
          <w:tcPr>
            <w:tcW w:w="1635" w:type="dxa"/>
            <w:tcBorders>
              <w:top w:val="single" w:sz="4" w:space="0" w:color="auto"/>
              <w:left w:val="nil"/>
              <w:bottom w:val="nil"/>
              <w:right w:val="nil"/>
            </w:tcBorders>
            <w:shd w:val="clear" w:color="auto" w:fill="FFFFFF" w:themeFill="background1"/>
            <w:vAlign w:val="bottom"/>
          </w:tcPr>
          <w:p w14:paraId="7BBE754D" w14:textId="0F5BE1F9" w:rsidR="009C6575" w:rsidRPr="00846A91" w:rsidRDefault="009C6575" w:rsidP="0003380F">
            <w:pPr>
              <w:spacing w:after="0" w:line="240" w:lineRule="auto"/>
              <w:jc w:val="center"/>
              <w:rPr>
                <w:sz w:val="20"/>
              </w:rPr>
            </w:pPr>
            <w:r w:rsidRPr="00CB03B8">
              <w:rPr>
                <w:b/>
                <w:bCs/>
                <w:sz w:val="20"/>
              </w:rPr>
              <w:t>Ischemic Stroke</w:t>
            </w:r>
          </w:p>
        </w:tc>
        <w:tc>
          <w:tcPr>
            <w:tcW w:w="540" w:type="dxa"/>
            <w:tcBorders>
              <w:top w:val="single" w:sz="4" w:space="0" w:color="auto"/>
              <w:left w:val="nil"/>
              <w:bottom w:val="nil"/>
              <w:right w:val="nil"/>
            </w:tcBorders>
            <w:shd w:val="clear" w:color="auto" w:fill="FFFFFF" w:themeFill="background1"/>
            <w:vAlign w:val="bottom"/>
          </w:tcPr>
          <w:p w14:paraId="54A70601" w14:textId="77777777" w:rsidR="009C6575" w:rsidRPr="00846A91" w:rsidRDefault="009C6575" w:rsidP="0003380F">
            <w:pPr>
              <w:spacing w:after="0" w:line="240" w:lineRule="auto"/>
              <w:jc w:val="center"/>
              <w:rPr>
                <w:sz w:val="20"/>
              </w:rPr>
            </w:pPr>
          </w:p>
        </w:tc>
        <w:tc>
          <w:tcPr>
            <w:tcW w:w="1530" w:type="dxa"/>
            <w:tcBorders>
              <w:top w:val="single" w:sz="4" w:space="0" w:color="auto"/>
              <w:left w:val="nil"/>
              <w:bottom w:val="nil"/>
              <w:right w:val="nil"/>
            </w:tcBorders>
            <w:shd w:val="clear" w:color="auto" w:fill="FFFFFF" w:themeFill="background1"/>
            <w:vAlign w:val="bottom"/>
          </w:tcPr>
          <w:p w14:paraId="269E3818" w14:textId="52F8C2F4" w:rsidR="009C6575" w:rsidRPr="00846A91" w:rsidRDefault="009C6575" w:rsidP="0003380F">
            <w:pPr>
              <w:spacing w:after="0" w:line="240" w:lineRule="auto"/>
              <w:jc w:val="center"/>
              <w:rPr>
                <w:sz w:val="20"/>
              </w:rPr>
            </w:pPr>
            <w:r w:rsidRPr="00CB03B8">
              <w:rPr>
                <w:b/>
                <w:bCs/>
                <w:sz w:val="20"/>
              </w:rPr>
              <w:t>Renal Disease</w:t>
            </w:r>
          </w:p>
        </w:tc>
        <w:tc>
          <w:tcPr>
            <w:tcW w:w="540" w:type="dxa"/>
            <w:tcBorders>
              <w:top w:val="single" w:sz="4" w:space="0" w:color="auto"/>
              <w:left w:val="nil"/>
              <w:bottom w:val="nil"/>
              <w:right w:val="nil"/>
            </w:tcBorders>
            <w:shd w:val="clear" w:color="auto" w:fill="FFFFFF" w:themeFill="background1"/>
          </w:tcPr>
          <w:p w14:paraId="1EDAC17E" w14:textId="77777777" w:rsidR="009C6575" w:rsidRPr="00846A91" w:rsidRDefault="009C6575" w:rsidP="0003380F">
            <w:pPr>
              <w:spacing w:after="0" w:line="240" w:lineRule="auto"/>
              <w:jc w:val="center"/>
              <w:rPr>
                <w:sz w:val="20"/>
              </w:rPr>
            </w:pPr>
          </w:p>
        </w:tc>
      </w:tr>
      <w:tr w:rsidR="009C6575" w:rsidRPr="00272761" w14:paraId="7F12573F" w14:textId="77777777" w:rsidTr="0003380F">
        <w:trPr>
          <w:trHeight w:val="20"/>
        </w:trPr>
        <w:tc>
          <w:tcPr>
            <w:tcW w:w="795" w:type="dxa"/>
            <w:tcBorders>
              <w:top w:val="nil"/>
              <w:left w:val="nil"/>
              <w:bottom w:val="nil"/>
              <w:right w:val="nil"/>
            </w:tcBorders>
            <w:shd w:val="clear" w:color="auto" w:fill="FFFFFF" w:themeFill="background1"/>
            <w:noWrap/>
          </w:tcPr>
          <w:p w14:paraId="1D8F7116" w14:textId="77777777" w:rsidR="009C6575" w:rsidRPr="00846A91" w:rsidRDefault="009C6575" w:rsidP="0003380F">
            <w:pPr>
              <w:spacing w:after="0" w:line="240" w:lineRule="auto"/>
              <w:jc w:val="center"/>
              <w:rPr>
                <w:sz w:val="20"/>
              </w:rPr>
            </w:pPr>
          </w:p>
        </w:tc>
        <w:tc>
          <w:tcPr>
            <w:tcW w:w="1530" w:type="dxa"/>
            <w:tcBorders>
              <w:top w:val="nil"/>
              <w:left w:val="nil"/>
              <w:bottom w:val="nil"/>
              <w:right w:val="nil"/>
            </w:tcBorders>
            <w:shd w:val="clear" w:color="auto" w:fill="FFFFFF" w:themeFill="background1"/>
            <w:noWrap/>
          </w:tcPr>
          <w:p w14:paraId="22F22472" w14:textId="2C5BFF01" w:rsidR="009C6575" w:rsidRPr="00846A91" w:rsidRDefault="009C6575" w:rsidP="0003380F">
            <w:pPr>
              <w:spacing w:after="0" w:line="240" w:lineRule="auto"/>
              <w:jc w:val="center"/>
              <w:rPr>
                <w:sz w:val="20"/>
              </w:rPr>
            </w:pPr>
            <w:r w:rsidRPr="00CB03B8">
              <w:rPr>
                <w:b/>
                <w:bCs/>
                <w:sz w:val="20"/>
              </w:rPr>
              <w:t>(n=7,031)</w:t>
            </w:r>
          </w:p>
        </w:tc>
        <w:tc>
          <w:tcPr>
            <w:tcW w:w="630" w:type="dxa"/>
            <w:tcBorders>
              <w:top w:val="nil"/>
              <w:left w:val="nil"/>
              <w:bottom w:val="nil"/>
              <w:right w:val="nil"/>
            </w:tcBorders>
            <w:shd w:val="clear" w:color="auto" w:fill="FFFFFF" w:themeFill="background1"/>
            <w:noWrap/>
          </w:tcPr>
          <w:p w14:paraId="3E6CFFE2" w14:textId="77777777" w:rsidR="009C6575" w:rsidRPr="00846A91" w:rsidRDefault="009C6575" w:rsidP="0003380F">
            <w:pPr>
              <w:spacing w:after="0" w:line="240" w:lineRule="auto"/>
              <w:jc w:val="center"/>
              <w:rPr>
                <w:sz w:val="20"/>
              </w:rPr>
            </w:pPr>
          </w:p>
        </w:tc>
        <w:tc>
          <w:tcPr>
            <w:tcW w:w="1530" w:type="dxa"/>
            <w:tcBorders>
              <w:top w:val="nil"/>
              <w:left w:val="nil"/>
              <w:bottom w:val="nil"/>
              <w:right w:val="nil"/>
            </w:tcBorders>
            <w:shd w:val="clear" w:color="auto" w:fill="FFFFFF" w:themeFill="background1"/>
          </w:tcPr>
          <w:p w14:paraId="76A14C1A" w14:textId="6052A693" w:rsidR="009C6575" w:rsidRPr="00846A91" w:rsidRDefault="009C6575" w:rsidP="0003380F">
            <w:pPr>
              <w:spacing w:after="0" w:line="240" w:lineRule="auto"/>
              <w:jc w:val="center"/>
              <w:rPr>
                <w:sz w:val="20"/>
              </w:rPr>
            </w:pPr>
            <w:r w:rsidRPr="00CB03B8">
              <w:rPr>
                <w:b/>
                <w:bCs/>
                <w:sz w:val="20"/>
              </w:rPr>
              <w:t>(n=6,401)</w:t>
            </w:r>
          </w:p>
        </w:tc>
        <w:tc>
          <w:tcPr>
            <w:tcW w:w="630" w:type="dxa"/>
            <w:tcBorders>
              <w:top w:val="nil"/>
              <w:left w:val="nil"/>
              <w:bottom w:val="nil"/>
              <w:right w:val="nil"/>
            </w:tcBorders>
            <w:shd w:val="clear" w:color="auto" w:fill="FFFFFF" w:themeFill="background1"/>
          </w:tcPr>
          <w:p w14:paraId="24F17AD5" w14:textId="77777777" w:rsidR="009C6575" w:rsidRPr="00846A91" w:rsidRDefault="009C6575" w:rsidP="0003380F">
            <w:pPr>
              <w:spacing w:after="0" w:line="240" w:lineRule="auto"/>
              <w:jc w:val="center"/>
              <w:rPr>
                <w:sz w:val="20"/>
              </w:rPr>
            </w:pPr>
          </w:p>
        </w:tc>
        <w:tc>
          <w:tcPr>
            <w:tcW w:w="1530" w:type="dxa"/>
            <w:tcBorders>
              <w:top w:val="nil"/>
              <w:left w:val="nil"/>
              <w:bottom w:val="nil"/>
              <w:right w:val="nil"/>
            </w:tcBorders>
            <w:shd w:val="clear" w:color="auto" w:fill="FFFFFF" w:themeFill="background1"/>
          </w:tcPr>
          <w:p w14:paraId="5F01FABE" w14:textId="5DCD2DBE" w:rsidR="009C6575" w:rsidRPr="00846A91" w:rsidRDefault="009C6575" w:rsidP="0003380F">
            <w:pPr>
              <w:spacing w:after="0" w:line="240" w:lineRule="auto"/>
              <w:jc w:val="center"/>
              <w:rPr>
                <w:sz w:val="20"/>
              </w:rPr>
            </w:pPr>
            <w:r w:rsidRPr="00CB03B8">
              <w:rPr>
                <w:b/>
                <w:bCs/>
                <w:sz w:val="20"/>
              </w:rPr>
              <w:t>(n=4,526)</w:t>
            </w:r>
          </w:p>
        </w:tc>
        <w:tc>
          <w:tcPr>
            <w:tcW w:w="630" w:type="dxa"/>
            <w:tcBorders>
              <w:top w:val="nil"/>
              <w:left w:val="nil"/>
              <w:bottom w:val="nil"/>
              <w:right w:val="nil"/>
            </w:tcBorders>
            <w:shd w:val="clear" w:color="auto" w:fill="FFFFFF" w:themeFill="background1"/>
          </w:tcPr>
          <w:p w14:paraId="69FD4228" w14:textId="77777777" w:rsidR="009C6575" w:rsidRPr="00846A91" w:rsidRDefault="009C6575" w:rsidP="0003380F">
            <w:pPr>
              <w:spacing w:after="0" w:line="240" w:lineRule="auto"/>
              <w:jc w:val="center"/>
              <w:rPr>
                <w:sz w:val="20"/>
              </w:rPr>
            </w:pPr>
          </w:p>
        </w:tc>
        <w:tc>
          <w:tcPr>
            <w:tcW w:w="1530" w:type="dxa"/>
            <w:tcBorders>
              <w:top w:val="nil"/>
              <w:left w:val="nil"/>
              <w:bottom w:val="nil"/>
              <w:right w:val="nil"/>
            </w:tcBorders>
            <w:shd w:val="clear" w:color="auto" w:fill="FFFFFF" w:themeFill="background1"/>
          </w:tcPr>
          <w:p w14:paraId="33DFF164" w14:textId="2360B1C9" w:rsidR="009C6575" w:rsidRPr="00846A91" w:rsidRDefault="009C6575" w:rsidP="0003380F">
            <w:pPr>
              <w:spacing w:after="0" w:line="240" w:lineRule="auto"/>
              <w:jc w:val="center"/>
              <w:rPr>
                <w:sz w:val="20"/>
              </w:rPr>
            </w:pPr>
            <w:r w:rsidRPr="00CB03B8">
              <w:rPr>
                <w:b/>
                <w:sz w:val="20"/>
              </w:rPr>
              <w:t>(n=5,539)</w:t>
            </w:r>
          </w:p>
        </w:tc>
        <w:tc>
          <w:tcPr>
            <w:tcW w:w="630" w:type="dxa"/>
            <w:tcBorders>
              <w:top w:val="nil"/>
              <w:left w:val="nil"/>
              <w:bottom w:val="nil"/>
              <w:right w:val="nil"/>
            </w:tcBorders>
            <w:shd w:val="clear" w:color="auto" w:fill="FFFFFF" w:themeFill="background1"/>
          </w:tcPr>
          <w:p w14:paraId="313C62A5" w14:textId="77777777" w:rsidR="009C6575" w:rsidRPr="00846A91" w:rsidRDefault="009C6575" w:rsidP="0003380F">
            <w:pPr>
              <w:spacing w:after="0" w:line="240" w:lineRule="auto"/>
              <w:jc w:val="center"/>
              <w:rPr>
                <w:sz w:val="20"/>
              </w:rPr>
            </w:pPr>
          </w:p>
        </w:tc>
        <w:tc>
          <w:tcPr>
            <w:tcW w:w="1635" w:type="dxa"/>
            <w:tcBorders>
              <w:top w:val="nil"/>
              <w:left w:val="nil"/>
              <w:bottom w:val="nil"/>
              <w:right w:val="nil"/>
            </w:tcBorders>
            <w:shd w:val="clear" w:color="auto" w:fill="FFFFFF" w:themeFill="background1"/>
          </w:tcPr>
          <w:p w14:paraId="74A11B32" w14:textId="4F9124BD" w:rsidR="009C6575" w:rsidRPr="00846A91" w:rsidRDefault="009C6575" w:rsidP="0003380F">
            <w:pPr>
              <w:spacing w:after="0" w:line="240" w:lineRule="auto"/>
              <w:jc w:val="center"/>
              <w:rPr>
                <w:sz w:val="20"/>
              </w:rPr>
            </w:pPr>
            <w:r w:rsidRPr="00CB03B8">
              <w:rPr>
                <w:b/>
                <w:sz w:val="20"/>
              </w:rPr>
              <w:t>(n=1,744)</w:t>
            </w:r>
          </w:p>
        </w:tc>
        <w:tc>
          <w:tcPr>
            <w:tcW w:w="540" w:type="dxa"/>
            <w:tcBorders>
              <w:top w:val="nil"/>
              <w:left w:val="nil"/>
              <w:bottom w:val="nil"/>
              <w:right w:val="nil"/>
            </w:tcBorders>
            <w:shd w:val="clear" w:color="auto" w:fill="FFFFFF" w:themeFill="background1"/>
          </w:tcPr>
          <w:p w14:paraId="639D4366" w14:textId="77777777" w:rsidR="009C6575" w:rsidRPr="00846A91" w:rsidRDefault="009C6575" w:rsidP="0003380F">
            <w:pPr>
              <w:spacing w:after="0" w:line="240" w:lineRule="auto"/>
              <w:jc w:val="center"/>
              <w:rPr>
                <w:sz w:val="20"/>
              </w:rPr>
            </w:pPr>
          </w:p>
        </w:tc>
        <w:tc>
          <w:tcPr>
            <w:tcW w:w="1530" w:type="dxa"/>
            <w:tcBorders>
              <w:top w:val="nil"/>
              <w:left w:val="nil"/>
              <w:bottom w:val="nil"/>
              <w:right w:val="nil"/>
            </w:tcBorders>
            <w:shd w:val="clear" w:color="auto" w:fill="FFFFFF" w:themeFill="background1"/>
          </w:tcPr>
          <w:p w14:paraId="0E3B53C2" w14:textId="77777777" w:rsidR="009C6575" w:rsidRDefault="009C6575" w:rsidP="0003380F">
            <w:pPr>
              <w:spacing w:after="0" w:line="240" w:lineRule="auto"/>
              <w:jc w:val="center"/>
              <w:rPr>
                <w:b/>
                <w:sz w:val="20"/>
              </w:rPr>
            </w:pPr>
            <w:r w:rsidRPr="00CB03B8">
              <w:rPr>
                <w:b/>
                <w:sz w:val="20"/>
              </w:rPr>
              <w:t>(n=1,758)</w:t>
            </w:r>
          </w:p>
          <w:p w14:paraId="232F922C" w14:textId="77777777" w:rsidR="009C6575" w:rsidRPr="00846A91" w:rsidRDefault="009C6575" w:rsidP="0003380F">
            <w:pPr>
              <w:spacing w:after="0" w:line="240" w:lineRule="auto"/>
              <w:jc w:val="center"/>
              <w:rPr>
                <w:sz w:val="20"/>
              </w:rPr>
            </w:pPr>
          </w:p>
        </w:tc>
        <w:tc>
          <w:tcPr>
            <w:tcW w:w="540" w:type="dxa"/>
            <w:tcBorders>
              <w:top w:val="nil"/>
              <w:left w:val="nil"/>
              <w:bottom w:val="nil"/>
              <w:right w:val="nil"/>
            </w:tcBorders>
            <w:shd w:val="clear" w:color="auto" w:fill="FFFFFF" w:themeFill="background1"/>
          </w:tcPr>
          <w:p w14:paraId="73076DF5" w14:textId="77777777" w:rsidR="009C6575" w:rsidRPr="00846A91" w:rsidRDefault="009C6575" w:rsidP="0003380F">
            <w:pPr>
              <w:spacing w:after="0" w:line="240" w:lineRule="auto"/>
              <w:jc w:val="center"/>
              <w:rPr>
                <w:sz w:val="20"/>
              </w:rPr>
            </w:pPr>
          </w:p>
        </w:tc>
      </w:tr>
      <w:tr w:rsidR="009C6575" w:rsidRPr="00272761" w14:paraId="32C216A0" w14:textId="77777777" w:rsidTr="0003380F">
        <w:trPr>
          <w:trHeight w:val="20"/>
        </w:trPr>
        <w:tc>
          <w:tcPr>
            <w:tcW w:w="795" w:type="dxa"/>
            <w:tcBorders>
              <w:top w:val="nil"/>
              <w:left w:val="nil"/>
              <w:bottom w:val="single" w:sz="4" w:space="0" w:color="auto"/>
              <w:right w:val="nil"/>
            </w:tcBorders>
            <w:shd w:val="clear" w:color="auto" w:fill="FFFFFF" w:themeFill="background1"/>
            <w:noWrap/>
          </w:tcPr>
          <w:p w14:paraId="3EB74879" w14:textId="1508FEF0" w:rsidR="009C6575" w:rsidRPr="00846A91" w:rsidRDefault="009C6575" w:rsidP="0003380F">
            <w:pPr>
              <w:spacing w:after="0" w:line="240" w:lineRule="auto"/>
              <w:jc w:val="center"/>
              <w:rPr>
                <w:sz w:val="20"/>
              </w:rPr>
            </w:pPr>
            <w:r w:rsidRPr="00CB03B8">
              <w:rPr>
                <w:b/>
                <w:sz w:val="20"/>
              </w:rPr>
              <w:t>Rank</w:t>
            </w:r>
          </w:p>
        </w:tc>
        <w:tc>
          <w:tcPr>
            <w:tcW w:w="1530" w:type="dxa"/>
            <w:tcBorders>
              <w:top w:val="nil"/>
              <w:left w:val="nil"/>
              <w:bottom w:val="single" w:sz="4" w:space="0" w:color="auto"/>
              <w:right w:val="nil"/>
            </w:tcBorders>
            <w:shd w:val="clear" w:color="auto" w:fill="FFFFFF" w:themeFill="background1"/>
            <w:noWrap/>
          </w:tcPr>
          <w:p w14:paraId="18642991" w14:textId="1528FF47" w:rsidR="009C6575" w:rsidRPr="00846A91" w:rsidRDefault="009C6575" w:rsidP="0003380F">
            <w:pPr>
              <w:spacing w:after="0" w:line="240" w:lineRule="auto"/>
              <w:jc w:val="center"/>
              <w:rPr>
                <w:sz w:val="20"/>
              </w:rPr>
            </w:pPr>
            <w:r w:rsidRPr="00CB03B8">
              <w:rPr>
                <w:b/>
                <w:bCs/>
                <w:sz w:val="20"/>
              </w:rPr>
              <w:t>Medication</w:t>
            </w:r>
          </w:p>
        </w:tc>
        <w:tc>
          <w:tcPr>
            <w:tcW w:w="630" w:type="dxa"/>
            <w:tcBorders>
              <w:top w:val="nil"/>
              <w:left w:val="nil"/>
              <w:bottom w:val="single" w:sz="4" w:space="0" w:color="auto"/>
              <w:right w:val="nil"/>
            </w:tcBorders>
            <w:shd w:val="clear" w:color="auto" w:fill="FFFFFF" w:themeFill="background1"/>
            <w:noWrap/>
          </w:tcPr>
          <w:p w14:paraId="559B70D2" w14:textId="60D60236" w:rsidR="009C6575" w:rsidRPr="00846A91" w:rsidRDefault="009C6575" w:rsidP="0003380F">
            <w:pPr>
              <w:spacing w:after="0" w:line="240" w:lineRule="auto"/>
              <w:jc w:val="center"/>
              <w:rPr>
                <w:sz w:val="20"/>
              </w:rPr>
            </w:pPr>
            <w:r w:rsidRPr="00CB03B8">
              <w:rPr>
                <w:b/>
                <w:bCs/>
                <w:sz w:val="20"/>
              </w:rPr>
              <w:t>%</w:t>
            </w:r>
          </w:p>
        </w:tc>
        <w:tc>
          <w:tcPr>
            <w:tcW w:w="1530" w:type="dxa"/>
            <w:tcBorders>
              <w:top w:val="nil"/>
              <w:left w:val="nil"/>
              <w:bottom w:val="single" w:sz="4" w:space="0" w:color="auto"/>
              <w:right w:val="nil"/>
            </w:tcBorders>
            <w:shd w:val="clear" w:color="auto" w:fill="FFFFFF" w:themeFill="background1"/>
          </w:tcPr>
          <w:p w14:paraId="47441DA0" w14:textId="0D1FAD08" w:rsidR="009C6575" w:rsidRPr="00846A91" w:rsidRDefault="009C6575" w:rsidP="0003380F">
            <w:pPr>
              <w:spacing w:after="0" w:line="240" w:lineRule="auto"/>
              <w:jc w:val="center"/>
              <w:rPr>
                <w:sz w:val="20"/>
              </w:rPr>
            </w:pPr>
            <w:r w:rsidRPr="00CB03B8">
              <w:rPr>
                <w:b/>
                <w:bCs/>
                <w:sz w:val="20"/>
              </w:rPr>
              <w:t>Medication</w:t>
            </w:r>
          </w:p>
        </w:tc>
        <w:tc>
          <w:tcPr>
            <w:tcW w:w="630" w:type="dxa"/>
            <w:tcBorders>
              <w:top w:val="nil"/>
              <w:left w:val="nil"/>
              <w:bottom w:val="single" w:sz="4" w:space="0" w:color="auto"/>
              <w:right w:val="nil"/>
            </w:tcBorders>
            <w:shd w:val="clear" w:color="auto" w:fill="FFFFFF" w:themeFill="background1"/>
          </w:tcPr>
          <w:p w14:paraId="1B316E33" w14:textId="133DD677" w:rsidR="009C6575" w:rsidRPr="00846A91" w:rsidRDefault="009C6575" w:rsidP="0003380F">
            <w:pPr>
              <w:spacing w:after="0" w:line="240" w:lineRule="auto"/>
              <w:jc w:val="center"/>
              <w:rPr>
                <w:sz w:val="20"/>
              </w:rPr>
            </w:pPr>
            <w:r w:rsidRPr="00CB03B8">
              <w:rPr>
                <w:b/>
                <w:bCs/>
                <w:sz w:val="20"/>
              </w:rPr>
              <w:t>%</w:t>
            </w:r>
          </w:p>
        </w:tc>
        <w:tc>
          <w:tcPr>
            <w:tcW w:w="1530" w:type="dxa"/>
            <w:tcBorders>
              <w:top w:val="nil"/>
              <w:left w:val="nil"/>
              <w:bottom w:val="single" w:sz="4" w:space="0" w:color="auto"/>
              <w:right w:val="nil"/>
            </w:tcBorders>
            <w:shd w:val="clear" w:color="auto" w:fill="FFFFFF" w:themeFill="background1"/>
          </w:tcPr>
          <w:p w14:paraId="525D63A8" w14:textId="46593C71" w:rsidR="009C6575" w:rsidRPr="00846A91" w:rsidRDefault="009C6575" w:rsidP="0003380F">
            <w:pPr>
              <w:spacing w:after="0" w:line="240" w:lineRule="auto"/>
              <w:jc w:val="center"/>
              <w:rPr>
                <w:sz w:val="20"/>
              </w:rPr>
            </w:pPr>
            <w:r w:rsidRPr="00CB03B8">
              <w:rPr>
                <w:b/>
                <w:bCs/>
                <w:sz w:val="20"/>
              </w:rPr>
              <w:t>Medication</w:t>
            </w:r>
          </w:p>
        </w:tc>
        <w:tc>
          <w:tcPr>
            <w:tcW w:w="630" w:type="dxa"/>
            <w:tcBorders>
              <w:top w:val="nil"/>
              <w:left w:val="nil"/>
              <w:bottom w:val="single" w:sz="4" w:space="0" w:color="auto"/>
              <w:right w:val="nil"/>
            </w:tcBorders>
            <w:shd w:val="clear" w:color="auto" w:fill="FFFFFF" w:themeFill="background1"/>
          </w:tcPr>
          <w:p w14:paraId="63C508A8" w14:textId="68709124" w:rsidR="009C6575" w:rsidRPr="00846A91" w:rsidRDefault="009C6575" w:rsidP="0003380F">
            <w:pPr>
              <w:spacing w:after="0" w:line="240" w:lineRule="auto"/>
              <w:jc w:val="center"/>
              <w:rPr>
                <w:sz w:val="20"/>
              </w:rPr>
            </w:pPr>
            <w:r w:rsidRPr="00CB03B8">
              <w:rPr>
                <w:b/>
                <w:bCs/>
                <w:sz w:val="20"/>
              </w:rPr>
              <w:t>%</w:t>
            </w:r>
          </w:p>
        </w:tc>
        <w:tc>
          <w:tcPr>
            <w:tcW w:w="1530" w:type="dxa"/>
            <w:tcBorders>
              <w:top w:val="nil"/>
              <w:left w:val="nil"/>
              <w:bottom w:val="single" w:sz="4" w:space="0" w:color="auto"/>
              <w:right w:val="nil"/>
            </w:tcBorders>
            <w:shd w:val="clear" w:color="auto" w:fill="FFFFFF" w:themeFill="background1"/>
          </w:tcPr>
          <w:p w14:paraId="18EA1310" w14:textId="417D06F7" w:rsidR="009C6575" w:rsidRPr="00846A91" w:rsidRDefault="009C6575" w:rsidP="0003380F">
            <w:pPr>
              <w:spacing w:after="0" w:line="240" w:lineRule="auto"/>
              <w:jc w:val="center"/>
              <w:rPr>
                <w:sz w:val="20"/>
              </w:rPr>
            </w:pPr>
            <w:r w:rsidRPr="00CB03B8">
              <w:rPr>
                <w:b/>
                <w:bCs/>
                <w:sz w:val="20"/>
              </w:rPr>
              <w:t>Medication</w:t>
            </w:r>
          </w:p>
        </w:tc>
        <w:tc>
          <w:tcPr>
            <w:tcW w:w="630" w:type="dxa"/>
            <w:tcBorders>
              <w:top w:val="nil"/>
              <w:left w:val="nil"/>
              <w:bottom w:val="single" w:sz="4" w:space="0" w:color="auto"/>
              <w:right w:val="nil"/>
            </w:tcBorders>
            <w:shd w:val="clear" w:color="auto" w:fill="FFFFFF" w:themeFill="background1"/>
          </w:tcPr>
          <w:p w14:paraId="66EA1438" w14:textId="7481195A" w:rsidR="009C6575" w:rsidRPr="00846A91" w:rsidRDefault="009C6575" w:rsidP="0003380F">
            <w:pPr>
              <w:spacing w:after="0" w:line="240" w:lineRule="auto"/>
              <w:jc w:val="center"/>
              <w:rPr>
                <w:sz w:val="20"/>
              </w:rPr>
            </w:pPr>
            <w:r w:rsidRPr="00CB03B8">
              <w:rPr>
                <w:b/>
                <w:bCs/>
                <w:sz w:val="20"/>
              </w:rPr>
              <w:t>%</w:t>
            </w:r>
          </w:p>
        </w:tc>
        <w:tc>
          <w:tcPr>
            <w:tcW w:w="1635" w:type="dxa"/>
            <w:tcBorders>
              <w:top w:val="nil"/>
              <w:left w:val="nil"/>
              <w:bottom w:val="single" w:sz="4" w:space="0" w:color="auto"/>
              <w:right w:val="nil"/>
            </w:tcBorders>
            <w:shd w:val="clear" w:color="auto" w:fill="FFFFFF" w:themeFill="background1"/>
          </w:tcPr>
          <w:p w14:paraId="3D168628" w14:textId="17B699EB" w:rsidR="009C6575" w:rsidRPr="00846A91" w:rsidRDefault="009C6575" w:rsidP="0003380F">
            <w:pPr>
              <w:spacing w:after="0" w:line="240" w:lineRule="auto"/>
              <w:jc w:val="center"/>
              <w:rPr>
                <w:sz w:val="20"/>
              </w:rPr>
            </w:pPr>
            <w:r w:rsidRPr="00CB03B8">
              <w:rPr>
                <w:b/>
                <w:bCs/>
                <w:sz w:val="20"/>
              </w:rPr>
              <w:t>Medication</w:t>
            </w:r>
          </w:p>
        </w:tc>
        <w:tc>
          <w:tcPr>
            <w:tcW w:w="540" w:type="dxa"/>
            <w:tcBorders>
              <w:top w:val="nil"/>
              <w:left w:val="nil"/>
              <w:bottom w:val="single" w:sz="4" w:space="0" w:color="auto"/>
              <w:right w:val="nil"/>
            </w:tcBorders>
            <w:shd w:val="clear" w:color="auto" w:fill="FFFFFF" w:themeFill="background1"/>
          </w:tcPr>
          <w:p w14:paraId="24256FE5" w14:textId="533B888A" w:rsidR="009C6575" w:rsidRPr="00846A91" w:rsidRDefault="009C6575" w:rsidP="0003380F">
            <w:pPr>
              <w:spacing w:after="0" w:line="240" w:lineRule="auto"/>
              <w:jc w:val="center"/>
              <w:rPr>
                <w:sz w:val="20"/>
              </w:rPr>
            </w:pPr>
            <w:r w:rsidRPr="00CB03B8">
              <w:rPr>
                <w:b/>
                <w:bCs/>
                <w:sz w:val="20"/>
              </w:rPr>
              <w:t>%</w:t>
            </w:r>
          </w:p>
        </w:tc>
        <w:tc>
          <w:tcPr>
            <w:tcW w:w="1530" w:type="dxa"/>
            <w:tcBorders>
              <w:top w:val="nil"/>
              <w:left w:val="nil"/>
              <w:bottom w:val="single" w:sz="4" w:space="0" w:color="auto"/>
              <w:right w:val="nil"/>
            </w:tcBorders>
            <w:shd w:val="clear" w:color="auto" w:fill="FFFFFF" w:themeFill="background1"/>
          </w:tcPr>
          <w:p w14:paraId="4B4262FB" w14:textId="2DF1EA81" w:rsidR="009C6575" w:rsidRPr="00846A91" w:rsidRDefault="009C6575" w:rsidP="0003380F">
            <w:pPr>
              <w:spacing w:after="0" w:line="240" w:lineRule="auto"/>
              <w:jc w:val="center"/>
              <w:rPr>
                <w:sz w:val="20"/>
              </w:rPr>
            </w:pPr>
            <w:r w:rsidRPr="00CB03B8">
              <w:rPr>
                <w:b/>
                <w:bCs/>
                <w:sz w:val="20"/>
              </w:rPr>
              <w:t>Medication</w:t>
            </w:r>
          </w:p>
        </w:tc>
        <w:tc>
          <w:tcPr>
            <w:tcW w:w="540" w:type="dxa"/>
            <w:tcBorders>
              <w:top w:val="nil"/>
              <w:left w:val="nil"/>
              <w:bottom w:val="single" w:sz="4" w:space="0" w:color="auto"/>
              <w:right w:val="nil"/>
            </w:tcBorders>
            <w:shd w:val="clear" w:color="auto" w:fill="FFFFFF" w:themeFill="background1"/>
          </w:tcPr>
          <w:p w14:paraId="4CDC1944" w14:textId="34BE1E92" w:rsidR="009C6575" w:rsidRPr="00846A91" w:rsidRDefault="009C6575" w:rsidP="0003380F">
            <w:pPr>
              <w:spacing w:after="0" w:line="240" w:lineRule="auto"/>
              <w:jc w:val="center"/>
              <w:rPr>
                <w:sz w:val="20"/>
              </w:rPr>
            </w:pPr>
            <w:r w:rsidRPr="00CB03B8">
              <w:rPr>
                <w:b/>
                <w:bCs/>
                <w:sz w:val="20"/>
              </w:rPr>
              <w:t>%</w:t>
            </w:r>
          </w:p>
        </w:tc>
      </w:tr>
      <w:tr w:rsidR="002B65B9" w:rsidRPr="00272761" w14:paraId="76946976" w14:textId="77777777" w:rsidTr="0003380F">
        <w:trPr>
          <w:trHeight w:val="20"/>
        </w:trPr>
        <w:tc>
          <w:tcPr>
            <w:tcW w:w="795" w:type="dxa"/>
            <w:tcBorders>
              <w:top w:val="single" w:sz="4" w:space="0" w:color="auto"/>
              <w:left w:val="nil"/>
              <w:bottom w:val="nil"/>
              <w:right w:val="nil"/>
            </w:tcBorders>
            <w:shd w:val="clear" w:color="auto" w:fill="FFFFFF" w:themeFill="background1"/>
            <w:noWrap/>
            <w:hideMark/>
          </w:tcPr>
          <w:p w14:paraId="38D416A2" w14:textId="77777777" w:rsidR="002B65B9" w:rsidRPr="00846A91" w:rsidRDefault="002B65B9" w:rsidP="0003380F">
            <w:pPr>
              <w:spacing w:after="0" w:line="240" w:lineRule="auto"/>
              <w:rPr>
                <w:sz w:val="20"/>
              </w:rPr>
            </w:pPr>
            <w:r w:rsidRPr="00846A91">
              <w:rPr>
                <w:sz w:val="20"/>
              </w:rPr>
              <w:t>18</w:t>
            </w:r>
          </w:p>
        </w:tc>
        <w:tc>
          <w:tcPr>
            <w:tcW w:w="1530" w:type="dxa"/>
            <w:tcBorders>
              <w:top w:val="single" w:sz="4" w:space="0" w:color="auto"/>
              <w:left w:val="nil"/>
              <w:bottom w:val="nil"/>
              <w:right w:val="nil"/>
            </w:tcBorders>
            <w:shd w:val="clear" w:color="auto" w:fill="FFFFFF" w:themeFill="background1"/>
            <w:noWrap/>
            <w:hideMark/>
          </w:tcPr>
          <w:p w14:paraId="3B75127A" w14:textId="77777777" w:rsidR="002B65B9" w:rsidRPr="00846A91" w:rsidRDefault="002B65B9" w:rsidP="0003380F">
            <w:pPr>
              <w:spacing w:after="0" w:line="240" w:lineRule="auto"/>
              <w:jc w:val="both"/>
              <w:rPr>
                <w:sz w:val="20"/>
              </w:rPr>
            </w:pPr>
            <w:r w:rsidRPr="00846A91">
              <w:rPr>
                <w:sz w:val="20"/>
              </w:rPr>
              <w:t xml:space="preserve">Megestrol </w:t>
            </w:r>
          </w:p>
        </w:tc>
        <w:tc>
          <w:tcPr>
            <w:tcW w:w="630" w:type="dxa"/>
            <w:tcBorders>
              <w:top w:val="single" w:sz="4" w:space="0" w:color="auto"/>
              <w:left w:val="nil"/>
              <w:bottom w:val="nil"/>
              <w:right w:val="nil"/>
            </w:tcBorders>
            <w:shd w:val="clear" w:color="auto" w:fill="FFFFFF" w:themeFill="background1"/>
            <w:noWrap/>
            <w:hideMark/>
          </w:tcPr>
          <w:p w14:paraId="1552B30E" w14:textId="77777777" w:rsidR="002B65B9" w:rsidRPr="00846A91" w:rsidRDefault="002B65B9" w:rsidP="0003380F">
            <w:pPr>
              <w:spacing w:after="0" w:line="240" w:lineRule="auto"/>
              <w:jc w:val="center"/>
              <w:rPr>
                <w:sz w:val="20"/>
              </w:rPr>
            </w:pPr>
            <w:r w:rsidRPr="00846A91">
              <w:rPr>
                <w:sz w:val="20"/>
              </w:rPr>
              <w:t>4.1</w:t>
            </w:r>
          </w:p>
        </w:tc>
        <w:tc>
          <w:tcPr>
            <w:tcW w:w="1530" w:type="dxa"/>
            <w:tcBorders>
              <w:top w:val="single" w:sz="4" w:space="0" w:color="auto"/>
              <w:left w:val="nil"/>
              <w:bottom w:val="nil"/>
              <w:right w:val="nil"/>
            </w:tcBorders>
            <w:shd w:val="clear" w:color="auto" w:fill="FFFFFF" w:themeFill="background1"/>
          </w:tcPr>
          <w:p w14:paraId="20ABE6AC" w14:textId="77777777" w:rsidR="002B65B9" w:rsidRPr="00846A91" w:rsidRDefault="002B65B9" w:rsidP="0003380F">
            <w:pPr>
              <w:spacing w:after="0" w:line="240" w:lineRule="auto"/>
              <w:rPr>
                <w:sz w:val="20"/>
              </w:rPr>
            </w:pPr>
            <w:r w:rsidRPr="00846A91">
              <w:rPr>
                <w:sz w:val="20"/>
              </w:rPr>
              <w:t>Simvastatin</w:t>
            </w:r>
          </w:p>
        </w:tc>
        <w:tc>
          <w:tcPr>
            <w:tcW w:w="630" w:type="dxa"/>
            <w:tcBorders>
              <w:top w:val="single" w:sz="4" w:space="0" w:color="auto"/>
              <w:left w:val="nil"/>
              <w:bottom w:val="nil"/>
              <w:right w:val="nil"/>
            </w:tcBorders>
            <w:shd w:val="clear" w:color="auto" w:fill="FFFFFF" w:themeFill="background1"/>
          </w:tcPr>
          <w:p w14:paraId="7DBD0C01" w14:textId="77777777" w:rsidR="002B65B9" w:rsidRPr="00846A91" w:rsidRDefault="002B65B9" w:rsidP="0003380F">
            <w:pPr>
              <w:spacing w:after="0" w:line="240" w:lineRule="auto"/>
              <w:jc w:val="center"/>
              <w:rPr>
                <w:sz w:val="20"/>
              </w:rPr>
            </w:pPr>
            <w:r w:rsidRPr="00846A91">
              <w:rPr>
                <w:sz w:val="20"/>
              </w:rPr>
              <w:t>3.7</w:t>
            </w:r>
          </w:p>
        </w:tc>
        <w:tc>
          <w:tcPr>
            <w:tcW w:w="1530" w:type="dxa"/>
            <w:tcBorders>
              <w:top w:val="single" w:sz="4" w:space="0" w:color="auto"/>
              <w:left w:val="nil"/>
              <w:bottom w:val="nil"/>
              <w:right w:val="nil"/>
            </w:tcBorders>
            <w:shd w:val="clear" w:color="auto" w:fill="FFFFFF" w:themeFill="background1"/>
          </w:tcPr>
          <w:p w14:paraId="5882730E" w14:textId="77777777" w:rsidR="002B65B9" w:rsidRPr="00846A91" w:rsidRDefault="002B65B9" w:rsidP="0003380F">
            <w:pPr>
              <w:spacing w:after="0" w:line="240" w:lineRule="auto"/>
              <w:rPr>
                <w:sz w:val="20"/>
              </w:rPr>
            </w:pPr>
            <w:r w:rsidRPr="00846A91">
              <w:rPr>
                <w:sz w:val="20"/>
              </w:rPr>
              <w:t>Fluticasone/ Salmeterol</w:t>
            </w:r>
          </w:p>
        </w:tc>
        <w:tc>
          <w:tcPr>
            <w:tcW w:w="630" w:type="dxa"/>
            <w:tcBorders>
              <w:top w:val="single" w:sz="4" w:space="0" w:color="auto"/>
              <w:left w:val="nil"/>
              <w:bottom w:val="nil"/>
              <w:right w:val="nil"/>
            </w:tcBorders>
            <w:shd w:val="clear" w:color="auto" w:fill="FFFFFF" w:themeFill="background1"/>
          </w:tcPr>
          <w:p w14:paraId="1F84C11F" w14:textId="77777777" w:rsidR="002B65B9" w:rsidRPr="00846A91" w:rsidRDefault="002B65B9" w:rsidP="0003380F">
            <w:pPr>
              <w:spacing w:after="0" w:line="240" w:lineRule="auto"/>
              <w:jc w:val="center"/>
              <w:rPr>
                <w:sz w:val="20"/>
              </w:rPr>
            </w:pPr>
            <w:r w:rsidRPr="00846A91">
              <w:rPr>
                <w:sz w:val="20"/>
              </w:rPr>
              <w:t>3.8</w:t>
            </w:r>
          </w:p>
        </w:tc>
        <w:tc>
          <w:tcPr>
            <w:tcW w:w="1530" w:type="dxa"/>
            <w:tcBorders>
              <w:top w:val="single" w:sz="4" w:space="0" w:color="auto"/>
              <w:left w:val="nil"/>
              <w:bottom w:val="nil"/>
              <w:right w:val="nil"/>
            </w:tcBorders>
            <w:shd w:val="clear" w:color="auto" w:fill="FFFFFF" w:themeFill="background1"/>
          </w:tcPr>
          <w:p w14:paraId="42F17E5B" w14:textId="77777777" w:rsidR="002B65B9" w:rsidRPr="00846A91" w:rsidRDefault="002B65B9" w:rsidP="0003380F">
            <w:pPr>
              <w:spacing w:after="0" w:line="240" w:lineRule="auto"/>
              <w:rPr>
                <w:sz w:val="20"/>
              </w:rPr>
            </w:pPr>
            <w:r w:rsidRPr="00846A91">
              <w:rPr>
                <w:sz w:val="20"/>
              </w:rPr>
              <w:t>Nitroglycerin</w:t>
            </w:r>
          </w:p>
        </w:tc>
        <w:tc>
          <w:tcPr>
            <w:tcW w:w="630" w:type="dxa"/>
            <w:tcBorders>
              <w:top w:val="single" w:sz="4" w:space="0" w:color="auto"/>
              <w:left w:val="nil"/>
              <w:bottom w:val="nil"/>
              <w:right w:val="nil"/>
            </w:tcBorders>
            <w:shd w:val="clear" w:color="auto" w:fill="FFFFFF" w:themeFill="background1"/>
          </w:tcPr>
          <w:p w14:paraId="45893676" w14:textId="77777777" w:rsidR="002B65B9" w:rsidRPr="00846A91" w:rsidRDefault="002B65B9" w:rsidP="0003380F">
            <w:pPr>
              <w:spacing w:after="0" w:line="240" w:lineRule="auto"/>
              <w:jc w:val="center"/>
              <w:rPr>
                <w:sz w:val="20"/>
              </w:rPr>
            </w:pPr>
            <w:r w:rsidRPr="00846A91">
              <w:rPr>
                <w:sz w:val="20"/>
              </w:rPr>
              <w:t>3.4</w:t>
            </w:r>
          </w:p>
        </w:tc>
        <w:tc>
          <w:tcPr>
            <w:tcW w:w="1635" w:type="dxa"/>
            <w:tcBorders>
              <w:top w:val="single" w:sz="4" w:space="0" w:color="auto"/>
              <w:left w:val="nil"/>
              <w:bottom w:val="nil"/>
              <w:right w:val="nil"/>
            </w:tcBorders>
            <w:shd w:val="clear" w:color="auto" w:fill="FFFFFF" w:themeFill="background1"/>
          </w:tcPr>
          <w:p w14:paraId="3BFB18B2" w14:textId="77777777" w:rsidR="002B65B9" w:rsidRPr="00846A91" w:rsidRDefault="002B65B9" w:rsidP="0003380F">
            <w:pPr>
              <w:spacing w:after="0" w:line="240" w:lineRule="auto"/>
              <w:rPr>
                <w:sz w:val="20"/>
              </w:rPr>
            </w:pPr>
            <w:r w:rsidRPr="00846A91">
              <w:rPr>
                <w:sz w:val="20"/>
              </w:rPr>
              <w:t xml:space="preserve">Sertraline </w:t>
            </w:r>
          </w:p>
        </w:tc>
        <w:tc>
          <w:tcPr>
            <w:tcW w:w="540" w:type="dxa"/>
            <w:tcBorders>
              <w:top w:val="single" w:sz="4" w:space="0" w:color="auto"/>
              <w:left w:val="nil"/>
              <w:bottom w:val="nil"/>
              <w:right w:val="nil"/>
            </w:tcBorders>
            <w:shd w:val="clear" w:color="auto" w:fill="FFFFFF" w:themeFill="background1"/>
          </w:tcPr>
          <w:p w14:paraId="2AEF379C" w14:textId="77777777" w:rsidR="002B65B9" w:rsidRPr="00846A91" w:rsidRDefault="002B65B9" w:rsidP="0003380F">
            <w:pPr>
              <w:spacing w:after="0" w:line="240" w:lineRule="auto"/>
              <w:jc w:val="center"/>
              <w:rPr>
                <w:sz w:val="20"/>
              </w:rPr>
            </w:pPr>
            <w:r w:rsidRPr="00846A91">
              <w:rPr>
                <w:sz w:val="20"/>
              </w:rPr>
              <w:t>1.9</w:t>
            </w:r>
          </w:p>
        </w:tc>
        <w:tc>
          <w:tcPr>
            <w:tcW w:w="1530" w:type="dxa"/>
            <w:tcBorders>
              <w:top w:val="single" w:sz="4" w:space="0" w:color="auto"/>
              <w:left w:val="nil"/>
              <w:bottom w:val="nil"/>
              <w:right w:val="nil"/>
            </w:tcBorders>
            <w:shd w:val="clear" w:color="auto" w:fill="FFFFFF" w:themeFill="background1"/>
          </w:tcPr>
          <w:p w14:paraId="3635386F" w14:textId="77777777" w:rsidR="002B65B9" w:rsidRPr="00846A91" w:rsidRDefault="002B65B9" w:rsidP="0003380F">
            <w:pPr>
              <w:spacing w:after="0" w:line="240" w:lineRule="auto"/>
              <w:rPr>
                <w:sz w:val="20"/>
              </w:rPr>
            </w:pPr>
            <w:r w:rsidRPr="00846A91">
              <w:rPr>
                <w:sz w:val="20"/>
              </w:rPr>
              <w:t>Oxycodone +/- APAP</w:t>
            </w:r>
          </w:p>
        </w:tc>
        <w:tc>
          <w:tcPr>
            <w:tcW w:w="540" w:type="dxa"/>
            <w:tcBorders>
              <w:top w:val="single" w:sz="4" w:space="0" w:color="auto"/>
              <w:left w:val="nil"/>
              <w:bottom w:val="nil"/>
              <w:right w:val="nil"/>
            </w:tcBorders>
            <w:shd w:val="clear" w:color="auto" w:fill="FFFFFF" w:themeFill="background1"/>
          </w:tcPr>
          <w:p w14:paraId="32C2CF38" w14:textId="77777777" w:rsidR="002B65B9" w:rsidRPr="00846A91" w:rsidRDefault="002B65B9" w:rsidP="0003380F">
            <w:pPr>
              <w:spacing w:after="0" w:line="240" w:lineRule="auto"/>
              <w:jc w:val="center"/>
              <w:rPr>
                <w:sz w:val="20"/>
              </w:rPr>
            </w:pPr>
            <w:r w:rsidRPr="00846A91">
              <w:rPr>
                <w:sz w:val="20"/>
              </w:rPr>
              <w:t>1.8</w:t>
            </w:r>
          </w:p>
        </w:tc>
      </w:tr>
      <w:tr w:rsidR="002B65B9" w:rsidRPr="00272761" w14:paraId="7489289A" w14:textId="77777777" w:rsidTr="0003380F">
        <w:trPr>
          <w:trHeight w:val="20"/>
        </w:trPr>
        <w:tc>
          <w:tcPr>
            <w:tcW w:w="795" w:type="dxa"/>
            <w:tcBorders>
              <w:top w:val="nil"/>
              <w:left w:val="nil"/>
              <w:bottom w:val="nil"/>
              <w:right w:val="nil"/>
            </w:tcBorders>
            <w:shd w:val="clear" w:color="auto" w:fill="FFFFFF" w:themeFill="background1"/>
            <w:noWrap/>
            <w:hideMark/>
          </w:tcPr>
          <w:p w14:paraId="369ED711" w14:textId="77777777" w:rsidR="002B65B9" w:rsidRPr="00846A91" w:rsidRDefault="002B65B9" w:rsidP="0003380F">
            <w:pPr>
              <w:spacing w:after="0" w:line="240" w:lineRule="auto"/>
              <w:rPr>
                <w:sz w:val="20"/>
              </w:rPr>
            </w:pPr>
            <w:r w:rsidRPr="00846A91">
              <w:rPr>
                <w:sz w:val="20"/>
              </w:rPr>
              <w:t>19</w:t>
            </w:r>
          </w:p>
        </w:tc>
        <w:tc>
          <w:tcPr>
            <w:tcW w:w="1530" w:type="dxa"/>
            <w:tcBorders>
              <w:top w:val="nil"/>
              <w:left w:val="nil"/>
              <w:bottom w:val="nil"/>
              <w:right w:val="nil"/>
            </w:tcBorders>
            <w:shd w:val="clear" w:color="auto" w:fill="FFFFFF" w:themeFill="background1"/>
            <w:noWrap/>
            <w:hideMark/>
          </w:tcPr>
          <w:p w14:paraId="06AD831E" w14:textId="77777777" w:rsidR="002B65B9" w:rsidRPr="00846A91" w:rsidRDefault="002B65B9" w:rsidP="0003380F">
            <w:pPr>
              <w:spacing w:after="0" w:line="240" w:lineRule="auto"/>
              <w:jc w:val="both"/>
              <w:rPr>
                <w:sz w:val="20"/>
              </w:rPr>
            </w:pPr>
            <w:r w:rsidRPr="00846A91">
              <w:rPr>
                <w:sz w:val="20"/>
              </w:rPr>
              <w:t>Digoxin</w:t>
            </w:r>
          </w:p>
        </w:tc>
        <w:tc>
          <w:tcPr>
            <w:tcW w:w="630" w:type="dxa"/>
            <w:tcBorders>
              <w:top w:val="nil"/>
              <w:left w:val="nil"/>
              <w:bottom w:val="nil"/>
              <w:right w:val="nil"/>
            </w:tcBorders>
            <w:shd w:val="clear" w:color="auto" w:fill="FFFFFF" w:themeFill="background1"/>
            <w:noWrap/>
            <w:hideMark/>
          </w:tcPr>
          <w:p w14:paraId="498BC481" w14:textId="77777777" w:rsidR="002B65B9" w:rsidRPr="00846A91" w:rsidRDefault="002B65B9" w:rsidP="0003380F">
            <w:pPr>
              <w:spacing w:after="0" w:line="240" w:lineRule="auto"/>
              <w:jc w:val="center"/>
              <w:rPr>
                <w:sz w:val="20"/>
              </w:rPr>
            </w:pPr>
            <w:r w:rsidRPr="00846A91">
              <w:rPr>
                <w:sz w:val="20"/>
              </w:rPr>
              <w:t>4.1</w:t>
            </w:r>
          </w:p>
        </w:tc>
        <w:tc>
          <w:tcPr>
            <w:tcW w:w="1530" w:type="dxa"/>
            <w:tcBorders>
              <w:top w:val="nil"/>
              <w:left w:val="nil"/>
              <w:bottom w:val="nil"/>
              <w:right w:val="nil"/>
            </w:tcBorders>
            <w:shd w:val="clear" w:color="auto" w:fill="FFFFFF" w:themeFill="background1"/>
          </w:tcPr>
          <w:p w14:paraId="11FE61F5" w14:textId="77777777" w:rsidR="002B65B9" w:rsidRPr="00846A91" w:rsidRDefault="002B65B9" w:rsidP="0003380F">
            <w:pPr>
              <w:spacing w:after="0" w:line="240" w:lineRule="auto"/>
              <w:rPr>
                <w:sz w:val="20"/>
              </w:rPr>
            </w:pPr>
            <w:r w:rsidRPr="00846A91">
              <w:rPr>
                <w:sz w:val="20"/>
              </w:rPr>
              <w:t>Collagenase Clost</w:t>
            </w:r>
            <w:r>
              <w:rPr>
                <w:sz w:val="20"/>
              </w:rPr>
              <w:t>rid.</w:t>
            </w:r>
            <w:r w:rsidRPr="00846A91">
              <w:rPr>
                <w:sz w:val="20"/>
              </w:rPr>
              <w:t xml:space="preserve"> Hist.</w:t>
            </w:r>
          </w:p>
        </w:tc>
        <w:tc>
          <w:tcPr>
            <w:tcW w:w="630" w:type="dxa"/>
            <w:tcBorders>
              <w:top w:val="nil"/>
              <w:left w:val="nil"/>
              <w:bottom w:val="nil"/>
              <w:right w:val="nil"/>
            </w:tcBorders>
            <w:shd w:val="clear" w:color="auto" w:fill="FFFFFF" w:themeFill="background1"/>
          </w:tcPr>
          <w:p w14:paraId="6700A65B" w14:textId="77777777" w:rsidR="002B65B9" w:rsidRPr="00846A91" w:rsidRDefault="002B65B9" w:rsidP="0003380F">
            <w:pPr>
              <w:spacing w:after="0" w:line="240" w:lineRule="auto"/>
              <w:jc w:val="center"/>
              <w:rPr>
                <w:sz w:val="20"/>
              </w:rPr>
            </w:pPr>
            <w:r w:rsidRPr="00846A91">
              <w:rPr>
                <w:sz w:val="20"/>
              </w:rPr>
              <w:t>3.5</w:t>
            </w:r>
          </w:p>
        </w:tc>
        <w:tc>
          <w:tcPr>
            <w:tcW w:w="1530" w:type="dxa"/>
            <w:tcBorders>
              <w:top w:val="nil"/>
              <w:left w:val="nil"/>
              <w:bottom w:val="nil"/>
              <w:right w:val="nil"/>
            </w:tcBorders>
            <w:shd w:val="clear" w:color="auto" w:fill="FFFFFF" w:themeFill="background1"/>
          </w:tcPr>
          <w:p w14:paraId="1EFACD4C" w14:textId="77777777" w:rsidR="002B65B9" w:rsidRPr="00846A91" w:rsidRDefault="002B65B9" w:rsidP="0003380F">
            <w:pPr>
              <w:spacing w:after="0" w:line="240" w:lineRule="auto"/>
              <w:rPr>
                <w:sz w:val="20"/>
              </w:rPr>
            </w:pPr>
            <w:r w:rsidRPr="00846A91">
              <w:rPr>
                <w:sz w:val="20"/>
              </w:rPr>
              <w:t>Simvastatin</w:t>
            </w:r>
          </w:p>
        </w:tc>
        <w:tc>
          <w:tcPr>
            <w:tcW w:w="630" w:type="dxa"/>
            <w:tcBorders>
              <w:top w:val="nil"/>
              <w:left w:val="nil"/>
              <w:bottom w:val="nil"/>
              <w:right w:val="nil"/>
            </w:tcBorders>
            <w:shd w:val="clear" w:color="auto" w:fill="FFFFFF" w:themeFill="background1"/>
          </w:tcPr>
          <w:p w14:paraId="16A2A717" w14:textId="77777777" w:rsidR="002B65B9" w:rsidRPr="00846A91" w:rsidRDefault="002B65B9" w:rsidP="0003380F">
            <w:pPr>
              <w:spacing w:after="0" w:line="240" w:lineRule="auto"/>
              <w:jc w:val="center"/>
              <w:rPr>
                <w:sz w:val="20"/>
              </w:rPr>
            </w:pPr>
            <w:r w:rsidRPr="00846A91">
              <w:rPr>
                <w:sz w:val="20"/>
              </w:rPr>
              <w:t>3.8</w:t>
            </w:r>
          </w:p>
        </w:tc>
        <w:tc>
          <w:tcPr>
            <w:tcW w:w="1530" w:type="dxa"/>
            <w:tcBorders>
              <w:top w:val="nil"/>
              <w:left w:val="nil"/>
              <w:bottom w:val="nil"/>
              <w:right w:val="nil"/>
            </w:tcBorders>
            <w:shd w:val="clear" w:color="auto" w:fill="FFFFFF" w:themeFill="background1"/>
          </w:tcPr>
          <w:p w14:paraId="78F0E5F5" w14:textId="77777777" w:rsidR="002B65B9" w:rsidRPr="00846A91" w:rsidRDefault="002B65B9" w:rsidP="0003380F">
            <w:pPr>
              <w:spacing w:after="0" w:line="240" w:lineRule="auto"/>
              <w:rPr>
                <w:sz w:val="20"/>
              </w:rPr>
            </w:pPr>
            <w:r w:rsidRPr="00846A91">
              <w:rPr>
                <w:sz w:val="20"/>
              </w:rPr>
              <w:t xml:space="preserve">Donepezil </w:t>
            </w:r>
          </w:p>
        </w:tc>
        <w:tc>
          <w:tcPr>
            <w:tcW w:w="630" w:type="dxa"/>
            <w:tcBorders>
              <w:top w:val="nil"/>
              <w:left w:val="nil"/>
              <w:bottom w:val="nil"/>
              <w:right w:val="nil"/>
            </w:tcBorders>
            <w:shd w:val="clear" w:color="auto" w:fill="FFFFFF" w:themeFill="background1"/>
          </w:tcPr>
          <w:p w14:paraId="4CB2E895" w14:textId="77777777" w:rsidR="002B65B9" w:rsidRPr="00846A91" w:rsidRDefault="002B65B9" w:rsidP="0003380F">
            <w:pPr>
              <w:spacing w:after="0" w:line="240" w:lineRule="auto"/>
              <w:jc w:val="center"/>
              <w:rPr>
                <w:sz w:val="20"/>
              </w:rPr>
            </w:pPr>
            <w:r w:rsidRPr="00846A91">
              <w:rPr>
                <w:sz w:val="20"/>
              </w:rPr>
              <w:t>3.4</w:t>
            </w:r>
          </w:p>
        </w:tc>
        <w:tc>
          <w:tcPr>
            <w:tcW w:w="1635" w:type="dxa"/>
            <w:tcBorders>
              <w:top w:val="nil"/>
              <w:left w:val="nil"/>
              <w:bottom w:val="nil"/>
              <w:right w:val="nil"/>
            </w:tcBorders>
            <w:shd w:val="clear" w:color="auto" w:fill="FFFFFF" w:themeFill="background1"/>
          </w:tcPr>
          <w:p w14:paraId="06916A48" w14:textId="77777777" w:rsidR="002B65B9" w:rsidRPr="00846A91" w:rsidRDefault="002B65B9" w:rsidP="0003380F">
            <w:pPr>
              <w:spacing w:after="0" w:line="240" w:lineRule="auto"/>
              <w:rPr>
                <w:sz w:val="20"/>
              </w:rPr>
            </w:pPr>
            <w:r w:rsidRPr="00846A91">
              <w:rPr>
                <w:sz w:val="20"/>
              </w:rPr>
              <w:t>Ciprofloxacin</w:t>
            </w:r>
          </w:p>
        </w:tc>
        <w:tc>
          <w:tcPr>
            <w:tcW w:w="540" w:type="dxa"/>
            <w:tcBorders>
              <w:top w:val="nil"/>
              <w:left w:val="nil"/>
              <w:bottom w:val="nil"/>
              <w:right w:val="nil"/>
            </w:tcBorders>
            <w:shd w:val="clear" w:color="auto" w:fill="FFFFFF" w:themeFill="background1"/>
          </w:tcPr>
          <w:p w14:paraId="13A710F2" w14:textId="77777777" w:rsidR="002B65B9" w:rsidRPr="00846A91" w:rsidRDefault="002B65B9" w:rsidP="0003380F">
            <w:pPr>
              <w:spacing w:after="0" w:line="240" w:lineRule="auto"/>
              <w:jc w:val="center"/>
              <w:rPr>
                <w:sz w:val="20"/>
              </w:rPr>
            </w:pPr>
            <w:r w:rsidRPr="00846A91">
              <w:rPr>
                <w:sz w:val="20"/>
              </w:rPr>
              <w:t>1.8</w:t>
            </w:r>
          </w:p>
        </w:tc>
        <w:tc>
          <w:tcPr>
            <w:tcW w:w="1530" w:type="dxa"/>
            <w:tcBorders>
              <w:top w:val="nil"/>
              <w:left w:val="nil"/>
              <w:bottom w:val="nil"/>
              <w:right w:val="nil"/>
            </w:tcBorders>
            <w:shd w:val="clear" w:color="auto" w:fill="FFFFFF" w:themeFill="background1"/>
          </w:tcPr>
          <w:p w14:paraId="0B41BDA7" w14:textId="77777777" w:rsidR="002B65B9" w:rsidRPr="00846A91" w:rsidRDefault="002B65B9" w:rsidP="0003380F">
            <w:pPr>
              <w:spacing w:after="0" w:line="240" w:lineRule="auto"/>
              <w:rPr>
                <w:sz w:val="20"/>
              </w:rPr>
            </w:pPr>
            <w:r w:rsidRPr="00846A91">
              <w:rPr>
                <w:sz w:val="20"/>
              </w:rPr>
              <w:t xml:space="preserve">Pantoprazole </w:t>
            </w:r>
          </w:p>
        </w:tc>
        <w:tc>
          <w:tcPr>
            <w:tcW w:w="540" w:type="dxa"/>
            <w:tcBorders>
              <w:top w:val="nil"/>
              <w:left w:val="nil"/>
              <w:bottom w:val="nil"/>
              <w:right w:val="nil"/>
            </w:tcBorders>
            <w:shd w:val="clear" w:color="auto" w:fill="FFFFFF" w:themeFill="background1"/>
          </w:tcPr>
          <w:p w14:paraId="741569CF" w14:textId="77777777" w:rsidR="002B65B9" w:rsidRPr="00846A91" w:rsidRDefault="002B65B9" w:rsidP="0003380F">
            <w:pPr>
              <w:spacing w:after="0" w:line="240" w:lineRule="auto"/>
              <w:jc w:val="center"/>
              <w:rPr>
                <w:sz w:val="20"/>
              </w:rPr>
            </w:pPr>
            <w:r w:rsidRPr="00846A91">
              <w:rPr>
                <w:sz w:val="20"/>
              </w:rPr>
              <w:t>1.8</w:t>
            </w:r>
          </w:p>
        </w:tc>
      </w:tr>
      <w:tr w:rsidR="002B65B9" w:rsidRPr="00272761" w14:paraId="0D15B6FD" w14:textId="77777777" w:rsidTr="0003380F">
        <w:trPr>
          <w:trHeight w:val="471"/>
        </w:trPr>
        <w:tc>
          <w:tcPr>
            <w:tcW w:w="795" w:type="dxa"/>
            <w:tcBorders>
              <w:top w:val="nil"/>
              <w:left w:val="nil"/>
              <w:bottom w:val="nil"/>
              <w:right w:val="nil"/>
            </w:tcBorders>
            <w:shd w:val="clear" w:color="auto" w:fill="FFFFFF" w:themeFill="background1"/>
            <w:noWrap/>
            <w:hideMark/>
          </w:tcPr>
          <w:p w14:paraId="4CE78645" w14:textId="77777777" w:rsidR="002B65B9" w:rsidRPr="00846A91" w:rsidRDefault="002B65B9" w:rsidP="0003380F">
            <w:pPr>
              <w:spacing w:after="0" w:line="240" w:lineRule="auto"/>
              <w:rPr>
                <w:sz w:val="20"/>
              </w:rPr>
            </w:pPr>
            <w:r w:rsidRPr="00846A91">
              <w:rPr>
                <w:sz w:val="20"/>
              </w:rPr>
              <w:t>20</w:t>
            </w:r>
          </w:p>
        </w:tc>
        <w:tc>
          <w:tcPr>
            <w:tcW w:w="1530" w:type="dxa"/>
            <w:tcBorders>
              <w:top w:val="nil"/>
              <w:left w:val="nil"/>
              <w:bottom w:val="nil"/>
              <w:right w:val="nil"/>
            </w:tcBorders>
            <w:shd w:val="clear" w:color="auto" w:fill="FFFFFF" w:themeFill="background1"/>
            <w:noWrap/>
            <w:hideMark/>
          </w:tcPr>
          <w:p w14:paraId="6916D550" w14:textId="77777777" w:rsidR="002B65B9" w:rsidRPr="00846A91" w:rsidRDefault="002B65B9" w:rsidP="0003380F">
            <w:pPr>
              <w:spacing w:after="0" w:line="240" w:lineRule="auto"/>
              <w:jc w:val="both"/>
              <w:rPr>
                <w:sz w:val="20"/>
              </w:rPr>
            </w:pPr>
            <w:r w:rsidRPr="00846A91">
              <w:rPr>
                <w:sz w:val="20"/>
              </w:rPr>
              <w:t>Nystatin</w:t>
            </w:r>
          </w:p>
        </w:tc>
        <w:tc>
          <w:tcPr>
            <w:tcW w:w="630" w:type="dxa"/>
            <w:tcBorders>
              <w:top w:val="nil"/>
              <w:left w:val="nil"/>
              <w:bottom w:val="nil"/>
              <w:right w:val="nil"/>
            </w:tcBorders>
            <w:shd w:val="clear" w:color="auto" w:fill="FFFFFF" w:themeFill="background1"/>
            <w:noWrap/>
            <w:hideMark/>
          </w:tcPr>
          <w:p w14:paraId="2C024C82" w14:textId="77777777" w:rsidR="002B65B9" w:rsidRPr="00846A91" w:rsidRDefault="002B65B9" w:rsidP="0003380F">
            <w:pPr>
              <w:spacing w:after="0" w:line="240" w:lineRule="auto"/>
              <w:jc w:val="center"/>
              <w:rPr>
                <w:sz w:val="20"/>
              </w:rPr>
            </w:pPr>
            <w:r w:rsidRPr="00846A91">
              <w:rPr>
                <w:sz w:val="20"/>
              </w:rPr>
              <w:t>4.0</w:t>
            </w:r>
          </w:p>
        </w:tc>
        <w:tc>
          <w:tcPr>
            <w:tcW w:w="1530" w:type="dxa"/>
            <w:tcBorders>
              <w:top w:val="nil"/>
              <w:left w:val="nil"/>
              <w:bottom w:val="nil"/>
              <w:right w:val="nil"/>
            </w:tcBorders>
            <w:shd w:val="clear" w:color="auto" w:fill="FFFFFF" w:themeFill="background1"/>
          </w:tcPr>
          <w:p w14:paraId="6F3DE706" w14:textId="77777777" w:rsidR="002B65B9" w:rsidRPr="00846A91" w:rsidRDefault="002B65B9" w:rsidP="0003380F">
            <w:pPr>
              <w:spacing w:after="0" w:line="240" w:lineRule="auto"/>
              <w:rPr>
                <w:sz w:val="20"/>
              </w:rPr>
            </w:pPr>
            <w:r w:rsidRPr="00846A91">
              <w:rPr>
                <w:sz w:val="20"/>
              </w:rPr>
              <w:t>Risperidone</w:t>
            </w:r>
          </w:p>
        </w:tc>
        <w:tc>
          <w:tcPr>
            <w:tcW w:w="630" w:type="dxa"/>
            <w:tcBorders>
              <w:top w:val="nil"/>
              <w:left w:val="nil"/>
              <w:bottom w:val="nil"/>
              <w:right w:val="nil"/>
            </w:tcBorders>
            <w:shd w:val="clear" w:color="auto" w:fill="FFFFFF" w:themeFill="background1"/>
          </w:tcPr>
          <w:p w14:paraId="34D4BC2E" w14:textId="77777777" w:rsidR="002B65B9" w:rsidRPr="00846A91" w:rsidRDefault="002B65B9" w:rsidP="0003380F">
            <w:pPr>
              <w:spacing w:after="0" w:line="240" w:lineRule="auto"/>
              <w:jc w:val="center"/>
              <w:rPr>
                <w:sz w:val="20"/>
              </w:rPr>
            </w:pPr>
            <w:r w:rsidRPr="00846A91">
              <w:rPr>
                <w:sz w:val="20"/>
              </w:rPr>
              <w:t>3.4</w:t>
            </w:r>
          </w:p>
        </w:tc>
        <w:tc>
          <w:tcPr>
            <w:tcW w:w="1530" w:type="dxa"/>
            <w:tcBorders>
              <w:top w:val="nil"/>
              <w:left w:val="nil"/>
              <w:bottom w:val="nil"/>
              <w:right w:val="nil"/>
            </w:tcBorders>
            <w:shd w:val="clear" w:color="auto" w:fill="FFFFFF" w:themeFill="background1"/>
          </w:tcPr>
          <w:p w14:paraId="6043F2DF" w14:textId="77777777" w:rsidR="002B65B9" w:rsidRPr="00846A91" w:rsidRDefault="002B65B9" w:rsidP="0003380F">
            <w:pPr>
              <w:spacing w:after="0" w:line="240" w:lineRule="auto"/>
              <w:rPr>
                <w:sz w:val="20"/>
              </w:rPr>
            </w:pPr>
            <w:r w:rsidRPr="00846A91">
              <w:rPr>
                <w:sz w:val="20"/>
              </w:rPr>
              <w:t xml:space="preserve">Warfarin </w:t>
            </w:r>
          </w:p>
        </w:tc>
        <w:tc>
          <w:tcPr>
            <w:tcW w:w="630" w:type="dxa"/>
            <w:tcBorders>
              <w:top w:val="nil"/>
              <w:left w:val="nil"/>
              <w:bottom w:val="nil"/>
              <w:right w:val="nil"/>
            </w:tcBorders>
            <w:shd w:val="clear" w:color="auto" w:fill="FFFFFF" w:themeFill="background1"/>
          </w:tcPr>
          <w:p w14:paraId="29C93DC3" w14:textId="77777777" w:rsidR="002B65B9" w:rsidRPr="00846A91" w:rsidRDefault="002B65B9" w:rsidP="0003380F">
            <w:pPr>
              <w:spacing w:after="0" w:line="240" w:lineRule="auto"/>
              <w:jc w:val="center"/>
              <w:rPr>
                <w:sz w:val="20"/>
              </w:rPr>
            </w:pPr>
            <w:r w:rsidRPr="00846A91">
              <w:rPr>
                <w:sz w:val="20"/>
              </w:rPr>
              <w:t>3.5</w:t>
            </w:r>
          </w:p>
        </w:tc>
        <w:tc>
          <w:tcPr>
            <w:tcW w:w="1530" w:type="dxa"/>
            <w:tcBorders>
              <w:top w:val="nil"/>
              <w:left w:val="nil"/>
              <w:bottom w:val="nil"/>
              <w:right w:val="nil"/>
            </w:tcBorders>
            <w:shd w:val="clear" w:color="auto" w:fill="FFFFFF" w:themeFill="background1"/>
          </w:tcPr>
          <w:p w14:paraId="28533922" w14:textId="77777777" w:rsidR="002B65B9" w:rsidRPr="00846A91" w:rsidRDefault="002B65B9" w:rsidP="0003380F">
            <w:pPr>
              <w:spacing w:after="0" w:line="240" w:lineRule="auto"/>
              <w:rPr>
                <w:sz w:val="20"/>
              </w:rPr>
            </w:pPr>
            <w:r w:rsidRPr="00846A91">
              <w:rPr>
                <w:sz w:val="20"/>
              </w:rPr>
              <w:t>Isosorbide Mononitrate</w:t>
            </w:r>
          </w:p>
        </w:tc>
        <w:tc>
          <w:tcPr>
            <w:tcW w:w="630" w:type="dxa"/>
            <w:tcBorders>
              <w:top w:val="nil"/>
              <w:left w:val="nil"/>
              <w:bottom w:val="nil"/>
              <w:right w:val="nil"/>
            </w:tcBorders>
            <w:shd w:val="clear" w:color="auto" w:fill="FFFFFF" w:themeFill="background1"/>
          </w:tcPr>
          <w:p w14:paraId="1BC39848" w14:textId="77777777" w:rsidR="002B65B9" w:rsidRPr="00846A91" w:rsidRDefault="002B65B9" w:rsidP="0003380F">
            <w:pPr>
              <w:spacing w:after="0" w:line="240" w:lineRule="auto"/>
              <w:jc w:val="center"/>
              <w:rPr>
                <w:sz w:val="20"/>
              </w:rPr>
            </w:pPr>
            <w:r w:rsidRPr="00846A91">
              <w:rPr>
                <w:sz w:val="20"/>
              </w:rPr>
              <w:t>3.4</w:t>
            </w:r>
          </w:p>
        </w:tc>
        <w:tc>
          <w:tcPr>
            <w:tcW w:w="1635" w:type="dxa"/>
            <w:tcBorders>
              <w:top w:val="nil"/>
              <w:left w:val="nil"/>
              <w:bottom w:val="nil"/>
              <w:right w:val="nil"/>
            </w:tcBorders>
            <w:shd w:val="clear" w:color="auto" w:fill="FFFFFF" w:themeFill="background1"/>
          </w:tcPr>
          <w:p w14:paraId="39B5CE36" w14:textId="77777777" w:rsidR="002B65B9" w:rsidRPr="00846A91" w:rsidRDefault="002B65B9" w:rsidP="0003380F">
            <w:pPr>
              <w:spacing w:after="0" w:line="240" w:lineRule="auto"/>
              <w:rPr>
                <w:sz w:val="20"/>
              </w:rPr>
            </w:pPr>
            <w:r w:rsidRPr="00846A91">
              <w:rPr>
                <w:sz w:val="20"/>
              </w:rPr>
              <w:t xml:space="preserve">Donepezil </w:t>
            </w:r>
          </w:p>
        </w:tc>
        <w:tc>
          <w:tcPr>
            <w:tcW w:w="540" w:type="dxa"/>
            <w:tcBorders>
              <w:top w:val="nil"/>
              <w:left w:val="nil"/>
              <w:bottom w:val="nil"/>
              <w:right w:val="nil"/>
            </w:tcBorders>
            <w:shd w:val="clear" w:color="auto" w:fill="FFFFFF" w:themeFill="background1"/>
          </w:tcPr>
          <w:p w14:paraId="0EB4AF1C" w14:textId="77777777" w:rsidR="002B65B9" w:rsidRPr="00846A91" w:rsidRDefault="002B65B9" w:rsidP="0003380F">
            <w:pPr>
              <w:spacing w:after="0" w:line="240" w:lineRule="auto"/>
              <w:jc w:val="center"/>
              <w:rPr>
                <w:sz w:val="20"/>
              </w:rPr>
            </w:pPr>
            <w:r w:rsidRPr="00846A91">
              <w:rPr>
                <w:sz w:val="20"/>
              </w:rPr>
              <w:t>1.8</w:t>
            </w:r>
          </w:p>
        </w:tc>
        <w:tc>
          <w:tcPr>
            <w:tcW w:w="1530" w:type="dxa"/>
            <w:tcBorders>
              <w:top w:val="nil"/>
              <w:left w:val="nil"/>
              <w:bottom w:val="nil"/>
              <w:right w:val="nil"/>
            </w:tcBorders>
            <w:shd w:val="clear" w:color="auto" w:fill="FFFFFF" w:themeFill="background1"/>
          </w:tcPr>
          <w:p w14:paraId="44AE6F35" w14:textId="77777777" w:rsidR="002B65B9" w:rsidRPr="00846A91" w:rsidRDefault="002B65B9" w:rsidP="0003380F">
            <w:pPr>
              <w:spacing w:after="0" w:line="240" w:lineRule="auto"/>
              <w:rPr>
                <w:sz w:val="20"/>
              </w:rPr>
            </w:pPr>
            <w:r w:rsidRPr="00846A91">
              <w:rPr>
                <w:sz w:val="20"/>
              </w:rPr>
              <w:t xml:space="preserve">Atropine </w:t>
            </w:r>
          </w:p>
        </w:tc>
        <w:tc>
          <w:tcPr>
            <w:tcW w:w="540" w:type="dxa"/>
            <w:tcBorders>
              <w:top w:val="nil"/>
              <w:left w:val="nil"/>
              <w:bottom w:val="nil"/>
              <w:right w:val="nil"/>
            </w:tcBorders>
            <w:shd w:val="clear" w:color="auto" w:fill="FFFFFF" w:themeFill="background1"/>
          </w:tcPr>
          <w:p w14:paraId="72ED1A45" w14:textId="77777777" w:rsidR="002B65B9" w:rsidRPr="00846A91" w:rsidRDefault="002B65B9" w:rsidP="0003380F">
            <w:pPr>
              <w:spacing w:after="0" w:line="240" w:lineRule="auto"/>
              <w:jc w:val="center"/>
              <w:rPr>
                <w:sz w:val="20"/>
              </w:rPr>
            </w:pPr>
            <w:r w:rsidRPr="00846A91">
              <w:rPr>
                <w:sz w:val="20"/>
              </w:rPr>
              <w:t>1.7</w:t>
            </w:r>
          </w:p>
        </w:tc>
      </w:tr>
      <w:tr w:rsidR="00EE6144" w:rsidRPr="00272761" w14:paraId="52807F83" w14:textId="77777777" w:rsidTr="0003380F">
        <w:trPr>
          <w:trHeight w:val="20"/>
        </w:trPr>
        <w:tc>
          <w:tcPr>
            <w:tcW w:w="795" w:type="dxa"/>
            <w:tcBorders>
              <w:top w:val="nil"/>
              <w:left w:val="nil"/>
              <w:bottom w:val="nil"/>
              <w:right w:val="nil"/>
            </w:tcBorders>
            <w:shd w:val="clear" w:color="auto" w:fill="FFFFFF" w:themeFill="background1"/>
            <w:noWrap/>
          </w:tcPr>
          <w:p w14:paraId="61CD82B3" w14:textId="77777777" w:rsidR="00EE6144" w:rsidRDefault="00EE6144" w:rsidP="0003380F">
            <w:pPr>
              <w:spacing w:after="0" w:line="240" w:lineRule="auto"/>
              <w:rPr>
                <w:sz w:val="20"/>
              </w:rPr>
            </w:pPr>
            <w:r w:rsidRPr="00846A91">
              <w:rPr>
                <w:sz w:val="20"/>
              </w:rPr>
              <w:t>21</w:t>
            </w:r>
          </w:p>
          <w:p w14:paraId="6342C936" w14:textId="5590D775" w:rsidR="009C6575" w:rsidRDefault="009C6575" w:rsidP="0003380F">
            <w:pPr>
              <w:spacing w:after="0" w:line="240" w:lineRule="auto"/>
              <w:rPr>
                <w:sz w:val="20"/>
              </w:rPr>
            </w:pPr>
          </w:p>
        </w:tc>
        <w:tc>
          <w:tcPr>
            <w:tcW w:w="1530" w:type="dxa"/>
            <w:tcBorders>
              <w:top w:val="nil"/>
              <w:left w:val="nil"/>
              <w:bottom w:val="nil"/>
              <w:right w:val="nil"/>
            </w:tcBorders>
            <w:shd w:val="clear" w:color="auto" w:fill="FFFFFF" w:themeFill="background1"/>
            <w:noWrap/>
          </w:tcPr>
          <w:p w14:paraId="142E17F4" w14:textId="30A673E7" w:rsidR="00EE6144" w:rsidRPr="00846A91" w:rsidRDefault="00EE6144" w:rsidP="0003380F">
            <w:pPr>
              <w:spacing w:after="0" w:line="240" w:lineRule="auto"/>
              <w:jc w:val="both"/>
              <w:rPr>
                <w:sz w:val="20"/>
              </w:rPr>
            </w:pPr>
            <w:r w:rsidRPr="00846A91">
              <w:rPr>
                <w:sz w:val="20"/>
              </w:rPr>
              <w:t>Simvastatin</w:t>
            </w:r>
          </w:p>
        </w:tc>
        <w:tc>
          <w:tcPr>
            <w:tcW w:w="630" w:type="dxa"/>
            <w:tcBorders>
              <w:top w:val="nil"/>
              <w:left w:val="nil"/>
              <w:bottom w:val="nil"/>
              <w:right w:val="nil"/>
            </w:tcBorders>
            <w:shd w:val="clear" w:color="auto" w:fill="FFFFFF" w:themeFill="background1"/>
            <w:noWrap/>
          </w:tcPr>
          <w:p w14:paraId="47599E5E" w14:textId="7CB93AEF" w:rsidR="00EE6144" w:rsidRPr="00846A91" w:rsidRDefault="00EE6144" w:rsidP="0003380F">
            <w:pPr>
              <w:spacing w:after="0" w:line="240" w:lineRule="auto"/>
              <w:jc w:val="center"/>
              <w:rPr>
                <w:sz w:val="20"/>
              </w:rPr>
            </w:pPr>
            <w:r w:rsidRPr="00846A91">
              <w:rPr>
                <w:sz w:val="20"/>
              </w:rPr>
              <w:t>4.0</w:t>
            </w:r>
          </w:p>
        </w:tc>
        <w:tc>
          <w:tcPr>
            <w:tcW w:w="1530" w:type="dxa"/>
            <w:tcBorders>
              <w:top w:val="nil"/>
              <w:left w:val="nil"/>
              <w:bottom w:val="nil"/>
              <w:right w:val="nil"/>
            </w:tcBorders>
            <w:shd w:val="clear" w:color="auto" w:fill="FFFFFF" w:themeFill="background1"/>
          </w:tcPr>
          <w:p w14:paraId="541D54DD" w14:textId="6916D0BE" w:rsidR="00EE6144" w:rsidRPr="00846A91" w:rsidRDefault="00EE6144" w:rsidP="0003380F">
            <w:pPr>
              <w:spacing w:after="0" w:line="240" w:lineRule="auto"/>
              <w:rPr>
                <w:sz w:val="20"/>
              </w:rPr>
            </w:pPr>
            <w:r w:rsidRPr="00846A91">
              <w:rPr>
                <w:sz w:val="20"/>
              </w:rPr>
              <w:t>Fentanyl</w:t>
            </w:r>
          </w:p>
        </w:tc>
        <w:tc>
          <w:tcPr>
            <w:tcW w:w="630" w:type="dxa"/>
            <w:tcBorders>
              <w:top w:val="nil"/>
              <w:left w:val="nil"/>
              <w:bottom w:val="nil"/>
              <w:right w:val="nil"/>
            </w:tcBorders>
            <w:shd w:val="clear" w:color="auto" w:fill="FFFFFF" w:themeFill="background1"/>
          </w:tcPr>
          <w:p w14:paraId="044D7E87" w14:textId="2B52F4D9" w:rsidR="00EE6144" w:rsidRPr="00846A91" w:rsidRDefault="00EE6144" w:rsidP="0003380F">
            <w:pPr>
              <w:spacing w:after="0" w:line="240" w:lineRule="auto"/>
              <w:jc w:val="center"/>
              <w:rPr>
                <w:sz w:val="20"/>
              </w:rPr>
            </w:pPr>
            <w:r w:rsidRPr="00846A91">
              <w:rPr>
                <w:sz w:val="20"/>
              </w:rPr>
              <w:t>3.3</w:t>
            </w:r>
          </w:p>
        </w:tc>
        <w:tc>
          <w:tcPr>
            <w:tcW w:w="1530" w:type="dxa"/>
            <w:tcBorders>
              <w:top w:val="nil"/>
              <w:left w:val="nil"/>
              <w:bottom w:val="nil"/>
              <w:right w:val="nil"/>
            </w:tcBorders>
            <w:shd w:val="clear" w:color="auto" w:fill="FFFFFF" w:themeFill="background1"/>
          </w:tcPr>
          <w:p w14:paraId="2BFBA529" w14:textId="2887EAEC" w:rsidR="00EE6144" w:rsidRPr="00846A91" w:rsidRDefault="00EE6144" w:rsidP="0003380F">
            <w:pPr>
              <w:spacing w:after="0" w:line="240" w:lineRule="auto"/>
              <w:rPr>
                <w:sz w:val="20"/>
              </w:rPr>
            </w:pPr>
            <w:r w:rsidRPr="00846A91">
              <w:rPr>
                <w:sz w:val="20"/>
              </w:rPr>
              <w:t xml:space="preserve">Pantoprazole </w:t>
            </w:r>
          </w:p>
        </w:tc>
        <w:tc>
          <w:tcPr>
            <w:tcW w:w="630" w:type="dxa"/>
            <w:tcBorders>
              <w:top w:val="nil"/>
              <w:left w:val="nil"/>
              <w:bottom w:val="nil"/>
              <w:right w:val="nil"/>
            </w:tcBorders>
            <w:shd w:val="clear" w:color="auto" w:fill="FFFFFF" w:themeFill="background1"/>
          </w:tcPr>
          <w:p w14:paraId="6FFBDE7F" w14:textId="014C1B28" w:rsidR="00EE6144" w:rsidRPr="00846A91" w:rsidRDefault="00EE6144" w:rsidP="0003380F">
            <w:pPr>
              <w:spacing w:after="0" w:line="240" w:lineRule="auto"/>
              <w:jc w:val="center"/>
              <w:rPr>
                <w:sz w:val="20"/>
              </w:rPr>
            </w:pPr>
            <w:r w:rsidRPr="00846A91">
              <w:rPr>
                <w:sz w:val="20"/>
              </w:rPr>
              <w:t>3.2</w:t>
            </w:r>
          </w:p>
        </w:tc>
        <w:tc>
          <w:tcPr>
            <w:tcW w:w="1530" w:type="dxa"/>
            <w:tcBorders>
              <w:top w:val="nil"/>
              <w:left w:val="nil"/>
              <w:bottom w:val="nil"/>
              <w:right w:val="nil"/>
            </w:tcBorders>
            <w:shd w:val="clear" w:color="auto" w:fill="FFFFFF" w:themeFill="background1"/>
          </w:tcPr>
          <w:p w14:paraId="2C93AEB7" w14:textId="5FBA8294" w:rsidR="00EE6144" w:rsidRPr="00846A91" w:rsidRDefault="00EE6144" w:rsidP="0003380F">
            <w:pPr>
              <w:spacing w:after="0" w:line="240" w:lineRule="auto"/>
              <w:rPr>
                <w:sz w:val="20"/>
              </w:rPr>
            </w:pPr>
            <w:r w:rsidRPr="00846A91">
              <w:rPr>
                <w:sz w:val="20"/>
              </w:rPr>
              <w:t xml:space="preserve">Albuterol </w:t>
            </w:r>
          </w:p>
        </w:tc>
        <w:tc>
          <w:tcPr>
            <w:tcW w:w="630" w:type="dxa"/>
            <w:tcBorders>
              <w:top w:val="nil"/>
              <w:left w:val="nil"/>
              <w:bottom w:val="nil"/>
              <w:right w:val="nil"/>
            </w:tcBorders>
            <w:shd w:val="clear" w:color="auto" w:fill="FFFFFF" w:themeFill="background1"/>
          </w:tcPr>
          <w:p w14:paraId="38A270A2" w14:textId="113058B0" w:rsidR="00EE6144" w:rsidRPr="00846A91" w:rsidRDefault="00EE6144" w:rsidP="0003380F">
            <w:pPr>
              <w:spacing w:after="0" w:line="240" w:lineRule="auto"/>
              <w:jc w:val="center"/>
              <w:rPr>
                <w:sz w:val="20"/>
              </w:rPr>
            </w:pPr>
            <w:r w:rsidRPr="00846A91">
              <w:rPr>
                <w:sz w:val="20"/>
              </w:rPr>
              <w:t>3.3</w:t>
            </w:r>
          </w:p>
        </w:tc>
        <w:tc>
          <w:tcPr>
            <w:tcW w:w="1635" w:type="dxa"/>
            <w:tcBorders>
              <w:top w:val="nil"/>
              <w:left w:val="nil"/>
              <w:bottom w:val="nil"/>
              <w:right w:val="nil"/>
            </w:tcBorders>
            <w:shd w:val="clear" w:color="auto" w:fill="FFFFFF" w:themeFill="background1"/>
          </w:tcPr>
          <w:p w14:paraId="4AC7BBA3" w14:textId="06C70C9E" w:rsidR="00EE6144" w:rsidRPr="00846A91" w:rsidRDefault="00EE6144" w:rsidP="0003380F">
            <w:pPr>
              <w:spacing w:after="0" w:line="240" w:lineRule="auto"/>
              <w:rPr>
                <w:sz w:val="20"/>
              </w:rPr>
            </w:pPr>
            <w:r w:rsidRPr="00846A91">
              <w:rPr>
                <w:sz w:val="20"/>
              </w:rPr>
              <w:t xml:space="preserve">Memantine </w:t>
            </w:r>
          </w:p>
        </w:tc>
        <w:tc>
          <w:tcPr>
            <w:tcW w:w="540" w:type="dxa"/>
            <w:tcBorders>
              <w:top w:val="nil"/>
              <w:left w:val="nil"/>
              <w:bottom w:val="nil"/>
              <w:right w:val="nil"/>
            </w:tcBorders>
            <w:shd w:val="clear" w:color="auto" w:fill="FFFFFF" w:themeFill="background1"/>
          </w:tcPr>
          <w:p w14:paraId="6B762C50" w14:textId="1D3BB11D" w:rsidR="00EE6144" w:rsidRPr="00846A91" w:rsidRDefault="00EE6144" w:rsidP="0003380F">
            <w:pPr>
              <w:spacing w:after="0" w:line="240" w:lineRule="auto"/>
              <w:jc w:val="center"/>
              <w:rPr>
                <w:sz w:val="20"/>
              </w:rPr>
            </w:pPr>
            <w:r w:rsidRPr="00846A91">
              <w:rPr>
                <w:sz w:val="20"/>
              </w:rPr>
              <w:t>1.8</w:t>
            </w:r>
          </w:p>
        </w:tc>
        <w:tc>
          <w:tcPr>
            <w:tcW w:w="1530" w:type="dxa"/>
            <w:tcBorders>
              <w:top w:val="nil"/>
              <w:left w:val="nil"/>
              <w:bottom w:val="nil"/>
              <w:right w:val="nil"/>
            </w:tcBorders>
            <w:shd w:val="clear" w:color="auto" w:fill="FFFFFF" w:themeFill="background1"/>
          </w:tcPr>
          <w:p w14:paraId="2F8ED992" w14:textId="1606635B" w:rsidR="00EE6144" w:rsidRPr="00846A91" w:rsidRDefault="00EE6144" w:rsidP="0003380F">
            <w:pPr>
              <w:spacing w:after="0" w:line="240" w:lineRule="auto"/>
              <w:rPr>
                <w:sz w:val="20"/>
              </w:rPr>
            </w:pPr>
            <w:r w:rsidRPr="00846A91">
              <w:rPr>
                <w:sz w:val="20"/>
              </w:rPr>
              <w:t xml:space="preserve">Citalopram </w:t>
            </w:r>
          </w:p>
        </w:tc>
        <w:tc>
          <w:tcPr>
            <w:tcW w:w="540" w:type="dxa"/>
            <w:tcBorders>
              <w:top w:val="nil"/>
              <w:left w:val="nil"/>
              <w:bottom w:val="nil"/>
              <w:right w:val="nil"/>
            </w:tcBorders>
            <w:shd w:val="clear" w:color="auto" w:fill="FFFFFF" w:themeFill="background1"/>
          </w:tcPr>
          <w:p w14:paraId="163D8E15" w14:textId="0E1E47EB" w:rsidR="00EE6144" w:rsidRPr="00846A91" w:rsidRDefault="00EE6144" w:rsidP="0003380F">
            <w:pPr>
              <w:spacing w:after="0" w:line="240" w:lineRule="auto"/>
              <w:jc w:val="center"/>
              <w:rPr>
                <w:sz w:val="20"/>
              </w:rPr>
            </w:pPr>
            <w:r w:rsidRPr="00846A91">
              <w:rPr>
                <w:sz w:val="20"/>
              </w:rPr>
              <w:t>1.7</w:t>
            </w:r>
          </w:p>
        </w:tc>
      </w:tr>
      <w:tr w:rsidR="002B65B9" w:rsidRPr="00272761" w14:paraId="7FBFAF18" w14:textId="77777777" w:rsidTr="0003380F">
        <w:trPr>
          <w:trHeight w:val="20"/>
        </w:trPr>
        <w:tc>
          <w:tcPr>
            <w:tcW w:w="795" w:type="dxa"/>
            <w:tcBorders>
              <w:top w:val="nil"/>
              <w:left w:val="nil"/>
              <w:bottom w:val="nil"/>
              <w:right w:val="nil"/>
            </w:tcBorders>
            <w:shd w:val="clear" w:color="auto" w:fill="FFFFFF" w:themeFill="background1"/>
            <w:noWrap/>
            <w:hideMark/>
          </w:tcPr>
          <w:p w14:paraId="5193700B" w14:textId="77777777" w:rsidR="002B65B9" w:rsidRPr="00846A91" w:rsidRDefault="002B65B9" w:rsidP="0003380F">
            <w:pPr>
              <w:spacing w:after="0" w:line="240" w:lineRule="auto"/>
              <w:rPr>
                <w:sz w:val="20"/>
              </w:rPr>
            </w:pPr>
            <w:r>
              <w:rPr>
                <w:sz w:val="20"/>
              </w:rPr>
              <w:t>22</w:t>
            </w:r>
          </w:p>
          <w:p w14:paraId="203E415F" w14:textId="77777777" w:rsidR="002B65B9" w:rsidRPr="00846A91" w:rsidRDefault="002B65B9"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0F5E9828" w14:textId="77777777" w:rsidR="002B65B9" w:rsidRPr="00846A91" w:rsidRDefault="002B65B9" w:rsidP="0003380F">
            <w:pPr>
              <w:spacing w:after="0" w:line="240" w:lineRule="auto"/>
              <w:jc w:val="both"/>
              <w:rPr>
                <w:sz w:val="20"/>
              </w:rPr>
            </w:pPr>
            <w:r w:rsidRPr="00846A91">
              <w:rPr>
                <w:sz w:val="20"/>
              </w:rPr>
              <w:t xml:space="preserve">Citalopram </w:t>
            </w:r>
          </w:p>
        </w:tc>
        <w:tc>
          <w:tcPr>
            <w:tcW w:w="630" w:type="dxa"/>
            <w:tcBorders>
              <w:top w:val="nil"/>
              <w:left w:val="nil"/>
              <w:bottom w:val="nil"/>
              <w:right w:val="nil"/>
            </w:tcBorders>
            <w:shd w:val="clear" w:color="auto" w:fill="FFFFFF" w:themeFill="background1"/>
            <w:noWrap/>
            <w:hideMark/>
          </w:tcPr>
          <w:p w14:paraId="3AFFE450" w14:textId="77777777" w:rsidR="002B65B9" w:rsidRPr="00846A91" w:rsidRDefault="002B65B9" w:rsidP="0003380F">
            <w:pPr>
              <w:spacing w:after="0" w:line="240" w:lineRule="auto"/>
              <w:jc w:val="center"/>
              <w:rPr>
                <w:sz w:val="20"/>
              </w:rPr>
            </w:pPr>
            <w:r w:rsidRPr="00846A91">
              <w:rPr>
                <w:sz w:val="20"/>
              </w:rPr>
              <w:t>3.9</w:t>
            </w:r>
          </w:p>
        </w:tc>
        <w:tc>
          <w:tcPr>
            <w:tcW w:w="1530" w:type="dxa"/>
            <w:tcBorders>
              <w:top w:val="nil"/>
              <w:left w:val="nil"/>
              <w:bottom w:val="nil"/>
              <w:right w:val="nil"/>
            </w:tcBorders>
            <w:shd w:val="clear" w:color="auto" w:fill="FFFFFF" w:themeFill="background1"/>
          </w:tcPr>
          <w:p w14:paraId="05E6AA3B" w14:textId="77777777" w:rsidR="002B65B9" w:rsidRPr="00846A91" w:rsidRDefault="002B65B9" w:rsidP="0003380F">
            <w:pPr>
              <w:spacing w:after="0" w:line="240" w:lineRule="auto"/>
              <w:rPr>
                <w:sz w:val="20"/>
              </w:rPr>
            </w:pPr>
            <w:r w:rsidRPr="00846A91">
              <w:rPr>
                <w:sz w:val="20"/>
              </w:rPr>
              <w:t>SMZ-TMP</w:t>
            </w:r>
          </w:p>
        </w:tc>
        <w:tc>
          <w:tcPr>
            <w:tcW w:w="630" w:type="dxa"/>
            <w:tcBorders>
              <w:top w:val="nil"/>
              <w:left w:val="nil"/>
              <w:bottom w:val="nil"/>
              <w:right w:val="nil"/>
            </w:tcBorders>
            <w:shd w:val="clear" w:color="auto" w:fill="FFFFFF" w:themeFill="background1"/>
          </w:tcPr>
          <w:p w14:paraId="7D1D52C0" w14:textId="77777777" w:rsidR="002B65B9" w:rsidRPr="00846A91" w:rsidRDefault="002B65B9" w:rsidP="0003380F">
            <w:pPr>
              <w:spacing w:after="0" w:line="240" w:lineRule="auto"/>
              <w:jc w:val="center"/>
              <w:rPr>
                <w:sz w:val="20"/>
              </w:rPr>
            </w:pPr>
            <w:r w:rsidRPr="00846A91">
              <w:rPr>
                <w:sz w:val="20"/>
              </w:rPr>
              <w:t>3.3</w:t>
            </w:r>
          </w:p>
        </w:tc>
        <w:tc>
          <w:tcPr>
            <w:tcW w:w="1530" w:type="dxa"/>
            <w:tcBorders>
              <w:top w:val="nil"/>
              <w:left w:val="nil"/>
              <w:bottom w:val="nil"/>
              <w:right w:val="nil"/>
            </w:tcBorders>
            <w:shd w:val="clear" w:color="auto" w:fill="FFFFFF" w:themeFill="background1"/>
          </w:tcPr>
          <w:p w14:paraId="68FC8E3A" w14:textId="77777777" w:rsidR="002B65B9" w:rsidRPr="00846A91" w:rsidRDefault="002B65B9" w:rsidP="0003380F">
            <w:pPr>
              <w:spacing w:after="0" w:line="240" w:lineRule="auto"/>
              <w:rPr>
                <w:sz w:val="20"/>
              </w:rPr>
            </w:pPr>
            <w:r w:rsidRPr="00846A91">
              <w:rPr>
                <w:sz w:val="20"/>
              </w:rPr>
              <w:t>Azithromycin</w:t>
            </w:r>
          </w:p>
        </w:tc>
        <w:tc>
          <w:tcPr>
            <w:tcW w:w="630" w:type="dxa"/>
            <w:tcBorders>
              <w:top w:val="nil"/>
              <w:left w:val="nil"/>
              <w:bottom w:val="nil"/>
              <w:right w:val="nil"/>
            </w:tcBorders>
            <w:shd w:val="clear" w:color="auto" w:fill="FFFFFF" w:themeFill="background1"/>
          </w:tcPr>
          <w:p w14:paraId="3BE9384A" w14:textId="77777777" w:rsidR="002B65B9" w:rsidRPr="00846A91" w:rsidRDefault="002B65B9" w:rsidP="0003380F">
            <w:pPr>
              <w:spacing w:after="0" w:line="240" w:lineRule="auto"/>
              <w:jc w:val="center"/>
              <w:rPr>
                <w:sz w:val="20"/>
              </w:rPr>
            </w:pPr>
            <w:r w:rsidRPr="00846A91">
              <w:rPr>
                <w:sz w:val="20"/>
              </w:rPr>
              <w:t>3.1</w:t>
            </w:r>
          </w:p>
        </w:tc>
        <w:tc>
          <w:tcPr>
            <w:tcW w:w="1530" w:type="dxa"/>
            <w:tcBorders>
              <w:top w:val="nil"/>
              <w:left w:val="nil"/>
              <w:bottom w:val="nil"/>
              <w:right w:val="nil"/>
            </w:tcBorders>
            <w:shd w:val="clear" w:color="auto" w:fill="FFFFFF" w:themeFill="background1"/>
          </w:tcPr>
          <w:p w14:paraId="7D2133F7" w14:textId="77777777" w:rsidR="002B65B9" w:rsidRPr="00846A91" w:rsidRDefault="002B65B9" w:rsidP="0003380F">
            <w:pPr>
              <w:spacing w:after="0" w:line="240" w:lineRule="auto"/>
              <w:rPr>
                <w:sz w:val="20"/>
              </w:rPr>
            </w:pPr>
            <w:r w:rsidRPr="00846A91">
              <w:rPr>
                <w:sz w:val="20"/>
              </w:rPr>
              <w:t>Prednisone</w:t>
            </w:r>
          </w:p>
        </w:tc>
        <w:tc>
          <w:tcPr>
            <w:tcW w:w="630" w:type="dxa"/>
            <w:tcBorders>
              <w:top w:val="nil"/>
              <w:left w:val="nil"/>
              <w:bottom w:val="nil"/>
              <w:right w:val="nil"/>
            </w:tcBorders>
            <w:shd w:val="clear" w:color="auto" w:fill="FFFFFF" w:themeFill="background1"/>
          </w:tcPr>
          <w:p w14:paraId="7DD376B3" w14:textId="77777777" w:rsidR="002B65B9" w:rsidRPr="00846A91" w:rsidRDefault="002B65B9" w:rsidP="0003380F">
            <w:pPr>
              <w:spacing w:after="0" w:line="240" w:lineRule="auto"/>
              <w:jc w:val="center"/>
              <w:rPr>
                <w:sz w:val="20"/>
              </w:rPr>
            </w:pPr>
            <w:r w:rsidRPr="00846A91">
              <w:rPr>
                <w:sz w:val="20"/>
              </w:rPr>
              <w:t>3.0</w:t>
            </w:r>
          </w:p>
        </w:tc>
        <w:tc>
          <w:tcPr>
            <w:tcW w:w="1635" w:type="dxa"/>
            <w:tcBorders>
              <w:top w:val="nil"/>
              <w:left w:val="nil"/>
              <w:bottom w:val="nil"/>
              <w:right w:val="nil"/>
            </w:tcBorders>
            <w:shd w:val="clear" w:color="auto" w:fill="FFFFFF" w:themeFill="background1"/>
          </w:tcPr>
          <w:p w14:paraId="347DA77D" w14:textId="77777777" w:rsidR="002B65B9" w:rsidRPr="00846A91" w:rsidRDefault="002B65B9" w:rsidP="0003380F">
            <w:pPr>
              <w:spacing w:after="0" w:line="240" w:lineRule="auto"/>
              <w:rPr>
                <w:sz w:val="20"/>
              </w:rPr>
            </w:pPr>
            <w:r w:rsidRPr="00846A91">
              <w:rPr>
                <w:sz w:val="20"/>
              </w:rPr>
              <w:t xml:space="preserve">Quetiapine </w:t>
            </w:r>
          </w:p>
        </w:tc>
        <w:tc>
          <w:tcPr>
            <w:tcW w:w="540" w:type="dxa"/>
            <w:tcBorders>
              <w:top w:val="nil"/>
              <w:left w:val="nil"/>
              <w:bottom w:val="nil"/>
              <w:right w:val="nil"/>
            </w:tcBorders>
            <w:shd w:val="clear" w:color="auto" w:fill="FFFFFF" w:themeFill="background1"/>
          </w:tcPr>
          <w:p w14:paraId="538F46FE" w14:textId="77777777" w:rsidR="002B65B9" w:rsidRPr="00846A91" w:rsidRDefault="002B65B9" w:rsidP="0003380F">
            <w:pPr>
              <w:spacing w:after="0" w:line="240" w:lineRule="auto"/>
              <w:jc w:val="center"/>
              <w:rPr>
                <w:sz w:val="20"/>
              </w:rPr>
            </w:pPr>
            <w:r w:rsidRPr="00846A91">
              <w:rPr>
                <w:sz w:val="20"/>
              </w:rPr>
              <w:t>1.8</w:t>
            </w:r>
          </w:p>
        </w:tc>
        <w:tc>
          <w:tcPr>
            <w:tcW w:w="1530" w:type="dxa"/>
            <w:tcBorders>
              <w:top w:val="nil"/>
              <w:left w:val="nil"/>
              <w:bottom w:val="nil"/>
              <w:right w:val="nil"/>
            </w:tcBorders>
            <w:shd w:val="clear" w:color="auto" w:fill="FFFFFF" w:themeFill="background1"/>
          </w:tcPr>
          <w:p w14:paraId="3AA35D48" w14:textId="77777777" w:rsidR="002B65B9" w:rsidRPr="00846A91" w:rsidRDefault="002B65B9" w:rsidP="0003380F">
            <w:pPr>
              <w:spacing w:after="0" w:line="240" w:lineRule="auto"/>
              <w:rPr>
                <w:sz w:val="20"/>
              </w:rPr>
            </w:pPr>
            <w:r w:rsidRPr="00846A91">
              <w:rPr>
                <w:sz w:val="20"/>
              </w:rPr>
              <w:t>Metoprolol Succinate</w:t>
            </w:r>
          </w:p>
        </w:tc>
        <w:tc>
          <w:tcPr>
            <w:tcW w:w="540" w:type="dxa"/>
            <w:tcBorders>
              <w:top w:val="nil"/>
              <w:left w:val="nil"/>
              <w:bottom w:val="nil"/>
              <w:right w:val="nil"/>
            </w:tcBorders>
            <w:shd w:val="clear" w:color="auto" w:fill="FFFFFF" w:themeFill="background1"/>
          </w:tcPr>
          <w:p w14:paraId="283E7949" w14:textId="77777777" w:rsidR="002B65B9" w:rsidRPr="00846A91" w:rsidRDefault="002B65B9" w:rsidP="0003380F">
            <w:pPr>
              <w:spacing w:after="0" w:line="240" w:lineRule="auto"/>
              <w:jc w:val="center"/>
              <w:rPr>
                <w:sz w:val="20"/>
              </w:rPr>
            </w:pPr>
            <w:r w:rsidRPr="00846A91">
              <w:rPr>
                <w:sz w:val="20"/>
              </w:rPr>
              <w:t>1.6</w:t>
            </w:r>
          </w:p>
        </w:tc>
      </w:tr>
      <w:tr w:rsidR="002B65B9" w:rsidRPr="00272761" w14:paraId="14C7AB28" w14:textId="77777777" w:rsidTr="0003380F">
        <w:trPr>
          <w:trHeight w:val="20"/>
        </w:trPr>
        <w:tc>
          <w:tcPr>
            <w:tcW w:w="795" w:type="dxa"/>
            <w:tcBorders>
              <w:top w:val="nil"/>
              <w:left w:val="nil"/>
              <w:bottom w:val="nil"/>
              <w:right w:val="nil"/>
            </w:tcBorders>
            <w:shd w:val="clear" w:color="auto" w:fill="FFFFFF" w:themeFill="background1"/>
            <w:noWrap/>
            <w:hideMark/>
          </w:tcPr>
          <w:p w14:paraId="241BF5EE" w14:textId="77777777" w:rsidR="002B65B9" w:rsidRDefault="002B65B9" w:rsidP="0003380F">
            <w:pPr>
              <w:spacing w:after="0" w:line="240" w:lineRule="auto"/>
              <w:rPr>
                <w:sz w:val="20"/>
              </w:rPr>
            </w:pPr>
            <w:r w:rsidRPr="00846A91">
              <w:rPr>
                <w:sz w:val="20"/>
              </w:rPr>
              <w:t>23</w:t>
            </w:r>
          </w:p>
          <w:p w14:paraId="77AD3A28" w14:textId="77777777" w:rsidR="009C6575" w:rsidRPr="00846A91" w:rsidRDefault="009C6575"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4B9CF5E9" w14:textId="77777777" w:rsidR="002B65B9" w:rsidRPr="00846A91" w:rsidRDefault="002B65B9" w:rsidP="0003380F">
            <w:pPr>
              <w:spacing w:after="0" w:line="240" w:lineRule="auto"/>
              <w:jc w:val="both"/>
              <w:rPr>
                <w:sz w:val="20"/>
              </w:rPr>
            </w:pPr>
            <w:r w:rsidRPr="00846A91">
              <w:rPr>
                <w:sz w:val="20"/>
              </w:rPr>
              <w:t xml:space="preserve">Warfarin </w:t>
            </w:r>
          </w:p>
        </w:tc>
        <w:tc>
          <w:tcPr>
            <w:tcW w:w="630" w:type="dxa"/>
            <w:tcBorders>
              <w:top w:val="nil"/>
              <w:left w:val="nil"/>
              <w:bottom w:val="nil"/>
              <w:right w:val="nil"/>
            </w:tcBorders>
            <w:shd w:val="clear" w:color="auto" w:fill="FFFFFF" w:themeFill="background1"/>
            <w:noWrap/>
            <w:hideMark/>
          </w:tcPr>
          <w:p w14:paraId="5F92BC57" w14:textId="77777777" w:rsidR="002B65B9" w:rsidRPr="00846A91" w:rsidRDefault="002B65B9" w:rsidP="0003380F">
            <w:pPr>
              <w:spacing w:after="0" w:line="240" w:lineRule="auto"/>
              <w:jc w:val="center"/>
              <w:rPr>
                <w:sz w:val="20"/>
              </w:rPr>
            </w:pPr>
            <w:r w:rsidRPr="00846A91">
              <w:rPr>
                <w:sz w:val="20"/>
              </w:rPr>
              <w:t>3.7</w:t>
            </w:r>
          </w:p>
        </w:tc>
        <w:tc>
          <w:tcPr>
            <w:tcW w:w="1530" w:type="dxa"/>
            <w:tcBorders>
              <w:top w:val="nil"/>
              <w:left w:val="nil"/>
              <w:bottom w:val="nil"/>
              <w:right w:val="nil"/>
            </w:tcBorders>
            <w:shd w:val="clear" w:color="auto" w:fill="FFFFFF" w:themeFill="background1"/>
          </w:tcPr>
          <w:p w14:paraId="1B504780" w14:textId="77777777" w:rsidR="002B65B9" w:rsidRPr="00846A91" w:rsidRDefault="002B65B9" w:rsidP="0003380F">
            <w:pPr>
              <w:spacing w:after="0" w:line="240" w:lineRule="auto"/>
              <w:rPr>
                <w:sz w:val="20"/>
              </w:rPr>
            </w:pPr>
            <w:r w:rsidRPr="00846A91">
              <w:rPr>
                <w:sz w:val="20"/>
              </w:rPr>
              <w:t>Nystatin</w:t>
            </w:r>
          </w:p>
        </w:tc>
        <w:tc>
          <w:tcPr>
            <w:tcW w:w="630" w:type="dxa"/>
            <w:tcBorders>
              <w:top w:val="nil"/>
              <w:left w:val="nil"/>
              <w:bottom w:val="nil"/>
              <w:right w:val="nil"/>
            </w:tcBorders>
            <w:shd w:val="clear" w:color="auto" w:fill="FFFFFF" w:themeFill="background1"/>
          </w:tcPr>
          <w:p w14:paraId="71D3B092" w14:textId="77777777" w:rsidR="002B65B9" w:rsidRPr="00846A91" w:rsidRDefault="002B65B9" w:rsidP="0003380F">
            <w:pPr>
              <w:spacing w:after="0" w:line="240" w:lineRule="auto"/>
              <w:jc w:val="center"/>
              <w:rPr>
                <w:sz w:val="20"/>
              </w:rPr>
            </w:pPr>
            <w:r w:rsidRPr="00846A91">
              <w:rPr>
                <w:sz w:val="20"/>
              </w:rPr>
              <w:t>3.3</w:t>
            </w:r>
          </w:p>
        </w:tc>
        <w:tc>
          <w:tcPr>
            <w:tcW w:w="1530" w:type="dxa"/>
            <w:tcBorders>
              <w:top w:val="nil"/>
              <w:left w:val="nil"/>
              <w:bottom w:val="nil"/>
              <w:right w:val="nil"/>
            </w:tcBorders>
            <w:shd w:val="clear" w:color="auto" w:fill="FFFFFF" w:themeFill="background1"/>
          </w:tcPr>
          <w:p w14:paraId="6129BE48" w14:textId="77777777" w:rsidR="002B65B9" w:rsidRPr="00846A91" w:rsidRDefault="002B65B9" w:rsidP="0003380F">
            <w:pPr>
              <w:spacing w:after="0" w:line="240" w:lineRule="auto"/>
              <w:rPr>
                <w:sz w:val="20"/>
              </w:rPr>
            </w:pPr>
            <w:r w:rsidRPr="00846A91">
              <w:rPr>
                <w:sz w:val="20"/>
              </w:rPr>
              <w:t>Ciprofloxacin</w:t>
            </w:r>
          </w:p>
        </w:tc>
        <w:tc>
          <w:tcPr>
            <w:tcW w:w="630" w:type="dxa"/>
            <w:tcBorders>
              <w:top w:val="nil"/>
              <w:left w:val="nil"/>
              <w:bottom w:val="nil"/>
              <w:right w:val="nil"/>
            </w:tcBorders>
            <w:shd w:val="clear" w:color="auto" w:fill="FFFFFF" w:themeFill="background1"/>
          </w:tcPr>
          <w:p w14:paraId="1975CA11" w14:textId="77777777" w:rsidR="002B65B9" w:rsidRPr="00846A91" w:rsidRDefault="002B65B9" w:rsidP="0003380F">
            <w:pPr>
              <w:spacing w:after="0" w:line="240" w:lineRule="auto"/>
              <w:jc w:val="center"/>
              <w:rPr>
                <w:sz w:val="20"/>
              </w:rPr>
            </w:pPr>
            <w:r w:rsidRPr="00846A91">
              <w:rPr>
                <w:sz w:val="20"/>
              </w:rPr>
              <w:t>3.0</w:t>
            </w:r>
          </w:p>
        </w:tc>
        <w:tc>
          <w:tcPr>
            <w:tcW w:w="1530" w:type="dxa"/>
            <w:tcBorders>
              <w:top w:val="nil"/>
              <w:left w:val="nil"/>
              <w:bottom w:val="nil"/>
              <w:right w:val="nil"/>
            </w:tcBorders>
            <w:shd w:val="clear" w:color="auto" w:fill="FFFFFF" w:themeFill="background1"/>
          </w:tcPr>
          <w:p w14:paraId="56D5B5F5" w14:textId="77777777" w:rsidR="002B65B9" w:rsidRPr="00846A91" w:rsidRDefault="002B65B9" w:rsidP="0003380F">
            <w:pPr>
              <w:spacing w:after="0" w:line="240" w:lineRule="auto"/>
              <w:rPr>
                <w:sz w:val="20"/>
              </w:rPr>
            </w:pPr>
            <w:r w:rsidRPr="00846A91">
              <w:rPr>
                <w:sz w:val="20"/>
              </w:rPr>
              <w:t>SMZ-TMP</w:t>
            </w:r>
          </w:p>
        </w:tc>
        <w:tc>
          <w:tcPr>
            <w:tcW w:w="630" w:type="dxa"/>
            <w:tcBorders>
              <w:top w:val="nil"/>
              <w:left w:val="nil"/>
              <w:bottom w:val="nil"/>
              <w:right w:val="nil"/>
            </w:tcBorders>
            <w:shd w:val="clear" w:color="auto" w:fill="FFFFFF" w:themeFill="background1"/>
          </w:tcPr>
          <w:p w14:paraId="5FB2524A" w14:textId="77777777" w:rsidR="002B65B9" w:rsidRPr="00846A91" w:rsidRDefault="002B65B9" w:rsidP="0003380F">
            <w:pPr>
              <w:spacing w:after="0" w:line="240" w:lineRule="auto"/>
              <w:jc w:val="center"/>
              <w:rPr>
                <w:sz w:val="20"/>
              </w:rPr>
            </w:pPr>
            <w:r w:rsidRPr="00846A91">
              <w:rPr>
                <w:sz w:val="20"/>
              </w:rPr>
              <w:t>2.9</w:t>
            </w:r>
          </w:p>
        </w:tc>
        <w:tc>
          <w:tcPr>
            <w:tcW w:w="1635" w:type="dxa"/>
            <w:tcBorders>
              <w:top w:val="nil"/>
              <w:left w:val="nil"/>
              <w:bottom w:val="nil"/>
              <w:right w:val="nil"/>
            </w:tcBorders>
            <w:shd w:val="clear" w:color="auto" w:fill="FFFFFF" w:themeFill="background1"/>
          </w:tcPr>
          <w:p w14:paraId="570BDC5D" w14:textId="77777777" w:rsidR="002B65B9" w:rsidRPr="00846A91" w:rsidRDefault="002B65B9" w:rsidP="0003380F">
            <w:pPr>
              <w:spacing w:after="0" w:line="240" w:lineRule="auto"/>
              <w:rPr>
                <w:sz w:val="20"/>
              </w:rPr>
            </w:pPr>
            <w:r w:rsidRPr="00846A91">
              <w:rPr>
                <w:sz w:val="20"/>
              </w:rPr>
              <w:t>Scopolamine</w:t>
            </w:r>
          </w:p>
        </w:tc>
        <w:tc>
          <w:tcPr>
            <w:tcW w:w="540" w:type="dxa"/>
            <w:tcBorders>
              <w:top w:val="nil"/>
              <w:left w:val="nil"/>
              <w:bottom w:val="nil"/>
              <w:right w:val="nil"/>
            </w:tcBorders>
            <w:shd w:val="clear" w:color="auto" w:fill="FFFFFF" w:themeFill="background1"/>
          </w:tcPr>
          <w:p w14:paraId="7D11C2CF" w14:textId="77777777" w:rsidR="002B65B9" w:rsidRPr="00846A91" w:rsidRDefault="002B65B9" w:rsidP="0003380F">
            <w:pPr>
              <w:spacing w:after="0" w:line="240" w:lineRule="auto"/>
              <w:jc w:val="center"/>
              <w:rPr>
                <w:sz w:val="20"/>
              </w:rPr>
            </w:pPr>
            <w:r w:rsidRPr="00846A91">
              <w:rPr>
                <w:sz w:val="20"/>
              </w:rPr>
              <w:t>1.8</w:t>
            </w:r>
          </w:p>
        </w:tc>
        <w:tc>
          <w:tcPr>
            <w:tcW w:w="1530" w:type="dxa"/>
            <w:tcBorders>
              <w:top w:val="nil"/>
              <w:left w:val="nil"/>
              <w:bottom w:val="nil"/>
              <w:right w:val="nil"/>
            </w:tcBorders>
            <w:shd w:val="clear" w:color="auto" w:fill="FFFFFF" w:themeFill="background1"/>
          </w:tcPr>
          <w:p w14:paraId="2D6B7609" w14:textId="77777777" w:rsidR="002B65B9" w:rsidRPr="00846A91" w:rsidRDefault="002B65B9" w:rsidP="0003380F">
            <w:pPr>
              <w:spacing w:after="0" w:line="240" w:lineRule="auto"/>
              <w:rPr>
                <w:sz w:val="20"/>
              </w:rPr>
            </w:pPr>
            <w:r w:rsidRPr="00846A91">
              <w:rPr>
                <w:sz w:val="20"/>
              </w:rPr>
              <w:t xml:space="preserve">Clopidogrel </w:t>
            </w:r>
          </w:p>
        </w:tc>
        <w:tc>
          <w:tcPr>
            <w:tcW w:w="540" w:type="dxa"/>
            <w:tcBorders>
              <w:top w:val="nil"/>
              <w:left w:val="nil"/>
              <w:bottom w:val="nil"/>
              <w:right w:val="nil"/>
            </w:tcBorders>
            <w:shd w:val="clear" w:color="auto" w:fill="FFFFFF" w:themeFill="background1"/>
          </w:tcPr>
          <w:p w14:paraId="0E9C1469" w14:textId="77777777" w:rsidR="002B65B9" w:rsidRPr="00846A91" w:rsidRDefault="002B65B9" w:rsidP="0003380F">
            <w:pPr>
              <w:spacing w:after="0" w:line="240" w:lineRule="auto"/>
              <w:jc w:val="center"/>
              <w:rPr>
                <w:sz w:val="20"/>
              </w:rPr>
            </w:pPr>
            <w:r w:rsidRPr="00846A91">
              <w:rPr>
                <w:sz w:val="20"/>
              </w:rPr>
              <w:t>1.6</w:t>
            </w:r>
          </w:p>
        </w:tc>
      </w:tr>
      <w:tr w:rsidR="002B65B9" w:rsidRPr="00272761" w14:paraId="65F29FE5" w14:textId="77777777" w:rsidTr="0003380F">
        <w:trPr>
          <w:trHeight w:val="20"/>
        </w:trPr>
        <w:tc>
          <w:tcPr>
            <w:tcW w:w="795" w:type="dxa"/>
            <w:tcBorders>
              <w:top w:val="nil"/>
              <w:left w:val="nil"/>
              <w:bottom w:val="nil"/>
              <w:right w:val="nil"/>
            </w:tcBorders>
            <w:shd w:val="clear" w:color="auto" w:fill="FFFFFF" w:themeFill="background1"/>
            <w:noWrap/>
            <w:hideMark/>
          </w:tcPr>
          <w:p w14:paraId="5FB66A53" w14:textId="77777777" w:rsidR="002B65B9" w:rsidRDefault="002B65B9" w:rsidP="0003380F">
            <w:pPr>
              <w:spacing w:after="0" w:line="240" w:lineRule="auto"/>
              <w:rPr>
                <w:sz w:val="20"/>
              </w:rPr>
            </w:pPr>
            <w:r w:rsidRPr="00846A91">
              <w:rPr>
                <w:sz w:val="20"/>
              </w:rPr>
              <w:t>24</w:t>
            </w:r>
          </w:p>
          <w:p w14:paraId="4AFDDB0C" w14:textId="77777777" w:rsidR="009C6575" w:rsidRPr="00846A91" w:rsidRDefault="009C6575" w:rsidP="0003380F">
            <w:pPr>
              <w:spacing w:after="0" w:line="240" w:lineRule="auto"/>
              <w:rPr>
                <w:sz w:val="20"/>
              </w:rPr>
            </w:pPr>
          </w:p>
        </w:tc>
        <w:tc>
          <w:tcPr>
            <w:tcW w:w="1530" w:type="dxa"/>
            <w:tcBorders>
              <w:top w:val="nil"/>
              <w:left w:val="nil"/>
              <w:bottom w:val="nil"/>
              <w:right w:val="nil"/>
            </w:tcBorders>
            <w:shd w:val="clear" w:color="auto" w:fill="FFFFFF" w:themeFill="background1"/>
            <w:noWrap/>
            <w:hideMark/>
          </w:tcPr>
          <w:p w14:paraId="07C93A13" w14:textId="77777777" w:rsidR="002B65B9" w:rsidRPr="00846A91" w:rsidRDefault="002B65B9" w:rsidP="0003380F">
            <w:pPr>
              <w:spacing w:after="0" w:line="240" w:lineRule="auto"/>
              <w:jc w:val="both"/>
              <w:rPr>
                <w:sz w:val="20"/>
              </w:rPr>
            </w:pPr>
            <w:r w:rsidRPr="00846A91">
              <w:rPr>
                <w:sz w:val="20"/>
              </w:rPr>
              <w:t>Risperidone</w:t>
            </w:r>
          </w:p>
        </w:tc>
        <w:tc>
          <w:tcPr>
            <w:tcW w:w="630" w:type="dxa"/>
            <w:tcBorders>
              <w:top w:val="nil"/>
              <w:left w:val="nil"/>
              <w:bottom w:val="nil"/>
              <w:right w:val="nil"/>
            </w:tcBorders>
            <w:shd w:val="clear" w:color="auto" w:fill="FFFFFF" w:themeFill="background1"/>
            <w:noWrap/>
            <w:hideMark/>
          </w:tcPr>
          <w:p w14:paraId="4DC58ECB" w14:textId="77777777" w:rsidR="002B65B9" w:rsidRPr="00846A91" w:rsidRDefault="002B65B9" w:rsidP="0003380F">
            <w:pPr>
              <w:spacing w:after="0" w:line="240" w:lineRule="auto"/>
              <w:jc w:val="center"/>
              <w:rPr>
                <w:sz w:val="20"/>
              </w:rPr>
            </w:pPr>
            <w:r w:rsidRPr="00846A91">
              <w:rPr>
                <w:sz w:val="20"/>
              </w:rPr>
              <w:t>3.5</w:t>
            </w:r>
          </w:p>
        </w:tc>
        <w:tc>
          <w:tcPr>
            <w:tcW w:w="1530" w:type="dxa"/>
            <w:tcBorders>
              <w:top w:val="nil"/>
              <w:left w:val="nil"/>
              <w:bottom w:val="nil"/>
              <w:right w:val="nil"/>
            </w:tcBorders>
            <w:shd w:val="clear" w:color="auto" w:fill="FFFFFF" w:themeFill="background1"/>
          </w:tcPr>
          <w:p w14:paraId="2F03DBD0" w14:textId="77777777" w:rsidR="002B65B9" w:rsidRPr="00846A91" w:rsidRDefault="002B65B9" w:rsidP="0003380F">
            <w:pPr>
              <w:spacing w:after="0" w:line="240" w:lineRule="auto"/>
              <w:rPr>
                <w:sz w:val="20"/>
              </w:rPr>
            </w:pPr>
            <w:r w:rsidRPr="00846A91">
              <w:rPr>
                <w:sz w:val="20"/>
              </w:rPr>
              <w:t xml:space="preserve">Albuterol </w:t>
            </w:r>
          </w:p>
        </w:tc>
        <w:tc>
          <w:tcPr>
            <w:tcW w:w="630" w:type="dxa"/>
            <w:tcBorders>
              <w:top w:val="nil"/>
              <w:left w:val="nil"/>
              <w:bottom w:val="nil"/>
              <w:right w:val="nil"/>
            </w:tcBorders>
            <w:shd w:val="clear" w:color="auto" w:fill="FFFFFF" w:themeFill="background1"/>
          </w:tcPr>
          <w:p w14:paraId="42147AC7" w14:textId="77777777" w:rsidR="002B65B9" w:rsidRPr="00846A91" w:rsidRDefault="002B65B9" w:rsidP="0003380F">
            <w:pPr>
              <w:spacing w:after="0" w:line="240" w:lineRule="auto"/>
              <w:jc w:val="center"/>
              <w:rPr>
                <w:sz w:val="20"/>
              </w:rPr>
            </w:pPr>
            <w:r w:rsidRPr="00846A91">
              <w:rPr>
                <w:sz w:val="20"/>
              </w:rPr>
              <w:t>3.1</w:t>
            </w:r>
          </w:p>
        </w:tc>
        <w:tc>
          <w:tcPr>
            <w:tcW w:w="1530" w:type="dxa"/>
            <w:tcBorders>
              <w:top w:val="nil"/>
              <w:left w:val="nil"/>
              <w:bottom w:val="nil"/>
              <w:right w:val="nil"/>
            </w:tcBorders>
            <w:shd w:val="clear" w:color="auto" w:fill="FFFFFF" w:themeFill="background1"/>
          </w:tcPr>
          <w:p w14:paraId="26B6F152" w14:textId="77777777" w:rsidR="002B65B9" w:rsidRPr="00846A91" w:rsidRDefault="002B65B9" w:rsidP="0003380F">
            <w:pPr>
              <w:spacing w:after="0" w:line="240" w:lineRule="auto"/>
              <w:rPr>
                <w:sz w:val="20"/>
              </w:rPr>
            </w:pPr>
            <w:r w:rsidRPr="00846A91">
              <w:rPr>
                <w:sz w:val="20"/>
              </w:rPr>
              <w:t xml:space="preserve">Clopidogrel </w:t>
            </w:r>
          </w:p>
        </w:tc>
        <w:tc>
          <w:tcPr>
            <w:tcW w:w="630" w:type="dxa"/>
            <w:tcBorders>
              <w:top w:val="nil"/>
              <w:left w:val="nil"/>
              <w:bottom w:val="nil"/>
              <w:right w:val="nil"/>
            </w:tcBorders>
            <w:shd w:val="clear" w:color="auto" w:fill="FFFFFF" w:themeFill="background1"/>
          </w:tcPr>
          <w:p w14:paraId="5354A623" w14:textId="77777777" w:rsidR="002B65B9" w:rsidRPr="00846A91" w:rsidRDefault="002B65B9" w:rsidP="0003380F">
            <w:pPr>
              <w:spacing w:after="0" w:line="240" w:lineRule="auto"/>
              <w:jc w:val="center"/>
              <w:rPr>
                <w:sz w:val="20"/>
              </w:rPr>
            </w:pPr>
            <w:r w:rsidRPr="00846A91">
              <w:rPr>
                <w:sz w:val="20"/>
              </w:rPr>
              <w:t>2.9</w:t>
            </w:r>
          </w:p>
        </w:tc>
        <w:tc>
          <w:tcPr>
            <w:tcW w:w="1530" w:type="dxa"/>
            <w:tcBorders>
              <w:top w:val="nil"/>
              <w:left w:val="nil"/>
              <w:bottom w:val="nil"/>
              <w:right w:val="nil"/>
            </w:tcBorders>
            <w:shd w:val="clear" w:color="auto" w:fill="FFFFFF" w:themeFill="background1"/>
          </w:tcPr>
          <w:p w14:paraId="71767443" w14:textId="77777777" w:rsidR="002B65B9" w:rsidRPr="00846A91" w:rsidRDefault="002B65B9" w:rsidP="0003380F">
            <w:pPr>
              <w:spacing w:after="0" w:line="240" w:lineRule="auto"/>
              <w:rPr>
                <w:sz w:val="20"/>
              </w:rPr>
            </w:pPr>
            <w:r w:rsidRPr="00846A91">
              <w:rPr>
                <w:sz w:val="20"/>
              </w:rPr>
              <w:t xml:space="preserve">Sertraline </w:t>
            </w:r>
          </w:p>
        </w:tc>
        <w:tc>
          <w:tcPr>
            <w:tcW w:w="630" w:type="dxa"/>
            <w:tcBorders>
              <w:top w:val="nil"/>
              <w:left w:val="nil"/>
              <w:bottom w:val="nil"/>
              <w:right w:val="nil"/>
            </w:tcBorders>
            <w:shd w:val="clear" w:color="auto" w:fill="FFFFFF" w:themeFill="background1"/>
          </w:tcPr>
          <w:p w14:paraId="68572F97" w14:textId="77777777" w:rsidR="002B65B9" w:rsidRPr="00846A91" w:rsidRDefault="002B65B9" w:rsidP="0003380F">
            <w:pPr>
              <w:spacing w:after="0" w:line="240" w:lineRule="auto"/>
              <w:jc w:val="center"/>
              <w:rPr>
                <w:sz w:val="20"/>
              </w:rPr>
            </w:pPr>
            <w:r w:rsidRPr="00846A91">
              <w:rPr>
                <w:sz w:val="20"/>
              </w:rPr>
              <w:t>2.9</w:t>
            </w:r>
          </w:p>
        </w:tc>
        <w:tc>
          <w:tcPr>
            <w:tcW w:w="1635" w:type="dxa"/>
            <w:tcBorders>
              <w:top w:val="nil"/>
              <w:left w:val="nil"/>
              <w:bottom w:val="nil"/>
              <w:right w:val="nil"/>
            </w:tcBorders>
            <w:shd w:val="clear" w:color="auto" w:fill="FFFFFF" w:themeFill="background1"/>
          </w:tcPr>
          <w:p w14:paraId="73C99A6E" w14:textId="77777777" w:rsidR="002B65B9" w:rsidRPr="00846A91" w:rsidRDefault="002B65B9" w:rsidP="0003380F">
            <w:pPr>
              <w:spacing w:after="0" w:line="240" w:lineRule="auto"/>
              <w:rPr>
                <w:sz w:val="20"/>
              </w:rPr>
            </w:pPr>
            <w:r w:rsidRPr="00846A91">
              <w:rPr>
                <w:sz w:val="20"/>
              </w:rPr>
              <w:t>Fentanyl</w:t>
            </w:r>
          </w:p>
        </w:tc>
        <w:tc>
          <w:tcPr>
            <w:tcW w:w="540" w:type="dxa"/>
            <w:tcBorders>
              <w:top w:val="nil"/>
              <w:left w:val="nil"/>
              <w:bottom w:val="nil"/>
              <w:right w:val="nil"/>
            </w:tcBorders>
            <w:shd w:val="clear" w:color="auto" w:fill="FFFFFF" w:themeFill="background1"/>
          </w:tcPr>
          <w:p w14:paraId="1836615A" w14:textId="77777777" w:rsidR="002B65B9" w:rsidRPr="00846A91" w:rsidRDefault="002B65B9" w:rsidP="0003380F">
            <w:pPr>
              <w:spacing w:after="0" w:line="240" w:lineRule="auto"/>
              <w:jc w:val="center"/>
              <w:rPr>
                <w:sz w:val="20"/>
              </w:rPr>
            </w:pPr>
            <w:r w:rsidRPr="00846A91">
              <w:rPr>
                <w:sz w:val="20"/>
              </w:rPr>
              <w:t>1.8</w:t>
            </w:r>
          </w:p>
        </w:tc>
        <w:tc>
          <w:tcPr>
            <w:tcW w:w="1530" w:type="dxa"/>
            <w:tcBorders>
              <w:top w:val="nil"/>
              <w:left w:val="nil"/>
              <w:bottom w:val="nil"/>
              <w:right w:val="nil"/>
            </w:tcBorders>
            <w:shd w:val="clear" w:color="auto" w:fill="FFFFFF" w:themeFill="background1"/>
          </w:tcPr>
          <w:p w14:paraId="7941890B" w14:textId="77777777" w:rsidR="002B65B9" w:rsidRPr="00846A91" w:rsidRDefault="002B65B9" w:rsidP="0003380F">
            <w:pPr>
              <w:spacing w:after="0" w:line="240" w:lineRule="auto"/>
              <w:rPr>
                <w:sz w:val="20"/>
              </w:rPr>
            </w:pPr>
            <w:r w:rsidRPr="00846A91">
              <w:rPr>
                <w:sz w:val="20"/>
              </w:rPr>
              <w:t xml:space="preserve">Megestrol </w:t>
            </w:r>
          </w:p>
        </w:tc>
        <w:tc>
          <w:tcPr>
            <w:tcW w:w="540" w:type="dxa"/>
            <w:tcBorders>
              <w:top w:val="nil"/>
              <w:left w:val="nil"/>
              <w:bottom w:val="nil"/>
              <w:right w:val="nil"/>
            </w:tcBorders>
            <w:shd w:val="clear" w:color="auto" w:fill="FFFFFF" w:themeFill="background1"/>
          </w:tcPr>
          <w:p w14:paraId="6233528C" w14:textId="77777777" w:rsidR="002B65B9" w:rsidRPr="00846A91" w:rsidRDefault="002B65B9" w:rsidP="0003380F">
            <w:pPr>
              <w:spacing w:after="0" w:line="240" w:lineRule="auto"/>
              <w:jc w:val="center"/>
              <w:rPr>
                <w:sz w:val="20"/>
              </w:rPr>
            </w:pPr>
            <w:r w:rsidRPr="00846A91">
              <w:rPr>
                <w:sz w:val="20"/>
              </w:rPr>
              <w:t>1.6</w:t>
            </w:r>
          </w:p>
        </w:tc>
      </w:tr>
      <w:tr w:rsidR="002B65B9" w:rsidRPr="00272761" w14:paraId="19173F51" w14:textId="77777777" w:rsidTr="0003380F">
        <w:trPr>
          <w:trHeight w:val="20"/>
        </w:trPr>
        <w:tc>
          <w:tcPr>
            <w:tcW w:w="795" w:type="dxa"/>
            <w:tcBorders>
              <w:top w:val="nil"/>
              <w:left w:val="nil"/>
              <w:bottom w:val="single" w:sz="4" w:space="0" w:color="auto"/>
              <w:right w:val="nil"/>
            </w:tcBorders>
            <w:shd w:val="clear" w:color="auto" w:fill="FFFFFF" w:themeFill="background1"/>
            <w:noWrap/>
            <w:hideMark/>
          </w:tcPr>
          <w:p w14:paraId="27ED08A2" w14:textId="77777777" w:rsidR="002B65B9" w:rsidRPr="00846A91" w:rsidRDefault="002B65B9" w:rsidP="0003380F">
            <w:pPr>
              <w:spacing w:after="0" w:line="240" w:lineRule="auto"/>
              <w:rPr>
                <w:sz w:val="20"/>
              </w:rPr>
            </w:pPr>
            <w:r w:rsidRPr="00846A91">
              <w:rPr>
                <w:sz w:val="20"/>
              </w:rPr>
              <w:t>25</w:t>
            </w:r>
          </w:p>
        </w:tc>
        <w:tc>
          <w:tcPr>
            <w:tcW w:w="1530" w:type="dxa"/>
            <w:tcBorders>
              <w:top w:val="nil"/>
              <w:left w:val="nil"/>
              <w:bottom w:val="single" w:sz="4" w:space="0" w:color="auto"/>
              <w:right w:val="nil"/>
            </w:tcBorders>
            <w:shd w:val="clear" w:color="auto" w:fill="FFFFFF" w:themeFill="background1"/>
            <w:noWrap/>
            <w:hideMark/>
          </w:tcPr>
          <w:p w14:paraId="4B70ECAB" w14:textId="77777777" w:rsidR="002B65B9" w:rsidRPr="00846A91" w:rsidRDefault="002B65B9" w:rsidP="0003380F">
            <w:pPr>
              <w:spacing w:after="0" w:line="240" w:lineRule="auto"/>
              <w:jc w:val="both"/>
              <w:rPr>
                <w:sz w:val="20"/>
              </w:rPr>
            </w:pPr>
            <w:r w:rsidRPr="00846A91">
              <w:rPr>
                <w:sz w:val="20"/>
              </w:rPr>
              <w:t xml:space="preserve">Clopidogrel </w:t>
            </w:r>
          </w:p>
        </w:tc>
        <w:tc>
          <w:tcPr>
            <w:tcW w:w="630" w:type="dxa"/>
            <w:tcBorders>
              <w:top w:val="nil"/>
              <w:left w:val="nil"/>
              <w:bottom w:val="single" w:sz="4" w:space="0" w:color="auto"/>
              <w:right w:val="nil"/>
            </w:tcBorders>
            <w:shd w:val="clear" w:color="auto" w:fill="FFFFFF" w:themeFill="background1"/>
            <w:noWrap/>
            <w:hideMark/>
          </w:tcPr>
          <w:p w14:paraId="46343057" w14:textId="77777777" w:rsidR="002B65B9" w:rsidRPr="00846A91" w:rsidRDefault="002B65B9" w:rsidP="0003380F">
            <w:pPr>
              <w:spacing w:after="0" w:line="240" w:lineRule="auto"/>
              <w:jc w:val="center"/>
              <w:rPr>
                <w:sz w:val="20"/>
              </w:rPr>
            </w:pPr>
            <w:r w:rsidRPr="00846A91">
              <w:rPr>
                <w:sz w:val="20"/>
              </w:rPr>
              <w:t>3.4</w:t>
            </w:r>
          </w:p>
        </w:tc>
        <w:tc>
          <w:tcPr>
            <w:tcW w:w="1530" w:type="dxa"/>
            <w:tcBorders>
              <w:top w:val="nil"/>
              <w:left w:val="nil"/>
              <w:bottom w:val="single" w:sz="4" w:space="0" w:color="auto"/>
              <w:right w:val="nil"/>
            </w:tcBorders>
            <w:shd w:val="clear" w:color="auto" w:fill="FFFFFF" w:themeFill="background1"/>
          </w:tcPr>
          <w:p w14:paraId="5B2F59BD" w14:textId="77777777" w:rsidR="002B65B9" w:rsidRPr="00846A91" w:rsidRDefault="002B65B9" w:rsidP="0003380F">
            <w:pPr>
              <w:spacing w:after="0" w:line="240" w:lineRule="auto"/>
              <w:rPr>
                <w:sz w:val="20"/>
              </w:rPr>
            </w:pPr>
            <w:r w:rsidRPr="00846A91">
              <w:rPr>
                <w:sz w:val="20"/>
              </w:rPr>
              <w:t>Digoxin</w:t>
            </w:r>
          </w:p>
        </w:tc>
        <w:tc>
          <w:tcPr>
            <w:tcW w:w="630" w:type="dxa"/>
            <w:tcBorders>
              <w:top w:val="nil"/>
              <w:left w:val="nil"/>
              <w:bottom w:val="single" w:sz="4" w:space="0" w:color="auto"/>
              <w:right w:val="nil"/>
            </w:tcBorders>
            <w:shd w:val="clear" w:color="auto" w:fill="FFFFFF" w:themeFill="background1"/>
          </w:tcPr>
          <w:p w14:paraId="42928339" w14:textId="77777777" w:rsidR="002B65B9" w:rsidRPr="00846A91" w:rsidRDefault="002B65B9" w:rsidP="0003380F">
            <w:pPr>
              <w:spacing w:after="0" w:line="240" w:lineRule="auto"/>
              <w:jc w:val="center"/>
              <w:rPr>
                <w:sz w:val="20"/>
              </w:rPr>
            </w:pPr>
            <w:r w:rsidRPr="00846A91">
              <w:rPr>
                <w:sz w:val="20"/>
              </w:rPr>
              <w:t>3.1</w:t>
            </w:r>
          </w:p>
        </w:tc>
        <w:tc>
          <w:tcPr>
            <w:tcW w:w="1530" w:type="dxa"/>
            <w:tcBorders>
              <w:top w:val="nil"/>
              <w:left w:val="nil"/>
              <w:bottom w:val="single" w:sz="4" w:space="0" w:color="auto"/>
              <w:right w:val="nil"/>
            </w:tcBorders>
            <w:shd w:val="clear" w:color="auto" w:fill="FFFFFF" w:themeFill="background1"/>
          </w:tcPr>
          <w:p w14:paraId="09C0FA33" w14:textId="77777777" w:rsidR="002B65B9" w:rsidRPr="00846A91" w:rsidRDefault="002B65B9" w:rsidP="0003380F">
            <w:pPr>
              <w:spacing w:after="0" w:line="240" w:lineRule="auto"/>
              <w:rPr>
                <w:sz w:val="20"/>
              </w:rPr>
            </w:pPr>
            <w:r w:rsidRPr="00846A91">
              <w:rPr>
                <w:sz w:val="20"/>
              </w:rPr>
              <w:t xml:space="preserve">Citalopram </w:t>
            </w:r>
          </w:p>
        </w:tc>
        <w:tc>
          <w:tcPr>
            <w:tcW w:w="630" w:type="dxa"/>
            <w:tcBorders>
              <w:top w:val="nil"/>
              <w:left w:val="nil"/>
              <w:bottom w:val="single" w:sz="4" w:space="0" w:color="auto"/>
              <w:right w:val="nil"/>
            </w:tcBorders>
            <w:shd w:val="clear" w:color="auto" w:fill="FFFFFF" w:themeFill="background1"/>
          </w:tcPr>
          <w:p w14:paraId="4B4B3DDC" w14:textId="77777777" w:rsidR="002B65B9" w:rsidRPr="00846A91" w:rsidRDefault="002B65B9" w:rsidP="0003380F">
            <w:pPr>
              <w:spacing w:after="0" w:line="240" w:lineRule="auto"/>
              <w:jc w:val="center"/>
              <w:rPr>
                <w:sz w:val="20"/>
              </w:rPr>
            </w:pPr>
            <w:r w:rsidRPr="00846A91">
              <w:rPr>
                <w:sz w:val="20"/>
              </w:rPr>
              <w:t>2.9</w:t>
            </w:r>
          </w:p>
        </w:tc>
        <w:tc>
          <w:tcPr>
            <w:tcW w:w="1530" w:type="dxa"/>
            <w:tcBorders>
              <w:top w:val="nil"/>
              <w:left w:val="nil"/>
              <w:bottom w:val="single" w:sz="4" w:space="0" w:color="auto"/>
              <w:right w:val="nil"/>
            </w:tcBorders>
            <w:shd w:val="clear" w:color="auto" w:fill="FFFFFF" w:themeFill="background1"/>
          </w:tcPr>
          <w:p w14:paraId="2090F7C4" w14:textId="77777777" w:rsidR="002B65B9" w:rsidRPr="00846A91" w:rsidRDefault="002B65B9" w:rsidP="0003380F">
            <w:pPr>
              <w:spacing w:after="0" w:line="240" w:lineRule="auto"/>
              <w:rPr>
                <w:sz w:val="20"/>
              </w:rPr>
            </w:pPr>
            <w:r w:rsidRPr="00846A91">
              <w:rPr>
                <w:sz w:val="20"/>
              </w:rPr>
              <w:t xml:space="preserve">Nystatin </w:t>
            </w:r>
          </w:p>
        </w:tc>
        <w:tc>
          <w:tcPr>
            <w:tcW w:w="630" w:type="dxa"/>
            <w:tcBorders>
              <w:top w:val="nil"/>
              <w:left w:val="nil"/>
              <w:bottom w:val="single" w:sz="4" w:space="0" w:color="auto"/>
              <w:right w:val="nil"/>
            </w:tcBorders>
            <w:shd w:val="clear" w:color="auto" w:fill="FFFFFF" w:themeFill="background1"/>
          </w:tcPr>
          <w:p w14:paraId="747DE1AF" w14:textId="77777777" w:rsidR="002B65B9" w:rsidRPr="00846A91" w:rsidRDefault="002B65B9" w:rsidP="0003380F">
            <w:pPr>
              <w:spacing w:after="0" w:line="240" w:lineRule="auto"/>
              <w:jc w:val="center"/>
              <w:rPr>
                <w:sz w:val="20"/>
              </w:rPr>
            </w:pPr>
            <w:r w:rsidRPr="00846A91">
              <w:rPr>
                <w:sz w:val="20"/>
              </w:rPr>
              <w:t>2.9</w:t>
            </w:r>
          </w:p>
        </w:tc>
        <w:tc>
          <w:tcPr>
            <w:tcW w:w="1635" w:type="dxa"/>
            <w:tcBorders>
              <w:top w:val="nil"/>
              <w:left w:val="nil"/>
              <w:bottom w:val="single" w:sz="4" w:space="0" w:color="auto"/>
              <w:right w:val="nil"/>
            </w:tcBorders>
            <w:shd w:val="clear" w:color="auto" w:fill="FFFFFF" w:themeFill="background1"/>
          </w:tcPr>
          <w:p w14:paraId="1C47DB5B" w14:textId="77777777" w:rsidR="002B65B9" w:rsidRPr="00846A91" w:rsidRDefault="002B65B9" w:rsidP="0003380F">
            <w:pPr>
              <w:spacing w:after="0" w:line="240" w:lineRule="auto"/>
              <w:rPr>
                <w:sz w:val="20"/>
              </w:rPr>
            </w:pPr>
            <w:r w:rsidRPr="00846A91">
              <w:rPr>
                <w:sz w:val="20"/>
              </w:rPr>
              <w:t>SMZ-TMP</w:t>
            </w:r>
          </w:p>
        </w:tc>
        <w:tc>
          <w:tcPr>
            <w:tcW w:w="540" w:type="dxa"/>
            <w:tcBorders>
              <w:top w:val="nil"/>
              <w:left w:val="nil"/>
              <w:bottom w:val="single" w:sz="4" w:space="0" w:color="auto"/>
              <w:right w:val="nil"/>
            </w:tcBorders>
            <w:shd w:val="clear" w:color="auto" w:fill="FFFFFF" w:themeFill="background1"/>
          </w:tcPr>
          <w:p w14:paraId="0BB6F160" w14:textId="77777777" w:rsidR="002B65B9" w:rsidRPr="00846A91" w:rsidRDefault="002B65B9" w:rsidP="0003380F">
            <w:pPr>
              <w:spacing w:after="0" w:line="240" w:lineRule="auto"/>
              <w:jc w:val="center"/>
              <w:rPr>
                <w:sz w:val="20"/>
              </w:rPr>
            </w:pPr>
            <w:r w:rsidRPr="00846A91">
              <w:rPr>
                <w:sz w:val="20"/>
              </w:rPr>
              <w:t>1.8</w:t>
            </w:r>
          </w:p>
        </w:tc>
        <w:tc>
          <w:tcPr>
            <w:tcW w:w="1530" w:type="dxa"/>
            <w:tcBorders>
              <w:top w:val="nil"/>
              <w:left w:val="nil"/>
              <w:bottom w:val="single" w:sz="4" w:space="0" w:color="auto"/>
              <w:right w:val="nil"/>
            </w:tcBorders>
            <w:shd w:val="clear" w:color="auto" w:fill="FFFFFF" w:themeFill="background1"/>
          </w:tcPr>
          <w:p w14:paraId="0456B603" w14:textId="77777777" w:rsidR="002B65B9" w:rsidRPr="00846A91" w:rsidRDefault="002B65B9" w:rsidP="0003380F">
            <w:pPr>
              <w:spacing w:after="0" w:line="240" w:lineRule="auto"/>
              <w:rPr>
                <w:sz w:val="20"/>
              </w:rPr>
            </w:pPr>
            <w:r w:rsidRPr="00846A91">
              <w:rPr>
                <w:sz w:val="20"/>
              </w:rPr>
              <w:t xml:space="preserve">Zolpidem </w:t>
            </w:r>
          </w:p>
        </w:tc>
        <w:tc>
          <w:tcPr>
            <w:tcW w:w="540" w:type="dxa"/>
            <w:tcBorders>
              <w:top w:val="nil"/>
              <w:left w:val="nil"/>
              <w:bottom w:val="single" w:sz="4" w:space="0" w:color="auto"/>
              <w:right w:val="nil"/>
            </w:tcBorders>
            <w:shd w:val="clear" w:color="auto" w:fill="FFFFFF" w:themeFill="background1"/>
          </w:tcPr>
          <w:p w14:paraId="0D91452B" w14:textId="77777777" w:rsidR="002B65B9" w:rsidRPr="00846A91" w:rsidRDefault="002B65B9" w:rsidP="0003380F">
            <w:pPr>
              <w:spacing w:after="0" w:line="240" w:lineRule="auto"/>
              <w:jc w:val="center"/>
              <w:rPr>
                <w:sz w:val="20"/>
              </w:rPr>
            </w:pPr>
            <w:r w:rsidRPr="00846A91">
              <w:rPr>
                <w:sz w:val="20"/>
              </w:rPr>
              <w:t>1.5</w:t>
            </w:r>
          </w:p>
        </w:tc>
      </w:tr>
    </w:tbl>
    <w:p w14:paraId="3313A7D5" w14:textId="08D78A50" w:rsidR="00CB03B8" w:rsidRPr="00CB03B8" w:rsidRDefault="00CB03B8" w:rsidP="00CB03B8">
      <w:pPr>
        <w:rPr>
          <w:sz w:val="20"/>
        </w:rPr>
      </w:pPr>
      <w:r w:rsidRPr="00CB03B8">
        <w:rPr>
          <w:sz w:val="20"/>
        </w:rPr>
        <w:t>AFT: adult failure to thrive, APAP: acetaminophen, SMZ-TMP: sulfamethoxazole-trimethoprim</w:t>
      </w:r>
    </w:p>
    <w:p w14:paraId="55F12FDC" w14:textId="77777777" w:rsidR="002B65B9" w:rsidRPr="002B65B9" w:rsidRDefault="002B65B9" w:rsidP="00CB03B8">
      <w:pPr>
        <w:ind w:firstLine="720"/>
        <w:rPr>
          <w:rFonts w:cs="Arial"/>
          <w:b/>
          <w:szCs w:val="22"/>
        </w:rPr>
      </w:pPr>
    </w:p>
    <w:p w14:paraId="5E11A23E" w14:textId="77777777" w:rsidR="003C1890" w:rsidRDefault="003C1890" w:rsidP="00FC7B75">
      <w:pPr>
        <w:ind w:firstLine="720"/>
        <w:rPr>
          <w:rFonts w:cs="Arial"/>
          <w:szCs w:val="22"/>
        </w:rPr>
      </w:pPr>
    </w:p>
    <w:p w14:paraId="658A13DD" w14:textId="77777777" w:rsidR="003C1890" w:rsidRDefault="003C1890" w:rsidP="00FC7B75">
      <w:pPr>
        <w:ind w:firstLine="720"/>
        <w:rPr>
          <w:rFonts w:cs="Arial"/>
          <w:szCs w:val="22"/>
        </w:rPr>
      </w:pPr>
    </w:p>
    <w:p w14:paraId="7D290256" w14:textId="77777777" w:rsidR="003C1890" w:rsidRDefault="003C1890" w:rsidP="00FC7B75">
      <w:pPr>
        <w:ind w:firstLine="720"/>
        <w:rPr>
          <w:rFonts w:cs="Arial"/>
          <w:szCs w:val="22"/>
        </w:rPr>
      </w:pPr>
    </w:p>
    <w:p w14:paraId="294BA384" w14:textId="77777777" w:rsidR="003C1890" w:rsidRDefault="003C1890" w:rsidP="00FC7B75">
      <w:pPr>
        <w:ind w:firstLine="720"/>
        <w:rPr>
          <w:rFonts w:cs="Arial"/>
          <w:szCs w:val="22"/>
        </w:rPr>
      </w:pPr>
    </w:p>
    <w:p w14:paraId="355B3451" w14:textId="77777777" w:rsidR="00621D16" w:rsidRDefault="00621D16" w:rsidP="00621D16">
      <w:pPr>
        <w:rPr>
          <w:rFonts w:cs="Arial"/>
          <w:szCs w:val="22"/>
        </w:rPr>
        <w:sectPr w:rsidR="00621D16" w:rsidSect="0003380F">
          <w:pgSz w:w="15840" w:h="12240" w:orient="landscape" w:code="1"/>
          <w:pgMar w:top="720" w:right="720" w:bottom="720" w:left="1440" w:header="720" w:footer="432" w:gutter="0"/>
          <w:cols w:space="720"/>
          <w:docGrid w:linePitch="360"/>
        </w:sectPr>
      </w:pPr>
    </w:p>
    <w:p w14:paraId="3E97BDD4" w14:textId="15B08382" w:rsidR="00FC7B75" w:rsidRPr="00725D15" w:rsidRDefault="00FC7B75" w:rsidP="00621D16">
      <w:pPr>
        <w:ind w:firstLine="720"/>
        <w:rPr>
          <w:rFonts w:cs="Arial"/>
          <w:szCs w:val="22"/>
        </w:rPr>
      </w:pPr>
      <w:r w:rsidRPr="00725D15">
        <w:rPr>
          <w:rFonts w:cs="Arial"/>
          <w:szCs w:val="22"/>
        </w:rPr>
        <w:lastRenderedPageBreak/>
        <w:t>Overall, 53.5% of hospice patients admitted for cancer and 52.9% of patients admitted for a non-cancer cause obtained at least one medication through the Part D benefit after admission (</w:t>
      </w:r>
      <w:r w:rsidR="007C2448">
        <w:rPr>
          <w:rFonts w:cs="Arial"/>
          <w:b/>
          <w:szCs w:val="22"/>
        </w:rPr>
        <w:t xml:space="preserve">TABLE </w:t>
      </w:r>
      <w:r w:rsidR="00C35635">
        <w:rPr>
          <w:rFonts w:cs="Arial"/>
          <w:b/>
          <w:szCs w:val="22"/>
        </w:rPr>
        <w:t>VIII</w:t>
      </w:r>
      <w:r w:rsidR="007C2448">
        <w:rPr>
          <w:rFonts w:cs="Arial"/>
          <w:b/>
          <w:szCs w:val="22"/>
        </w:rPr>
        <w:t>)</w:t>
      </w:r>
      <w:r w:rsidRPr="00725D15">
        <w:rPr>
          <w:rFonts w:cs="Arial"/>
          <w:szCs w:val="22"/>
        </w:rPr>
        <w:t xml:space="preserve">.  Antihypertensives were the most common preventative therapeutic class dispensed, received by 22.8% of cancer patients and 23.8% of non-cancer patients. The most frequently dispensed preventative drug classes for both cancer and non-cancer admissions included beta adrenergic antagonists (11.9% and 13.0%), proton pump inhibitors (10.8% and 11.2%), ACE inhibitors (6.0% and 6.7%), and statins (5.2% and 6.6%). Compared to hospice patients admitted for cancer, nearly three times as many patients admitted for a non-cancer cause received anti-dementia medications through Part D (7.4% vs 2.6%). Hospice patients admitted for cancer had a significantly lower absolute risk of receiving all of the preventative therapeutic classes assessed except oral antidiabetics. The prevalence of receiving opioid analgesics through Part D was similar for cancer (16.6%) and non-cancer (16.1%) hospice admissions (risk difference: 0.5%, 95% CI -0.04% to 1.0%; </w:t>
      </w:r>
      <w:r w:rsidRPr="00725D15">
        <w:rPr>
          <w:rFonts w:cs="Arial"/>
          <w:i/>
          <w:szCs w:val="22"/>
        </w:rPr>
        <w:t>p</w:t>
      </w:r>
      <w:r w:rsidRPr="00725D15">
        <w:rPr>
          <w:rFonts w:cs="Arial"/>
          <w:szCs w:val="22"/>
        </w:rPr>
        <w:t>=0.07).</w:t>
      </w:r>
    </w:p>
    <w:p w14:paraId="5E5A54BE" w14:textId="2FB1D417" w:rsidR="00FC7B75" w:rsidRDefault="00FC7B75" w:rsidP="00FC7B75">
      <w:pPr>
        <w:ind w:firstLine="720"/>
        <w:rPr>
          <w:rFonts w:cs="Arial"/>
          <w:szCs w:val="22"/>
        </w:rPr>
      </w:pPr>
      <w:r w:rsidRPr="00725D15">
        <w:rPr>
          <w:rFonts w:cs="Arial"/>
          <w:szCs w:val="22"/>
        </w:rPr>
        <w:t>Receipt of any Part D medication after hospice admission varied substantially among non-cancer admission diagnosis groups, with the greatest prevalence among patients admitted to hospice for debility/adult failure to thrive (63.5%) and dementia (61.5%), and the lowest prevalence among patients admitted for ischemic stroke (35.4%) and renal disease (36.0%) (</w:t>
      </w:r>
      <w:r w:rsidR="00C26A79">
        <w:rPr>
          <w:rFonts w:cs="Arial"/>
          <w:b/>
          <w:szCs w:val="22"/>
        </w:rPr>
        <w:t xml:space="preserve">TABLE </w:t>
      </w:r>
      <w:r w:rsidR="00C35635">
        <w:rPr>
          <w:rFonts w:cs="Arial"/>
          <w:b/>
          <w:szCs w:val="22"/>
        </w:rPr>
        <w:t>I</w:t>
      </w:r>
      <w:r w:rsidR="00C26A79">
        <w:rPr>
          <w:rFonts w:cs="Arial"/>
          <w:b/>
          <w:szCs w:val="22"/>
        </w:rPr>
        <w:t>X</w:t>
      </w:r>
      <w:r w:rsidRPr="00725D15">
        <w:rPr>
          <w:rFonts w:cs="Arial"/>
          <w:szCs w:val="22"/>
        </w:rPr>
        <w:t>). Across non-cancer diagnosis groups, the receipt of opioid analgesics and preventative medication classes generally followed similar patterns to that of any Part D use, with several notable exceptions. Patients admitted to hospice for heart disease demonstrated the h</w:t>
      </w:r>
      <w:r w:rsidR="002174C0">
        <w:rPr>
          <w:rFonts w:cs="Arial"/>
          <w:szCs w:val="22"/>
        </w:rPr>
        <w:t xml:space="preserve">ighest prevalence of receiving </w:t>
      </w:r>
      <w:r w:rsidRPr="00725D15">
        <w:rPr>
          <w:rFonts w:cs="Arial"/>
          <w:szCs w:val="22"/>
        </w:rPr>
        <w:t>anti-hyperlipidemic (9.7%), oral antidiabetic (5.3%), and antiplatelet agents (5.0%). The prevalence of receiving anti-dementia medications was substantially greater in hospice patients admitted for dementia (14.7%) compared to other non-cancer causes (2.2%-9.8%).</w:t>
      </w:r>
    </w:p>
    <w:p w14:paraId="05C66CC1" w14:textId="77777777" w:rsidR="00C26A79" w:rsidRPr="00725D15" w:rsidRDefault="00C26A79" w:rsidP="00FC7B75">
      <w:pPr>
        <w:ind w:firstLine="720"/>
        <w:rPr>
          <w:rFonts w:cs="Arial"/>
          <w:szCs w:val="22"/>
        </w:rPr>
      </w:pPr>
    </w:p>
    <w:p w14:paraId="29DB9F5F" w14:textId="03B2DF0D" w:rsidR="00C26A79" w:rsidRDefault="00C26A79" w:rsidP="00C26A79">
      <w:pPr>
        <w:spacing w:after="0" w:line="240" w:lineRule="auto"/>
        <w:ind w:firstLine="720"/>
        <w:jc w:val="center"/>
        <w:rPr>
          <w:rFonts w:cs="Arial"/>
          <w:b/>
          <w:szCs w:val="22"/>
        </w:rPr>
      </w:pPr>
      <w:r w:rsidRPr="00C26A79">
        <w:rPr>
          <w:rFonts w:cs="Arial"/>
          <w:b/>
          <w:szCs w:val="22"/>
        </w:rPr>
        <w:lastRenderedPageBreak/>
        <w:t xml:space="preserve">TABLE </w:t>
      </w:r>
      <w:r w:rsidR="00C35635">
        <w:rPr>
          <w:rFonts w:cs="Arial"/>
          <w:b/>
          <w:szCs w:val="22"/>
        </w:rPr>
        <w:t>VIII</w:t>
      </w:r>
    </w:p>
    <w:p w14:paraId="225D5D42" w14:textId="77777777" w:rsidR="00C26A79" w:rsidRPr="00C26A79" w:rsidRDefault="00C26A79" w:rsidP="00C26A79">
      <w:pPr>
        <w:spacing w:after="0" w:line="240" w:lineRule="auto"/>
        <w:ind w:firstLine="720"/>
        <w:jc w:val="center"/>
        <w:rPr>
          <w:rFonts w:cs="Arial"/>
          <w:b/>
          <w:szCs w:val="22"/>
        </w:rPr>
      </w:pPr>
    </w:p>
    <w:p w14:paraId="06BCBD01" w14:textId="3F7E41DC" w:rsidR="003F7BB8" w:rsidRDefault="000F64B1" w:rsidP="000F64B1">
      <w:pPr>
        <w:pStyle w:val="Caption"/>
        <w:rPr>
          <w:caps w:val="0"/>
          <w:szCs w:val="22"/>
        </w:rPr>
      </w:pPr>
      <w:bookmarkStart w:id="84" w:name="_Toc507327157"/>
      <w:bookmarkStart w:id="85" w:name="_Toc507329277"/>
      <w:r w:rsidRPr="00E85CEF">
        <w:t>RECEIPT OF SELECTED DRUG AND THERAPEUTIC CLASSES THROUGH PART D AFTER HOSPICE ADMISSION, OVERALL AND BY CANCER AND NON-CANCER PRIMARY ADMISSION DIAGNOSIS</w:t>
      </w:r>
      <w:bookmarkEnd w:id="84"/>
      <w:bookmarkEnd w:id="85"/>
    </w:p>
    <w:tbl>
      <w:tblPr>
        <w:tblW w:w="9450" w:type="dxa"/>
        <w:tblBorders>
          <w:top w:val="single" w:sz="4" w:space="0" w:color="auto"/>
          <w:bottom w:val="single" w:sz="4" w:space="0" w:color="auto"/>
        </w:tblBorders>
        <w:tblLook w:val="04A0" w:firstRow="1" w:lastRow="0" w:firstColumn="1" w:lastColumn="0" w:noHBand="0" w:noVBand="1"/>
      </w:tblPr>
      <w:tblGrid>
        <w:gridCol w:w="3016"/>
        <w:gridCol w:w="1392"/>
        <w:gridCol w:w="1200"/>
        <w:gridCol w:w="1412"/>
        <w:gridCol w:w="2430"/>
      </w:tblGrid>
      <w:tr w:rsidR="003F7BB8" w:rsidRPr="005D54F4" w14:paraId="76A6D06F" w14:textId="77777777" w:rsidTr="00567980">
        <w:trPr>
          <w:trHeight w:val="255"/>
        </w:trPr>
        <w:tc>
          <w:tcPr>
            <w:tcW w:w="0" w:type="auto"/>
            <w:tcBorders>
              <w:top w:val="single" w:sz="4" w:space="0" w:color="auto"/>
              <w:bottom w:val="nil"/>
            </w:tcBorders>
            <w:shd w:val="clear" w:color="auto" w:fill="auto"/>
            <w:noWrap/>
            <w:vAlign w:val="bottom"/>
            <w:hideMark/>
          </w:tcPr>
          <w:p w14:paraId="17CA6E81" w14:textId="7C5191E9" w:rsidR="003F7BB8" w:rsidRPr="003F7BB8" w:rsidRDefault="003F7BB8" w:rsidP="003F7BB8">
            <w:pPr>
              <w:spacing w:after="0" w:line="240" w:lineRule="auto"/>
              <w:jc w:val="center"/>
              <w:rPr>
                <w:b/>
                <w:bCs/>
                <w:color w:val="000000"/>
                <w:sz w:val="20"/>
              </w:rPr>
            </w:pPr>
          </w:p>
        </w:tc>
        <w:tc>
          <w:tcPr>
            <w:tcW w:w="1392" w:type="dxa"/>
            <w:tcBorders>
              <w:top w:val="single" w:sz="4" w:space="0" w:color="auto"/>
              <w:bottom w:val="nil"/>
            </w:tcBorders>
            <w:shd w:val="clear" w:color="auto" w:fill="auto"/>
            <w:vAlign w:val="center"/>
          </w:tcPr>
          <w:p w14:paraId="4BFE08E7" w14:textId="77777777" w:rsidR="003F7BB8" w:rsidRPr="003F7BB8" w:rsidRDefault="003F7BB8" w:rsidP="003F7BB8">
            <w:pPr>
              <w:spacing w:after="0" w:line="240" w:lineRule="auto"/>
              <w:jc w:val="center"/>
              <w:rPr>
                <w:b/>
                <w:bCs/>
                <w:sz w:val="20"/>
              </w:rPr>
            </w:pPr>
            <w:r w:rsidRPr="003F7BB8">
              <w:rPr>
                <w:b/>
                <w:bCs/>
                <w:sz w:val="20"/>
              </w:rPr>
              <w:t>All Patients</w:t>
            </w:r>
          </w:p>
          <w:p w14:paraId="6BA86F0A" w14:textId="77777777" w:rsidR="003F7BB8" w:rsidRPr="003F7BB8" w:rsidRDefault="003F7BB8" w:rsidP="003F7BB8">
            <w:pPr>
              <w:spacing w:after="0" w:line="240" w:lineRule="auto"/>
              <w:jc w:val="center"/>
              <w:rPr>
                <w:b/>
                <w:bCs/>
                <w:sz w:val="20"/>
              </w:rPr>
            </w:pPr>
            <w:r w:rsidRPr="003F7BB8">
              <w:rPr>
                <w:b/>
                <w:bCs/>
                <w:sz w:val="20"/>
              </w:rPr>
              <w:t>(n=88,957)</w:t>
            </w:r>
          </w:p>
        </w:tc>
        <w:tc>
          <w:tcPr>
            <w:tcW w:w="1200" w:type="dxa"/>
            <w:tcBorders>
              <w:top w:val="single" w:sz="4" w:space="0" w:color="auto"/>
              <w:bottom w:val="nil"/>
            </w:tcBorders>
            <w:vAlign w:val="center"/>
          </w:tcPr>
          <w:p w14:paraId="37B8CCC4" w14:textId="77777777" w:rsidR="003F7BB8" w:rsidRPr="003F7BB8" w:rsidRDefault="003F7BB8" w:rsidP="003F7BB8">
            <w:pPr>
              <w:spacing w:after="0" w:line="240" w:lineRule="auto"/>
              <w:jc w:val="center"/>
              <w:rPr>
                <w:b/>
                <w:bCs/>
                <w:sz w:val="20"/>
              </w:rPr>
            </w:pPr>
            <w:r w:rsidRPr="003F7BB8">
              <w:rPr>
                <w:b/>
                <w:bCs/>
                <w:sz w:val="20"/>
              </w:rPr>
              <w:t xml:space="preserve">Cancer </w:t>
            </w:r>
          </w:p>
          <w:p w14:paraId="4794580A" w14:textId="77777777" w:rsidR="003F7BB8" w:rsidRPr="003F7BB8" w:rsidRDefault="003F7BB8" w:rsidP="003F7BB8">
            <w:pPr>
              <w:spacing w:after="0" w:line="240" w:lineRule="auto"/>
              <w:jc w:val="center"/>
              <w:rPr>
                <w:b/>
                <w:bCs/>
                <w:sz w:val="20"/>
              </w:rPr>
            </w:pPr>
            <w:r w:rsidRPr="003F7BB8">
              <w:rPr>
                <w:b/>
                <w:bCs/>
                <w:sz w:val="20"/>
              </w:rPr>
              <w:t xml:space="preserve">(n=57,204) </w:t>
            </w:r>
          </w:p>
        </w:tc>
        <w:tc>
          <w:tcPr>
            <w:tcW w:w="1412" w:type="dxa"/>
            <w:tcBorders>
              <w:top w:val="single" w:sz="4" w:space="0" w:color="auto"/>
              <w:bottom w:val="nil"/>
            </w:tcBorders>
            <w:vAlign w:val="center"/>
          </w:tcPr>
          <w:p w14:paraId="2102537F" w14:textId="77777777" w:rsidR="003F7BB8" w:rsidRPr="003F7BB8" w:rsidRDefault="003F7BB8" w:rsidP="003F7BB8">
            <w:pPr>
              <w:spacing w:after="0" w:line="240" w:lineRule="auto"/>
              <w:jc w:val="center"/>
              <w:rPr>
                <w:b/>
                <w:bCs/>
                <w:sz w:val="20"/>
              </w:rPr>
            </w:pPr>
            <w:r w:rsidRPr="003F7BB8">
              <w:rPr>
                <w:b/>
                <w:bCs/>
                <w:sz w:val="20"/>
              </w:rPr>
              <w:t xml:space="preserve">Non-Cancer </w:t>
            </w:r>
          </w:p>
          <w:p w14:paraId="7149FD22" w14:textId="77777777" w:rsidR="003F7BB8" w:rsidRPr="003F7BB8" w:rsidRDefault="003F7BB8" w:rsidP="003F7BB8">
            <w:pPr>
              <w:spacing w:after="0" w:line="240" w:lineRule="auto"/>
              <w:jc w:val="center"/>
              <w:rPr>
                <w:b/>
                <w:bCs/>
                <w:sz w:val="20"/>
              </w:rPr>
            </w:pPr>
            <w:r w:rsidRPr="003F7BB8">
              <w:rPr>
                <w:b/>
                <w:bCs/>
                <w:sz w:val="20"/>
              </w:rPr>
              <w:t>(n=31,753)</w:t>
            </w:r>
          </w:p>
        </w:tc>
        <w:tc>
          <w:tcPr>
            <w:tcW w:w="2430" w:type="dxa"/>
            <w:tcBorders>
              <w:top w:val="single" w:sz="4" w:space="0" w:color="auto"/>
              <w:bottom w:val="nil"/>
            </w:tcBorders>
            <w:vAlign w:val="center"/>
          </w:tcPr>
          <w:p w14:paraId="3E8104ED" w14:textId="77777777" w:rsidR="003F7BB8" w:rsidRPr="003F7BB8" w:rsidRDefault="003F7BB8" w:rsidP="003F7BB8">
            <w:pPr>
              <w:spacing w:after="0" w:line="240" w:lineRule="auto"/>
              <w:jc w:val="center"/>
              <w:rPr>
                <w:b/>
                <w:bCs/>
                <w:sz w:val="20"/>
              </w:rPr>
            </w:pPr>
            <w:r w:rsidRPr="003F7BB8">
              <w:rPr>
                <w:b/>
                <w:bCs/>
                <w:sz w:val="20"/>
              </w:rPr>
              <w:t>Absolute % Difference,  Cancer vs. Non-Cancer</w:t>
            </w:r>
          </w:p>
        </w:tc>
      </w:tr>
      <w:tr w:rsidR="003F7BB8" w:rsidRPr="005D54F4" w14:paraId="114F9B8A" w14:textId="77777777" w:rsidTr="003F7BB8">
        <w:trPr>
          <w:trHeight w:val="144"/>
        </w:trPr>
        <w:tc>
          <w:tcPr>
            <w:tcW w:w="0" w:type="auto"/>
            <w:tcBorders>
              <w:top w:val="nil"/>
              <w:bottom w:val="single" w:sz="4" w:space="0" w:color="auto"/>
            </w:tcBorders>
            <w:shd w:val="clear" w:color="auto" w:fill="auto"/>
            <w:noWrap/>
            <w:vAlign w:val="center"/>
            <w:hideMark/>
          </w:tcPr>
          <w:p w14:paraId="78973871" w14:textId="605782CA" w:rsidR="003F7BB8" w:rsidRPr="003F7BB8" w:rsidRDefault="00567980" w:rsidP="00567980">
            <w:pPr>
              <w:spacing w:after="0" w:line="240" w:lineRule="auto"/>
              <w:rPr>
                <w:b/>
                <w:bCs/>
                <w:sz w:val="20"/>
              </w:rPr>
            </w:pPr>
            <w:r w:rsidRPr="003F7BB8">
              <w:rPr>
                <w:b/>
                <w:bCs/>
                <w:sz w:val="20"/>
              </w:rPr>
              <w:t>Therapeutic or Drug Class</w:t>
            </w:r>
            <w:r w:rsidRPr="003F7BB8">
              <w:rPr>
                <w:b/>
                <w:bCs/>
                <w:sz w:val="20"/>
                <w:vertAlign w:val="superscript"/>
              </w:rPr>
              <w:t>a</w:t>
            </w:r>
          </w:p>
        </w:tc>
        <w:tc>
          <w:tcPr>
            <w:tcW w:w="1392" w:type="dxa"/>
            <w:tcBorders>
              <w:top w:val="nil"/>
              <w:bottom w:val="single" w:sz="4" w:space="0" w:color="auto"/>
            </w:tcBorders>
            <w:shd w:val="clear" w:color="auto" w:fill="auto"/>
            <w:noWrap/>
            <w:vAlign w:val="center"/>
            <w:hideMark/>
          </w:tcPr>
          <w:p w14:paraId="5C5D4CA6" w14:textId="77777777" w:rsidR="003F7BB8" w:rsidRPr="003F7BB8" w:rsidRDefault="003F7BB8" w:rsidP="003F7BB8">
            <w:pPr>
              <w:spacing w:after="0" w:line="240" w:lineRule="auto"/>
              <w:jc w:val="center"/>
              <w:rPr>
                <w:b/>
                <w:bCs/>
                <w:sz w:val="20"/>
              </w:rPr>
            </w:pPr>
            <w:r w:rsidRPr="003F7BB8">
              <w:rPr>
                <w:b/>
                <w:bCs/>
                <w:sz w:val="20"/>
              </w:rPr>
              <w:t>%</w:t>
            </w:r>
          </w:p>
        </w:tc>
        <w:tc>
          <w:tcPr>
            <w:tcW w:w="1200" w:type="dxa"/>
            <w:tcBorders>
              <w:top w:val="nil"/>
              <w:bottom w:val="single" w:sz="4" w:space="0" w:color="auto"/>
            </w:tcBorders>
            <w:vAlign w:val="center"/>
          </w:tcPr>
          <w:p w14:paraId="0252510D" w14:textId="77777777" w:rsidR="003F7BB8" w:rsidRPr="003F7BB8" w:rsidRDefault="003F7BB8" w:rsidP="003F7BB8">
            <w:pPr>
              <w:spacing w:after="0" w:line="240" w:lineRule="auto"/>
              <w:jc w:val="center"/>
              <w:rPr>
                <w:b/>
                <w:bCs/>
                <w:sz w:val="20"/>
              </w:rPr>
            </w:pPr>
            <w:r w:rsidRPr="003F7BB8">
              <w:rPr>
                <w:b/>
                <w:bCs/>
                <w:sz w:val="20"/>
              </w:rPr>
              <w:t>%</w:t>
            </w:r>
          </w:p>
        </w:tc>
        <w:tc>
          <w:tcPr>
            <w:tcW w:w="1412" w:type="dxa"/>
            <w:tcBorders>
              <w:top w:val="nil"/>
              <w:bottom w:val="single" w:sz="4" w:space="0" w:color="auto"/>
            </w:tcBorders>
            <w:vAlign w:val="center"/>
          </w:tcPr>
          <w:p w14:paraId="2AFC23E9" w14:textId="77777777" w:rsidR="003F7BB8" w:rsidRPr="003F7BB8" w:rsidRDefault="003F7BB8" w:rsidP="003F7BB8">
            <w:pPr>
              <w:spacing w:after="0" w:line="240" w:lineRule="auto"/>
              <w:jc w:val="center"/>
              <w:rPr>
                <w:b/>
                <w:bCs/>
                <w:sz w:val="20"/>
              </w:rPr>
            </w:pPr>
            <w:r w:rsidRPr="003F7BB8">
              <w:rPr>
                <w:b/>
                <w:bCs/>
                <w:sz w:val="20"/>
              </w:rPr>
              <w:t>%</w:t>
            </w:r>
          </w:p>
        </w:tc>
        <w:tc>
          <w:tcPr>
            <w:tcW w:w="2430" w:type="dxa"/>
            <w:tcBorders>
              <w:top w:val="nil"/>
              <w:bottom w:val="single" w:sz="4" w:space="0" w:color="auto"/>
            </w:tcBorders>
            <w:vAlign w:val="center"/>
          </w:tcPr>
          <w:p w14:paraId="25FA605D" w14:textId="77777777" w:rsidR="003F7BB8" w:rsidRPr="003F7BB8" w:rsidRDefault="003F7BB8" w:rsidP="003F7BB8">
            <w:pPr>
              <w:spacing w:after="0" w:line="240" w:lineRule="auto"/>
              <w:jc w:val="center"/>
              <w:rPr>
                <w:b/>
                <w:bCs/>
                <w:sz w:val="20"/>
              </w:rPr>
            </w:pPr>
            <w:r w:rsidRPr="003F7BB8">
              <w:rPr>
                <w:b/>
                <w:bCs/>
                <w:sz w:val="20"/>
              </w:rPr>
              <w:t>% (95% CI)</w:t>
            </w:r>
          </w:p>
        </w:tc>
      </w:tr>
      <w:tr w:rsidR="003F7BB8" w:rsidRPr="005D54F4" w14:paraId="534F7BFB" w14:textId="77777777" w:rsidTr="003F7BB8">
        <w:trPr>
          <w:trHeight w:val="144"/>
        </w:trPr>
        <w:tc>
          <w:tcPr>
            <w:tcW w:w="0" w:type="auto"/>
            <w:tcBorders>
              <w:top w:val="single" w:sz="4" w:space="0" w:color="auto"/>
            </w:tcBorders>
            <w:shd w:val="clear" w:color="auto" w:fill="auto"/>
            <w:noWrap/>
            <w:vAlign w:val="center"/>
          </w:tcPr>
          <w:p w14:paraId="360EC91C" w14:textId="77777777" w:rsidR="003F7BB8" w:rsidRPr="004239E6" w:rsidRDefault="003F7BB8" w:rsidP="003F7BB8">
            <w:pPr>
              <w:spacing w:after="0" w:line="240" w:lineRule="auto"/>
              <w:rPr>
                <w:sz w:val="20"/>
              </w:rPr>
            </w:pPr>
            <w:r w:rsidRPr="004239E6">
              <w:rPr>
                <w:sz w:val="20"/>
              </w:rPr>
              <w:t>Anti-hyperlipidemic</w:t>
            </w:r>
          </w:p>
        </w:tc>
        <w:tc>
          <w:tcPr>
            <w:tcW w:w="1392" w:type="dxa"/>
            <w:tcBorders>
              <w:top w:val="single" w:sz="4" w:space="0" w:color="auto"/>
            </w:tcBorders>
            <w:shd w:val="clear" w:color="auto" w:fill="auto"/>
            <w:noWrap/>
            <w:vAlign w:val="center"/>
          </w:tcPr>
          <w:p w14:paraId="7046180D" w14:textId="77777777" w:rsidR="003F7BB8" w:rsidRPr="004239E6" w:rsidRDefault="003F7BB8" w:rsidP="003F7BB8">
            <w:pPr>
              <w:spacing w:after="0" w:line="240" w:lineRule="auto"/>
              <w:jc w:val="center"/>
              <w:rPr>
                <w:sz w:val="20"/>
              </w:rPr>
            </w:pPr>
            <w:r w:rsidRPr="004239E6">
              <w:rPr>
                <w:bCs/>
                <w:sz w:val="20"/>
              </w:rPr>
              <w:t>6.3</w:t>
            </w:r>
          </w:p>
        </w:tc>
        <w:tc>
          <w:tcPr>
            <w:tcW w:w="1200" w:type="dxa"/>
            <w:tcBorders>
              <w:top w:val="single" w:sz="4" w:space="0" w:color="auto"/>
            </w:tcBorders>
            <w:vAlign w:val="center"/>
          </w:tcPr>
          <w:p w14:paraId="4C15A59B" w14:textId="77777777" w:rsidR="003F7BB8" w:rsidRPr="004239E6" w:rsidRDefault="003F7BB8" w:rsidP="003F7BB8">
            <w:pPr>
              <w:spacing w:after="0" w:line="240" w:lineRule="auto"/>
              <w:jc w:val="center"/>
              <w:rPr>
                <w:bCs/>
                <w:sz w:val="20"/>
              </w:rPr>
            </w:pPr>
            <w:r w:rsidRPr="004239E6">
              <w:rPr>
                <w:bCs/>
                <w:sz w:val="20"/>
              </w:rPr>
              <w:t>5.8</w:t>
            </w:r>
          </w:p>
        </w:tc>
        <w:tc>
          <w:tcPr>
            <w:tcW w:w="1412" w:type="dxa"/>
            <w:tcBorders>
              <w:top w:val="single" w:sz="4" w:space="0" w:color="auto"/>
            </w:tcBorders>
            <w:vAlign w:val="center"/>
          </w:tcPr>
          <w:p w14:paraId="757F00F3" w14:textId="77777777" w:rsidR="003F7BB8" w:rsidRPr="004239E6" w:rsidRDefault="003F7BB8" w:rsidP="003F7BB8">
            <w:pPr>
              <w:spacing w:after="0" w:line="240" w:lineRule="auto"/>
              <w:jc w:val="center"/>
              <w:rPr>
                <w:bCs/>
                <w:sz w:val="20"/>
              </w:rPr>
            </w:pPr>
            <w:r w:rsidRPr="004239E6">
              <w:rPr>
                <w:bCs/>
                <w:sz w:val="20"/>
              </w:rPr>
              <w:t>7.3</w:t>
            </w:r>
          </w:p>
        </w:tc>
        <w:tc>
          <w:tcPr>
            <w:tcW w:w="2430" w:type="dxa"/>
            <w:tcBorders>
              <w:top w:val="single" w:sz="4" w:space="0" w:color="auto"/>
            </w:tcBorders>
            <w:vAlign w:val="center"/>
          </w:tcPr>
          <w:p w14:paraId="24545BB9" w14:textId="77777777" w:rsidR="003F7BB8" w:rsidRPr="004239E6" w:rsidRDefault="003F7BB8" w:rsidP="003F7BB8">
            <w:pPr>
              <w:spacing w:after="0" w:line="240" w:lineRule="auto"/>
              <w:jc w:val="center"/>
              <w:rPr>
                <w:bCs/>
                <w:sz w:val="20"/>
              </w:rPr>
            </w:pPr>
            <w:r w:rsidRPr="004239E6">
              <w:rPr>
                <w:bCs/>
                <w:sz w:val="20"/>
              </w:rPr>
              <w:t>-1.5 (-1.9, -1.2)</w:t>
            </w:r>
          </w:p>
        </w:tc>
      </w:tr>
      <w:tr w:rsidR="003F7BB8" w:rsidRPr="005D54F4" w14:paraId="05524D1B" w14:textId="77777777" w:rsidTr="003F7BB8">
        <w:trPr>
          <w:trHeight w:val="144"/>
        </w:trPr>
        <w:tc>
          <w:tcPr>
            <w:tcW w:w="0" w:type="auto"/>
            <w:shd w:val="clear" w:color="auto" w:fill="auto"/>
            <w:noWrap/>
            <w:tcMar>
              <w:left w:w="288" w:type="dxa"/>
              <w:right w:w="115" w:type="dxa"/>
            </w:tcMar>
            <w:vAlign w:val="center"/>
            <w:hideMark/>
          </w:tcPr>
          <w:p w14:paraId="2B5439BB" w14:textId="77777777" w:rsidR="003F7BB8" w:rsidRPr="004239E6" w:rsidRDefault="003F7BB8" w:rsidP="003F7BB8">
            <w:pPr>
              <w:spacing w:after="0" w:line="240" w:lineRule="auto"/>
              <w:rPr>
                <w:sz w:val="20"/>
              </w:rPr>
            </w:pPr>
            <w:r w:rsidRPr="004239E6">
              <w:rPr>
                <w:sz w:val="20"/>
              </w:rPr>
              <w:t>Statin</w:t>
            </w:r>
          </w:p>
        </w:tc>
        <w:tc>
          <w:tcPr>
            <w:tcW w:w="1392" w:type="dxa"/>
            <w:shd w:val="clear" w:color="auto" w:fill="auto"/>
            <w:noWrap/>
            <w:vAlign w:val="center"/>
            <w:hideMark/>
          </w:tcPr>
          <w:p w14:paraId="593783D6" w14:textId="77777777" w:rsidR="003F7BB8" w:rsidRPr="004239E6" w:rsidRDefault="003F7BB8" w:rsidP="003F7BB8">
            <w:pPr>
              <w:spacing w:after="0" w:line="240" w:lineRule="auto"/>
              <w:jc w:val="center"/>
              <w:rPr>
                <w:sz w:val="20"/>
              </w:rPr>
            </w:pPr>
            <w:r w:rsidRPr="004239E6">
              <w:rPr>
                <w:sz w:val="20"/>
              </w:rPr>
              <w:t>5.7</w:t>
            </w:r>
          </w:p>
        </w:tc>
        <w:tc>
          <w:tcPr>
            <w:tcW w:w="1200" w:type="dxa"/>
            <w:vAlign w:val="center"/>
          </w:tcPr>
          <w:p w14:paraId="41C99ED4" w14:textId="77777777" w:rsidR="003F7BB8" w:rsidRPr="004239E6" w:rsidRDefault="003F7BB8" w:rsidP="003F7BB8">
            <w:pPr>
              <w:spacing w:after="0" w:line="240" w:lineRule="auto"/>
              <w:jc w:val="center"/>
              <w:rPr>
                <w:sz w:val="20"/>
              </w:rPr>
            </w:pPr>
            <w:r w:rsidRPr="004239E6">
              <w:rPr>
                <w:sz w:val="20"/>
              </w:rPr>
              <w:t>5.2</w:t>
            </w:r>
          </w:p>
        </w:tc>
        <w:tc>
          <w:tcPr>
            <w:tcW w:w="1412" w:type="dxa"/>
            <w:vAlign w:val="center"/>
          </w:tcPr>
          <w:p w14:paraId="6EDF0F0B" w14:textId="77777777" w:rsidR="003F7BB8" w:rsidRPr="004239E6" w:rsidRDefault="003F7BB8" w:rsidP="003F7BB8">
            <w:pPr>
              <w:spacing w:after="0" w:line="240" w:lineRule="auto"/>
              <w:jc w:val="center"/>
              <w:rPr>
                <w:sz w:val="20"/>
              </w:rPr>
            </w:pPr>
            <w:r w:rsidRPr="004239E6">
              <w:rPr>
                <w:sz w:val="20"/>
              </w:rPr>
              <w:t>6.6</w:t>
            </w:r>
          </w:p>
        </w:tc>
        <w:tc>
          <w:tcPr>
            <w:tcW w:w="2430" w:type="dxa"/>
            <w:vAlign w:val="center"/>
          </w:tcPr>
          <w:p w14:paraId="7E5105A3" w14:textId="77777777" w:rsidR="003F7BB8" w:rsidRPr="004239E6" w:rsidRDefault="003F7BB8" w:rsidP="003F7BB8">
            <w:pPr>
              <w:spacing w:after="0" w:line="240" w:lineRule="auto"/>
              <w:jc w:val="center"/>
              <w:rPr>
                <w:sz w:val="20"/>
              </w:rPr>
            </w:pPr>
            <w:r w:rsidRPr="004239E6">
              <w:rPr>
                <w:bCs/>
                <w:sz w:val="20"/>
              </w:rPr>
              <w:t>-1.4 (-1.7, -1.1)</w:t>
            </w:r>
          </w:p>
        </w:tc>
      </w:tr>
      <w:tr w:rsidR="003F7BB8" w:rsidRPr="005D54F4" w14:paraId="397271E0" w14:textId="77777777" w:rsidTr="003F7BB8">
        <w:trPr>
          <w:trHeight w:val="144"/>
        </w:trPr>
        <w:tc>
          <w:tcPr>
            <w:tcW w:w="0" w:type="auto"/>
            <w:shd w:val="clear" w:color="auto" w:fill="auto"/>
            <w:noWrap/>
            <w:vAlign w:val="center"/>
            <w:hideMark/>
          </w:tcPr>
          <w:p w14:paraId="4164C745" w14:textId="77777777" w:rsidR="003F7BB8" w:rsidRPr="004239E6" w:rsidRDefault="003F7BB8" w:rsidP="003F7BB8">
            <w:pPr>
              <w:spacing w:after="0" w:line="240" w:lineRule="auto"/>
              <w:rPr>
                <w:bCs/>
                <w:sz w:val="20"/>
              </w:rPr>
            </w:pPr>
            <w:r w:rsidRPr="004239E6">
              <w:rPr>
                <w:bCs/>
                <w:sz w:val="20"/>
              </w:rPr>
              <w:t>Antihypertensive</w:t>
            </w:r>
          </w:p>
        </w:tc>
        <w:tc>
          <w:tcPr>
            <w:tcW w:w="1392" w:type="dxa"/>
            <w:shd w:val="clear" w:color="auto" w:fill="auto"/>
            <w:noWrap/>
            <w:vAlign w:val="center"/>
            <w:hideMark/>
          </w:tcPr>
          <w:p w14:paraId="523D8053" w14:textId="77777777" w:rsidR="003F7BB8" w:rsidRPr="004239E6" w:rsidRDefault="003F7BB8" w:rsidP="003F7BB8">
            <w:pPr>
              <w:spacing w:after="0" w:line="240" w:lineRule="auto"/>
              <w:jc w:val="center"/>
              <w:rPr>
                <w:rFonts w:ascii="Times New Roman" w:hAnsi="Times New Roman"/>
                <w:sz w:val="20"/>
              </w:rPr>
            </w:pPr>
            <w:r w:rsidRPr="004239E6">
              <w:rPr>
                <w:bCs/>
                <w:sz w:val="20"/>
              </w:rPr>
              <w:t>23.1</w:t>
            </w:r>
          </w:p>
        </w:tc>
        <w:tc>
          <w:tcPr>
            <w:tcW w:w="1200" w:type="dxa"/>
            <w:vAlign w:val="center"/>
          </w:tcPr>
          <w:p w14:paraId="1C70DD53" w14:textId="77777777" w:rsidR="003F7BB8" w:rsidRPr="004239E6" w:rsidRDefault="003F7BB8" w:rsidP="003F7BB8">
            <w:pPr>
              <w:spacing w:after="0" w:line="240" w:lineRule="auto"/>
              <w:jc w:val="center"/>
              <w:rPr>
                <w:bCs/>
                <w:sz w:val="20"/>
              </w:rPr>
            </w:pPr>
            <w:r w:rsidRPr="004239E6">
              <w:rPr>
                <w:bCs/>
                <w:sz w:val="20"/>
              </w:rPr>
              <w:t>22.8</w:t>
            </w:r>
          </w:p>
        </w:tc>
        <w:tc>
          <w:tcPr>
            <w:tcW w:w="1412" w:type="dxa"/>
            <w:vAlign w:val="center"/>
          </w:tcPr>
          <w:p w14:paraId="30E78595" w14:textId="77777777" w:rsidR="003F7BB8" w:rsidRPr="004239E6" w:rsidRDefault="003F7BB8" w:rsidP="003F7BB8">
            <w:pPr>
              <w:spacing w:after="0" w:line="240" w:lineRule="auto"/>
              <w:jc w:val="center"/>
              <w:rPr>
                <w:bCs/>
                <w:sz w:val="20"/>
              </w:rPr>
            </w:pPr>
            <w:r w:rsidRPr="004239E6">
              <w:rPr>
                <w:bCs/>
                <w:sz w:val="20"/>
              </w:rPr>
              <w:t>23.8</w:t>
            </w:r>
          </w:p>
        </w:tc>
        <w:tc>
          <w:tcPr>
            <w:tcW w:w="2430" w:type="dxa"/>
            <w:vAlign w:val="center"/>
          </w:tcPr>
          <w:p w14:paraId="3CFC6318" w14:textId="77777777" w:rsidR="003F7BB8" w:rsidRPr="004239E6" w:rsidRDefault="003F7BB8" w:rsidP="003F7BB8">
            <w:pPr>
              <w:spacing w:after="0" w:line="240" w:lineRule="auto"/>
              <w:jc w:val="center"/>
              <w:rPr>
                <w:bCs/>
                <w:sz w:val="20"/>
              </w:rPr>
            </w:pPr>
            <w:r w:rsidRPr="004239E6">
              <w:rPr>
                <w:bCs/>
                <w:sz w:val="20"/>
              </w:rPr>
              <w:t>-1.0 (-1.5, -0.4)</w:t>
            </w:r>
          </w:p>
        </w:tc>
      </w:tr>
      <w:tr w:rsidR="003F7BB8" w:rsidRPr="005D54F4" w14:paraId="67139818" w14:textId="77777777" w:rsidTr="003F7BB8">
        <w:trPr>
          <w:trHeight w:val="144"/>
        </w:trPr>
        <w:tc>
          <w:tcPr>
            <w:tcW w:w="0" w:type="auto"/>
            <w:shd w:val="clear" w:color="auto" w:fill="auto"/>
            <w:noWrap/>
            <w:tcMar>
              <w:left w:w="288" w:type="dxa"/>
              <w:right w:w="115" w:type="dxa"/>
            </w:tcMar>
            <w:vAlign w:val="center"/>
          </w:tcPr>
          <w:p w14:paraId="76877643" w14:textId="77777777" w:rsidR="003F7BB8" w:rsidRPr="004239E6" w:rsidRDefault="003F7BB8" w:rsidP="003F7BB8">
            <w:pPr>
              <w:spacing w:after="0" w:line="240" w:lineRule="auto"/>
              <w:rPr>
                <w:sz w:val="20"/>
              </w:rPr>
            </w:pPr>
            <w:r w:rsidRPr="004239E6">
              <w:rPr>
                <w:sz w:val="20"/>
              </w:rPr>
              <w:t>Beta adrenergic antagonist</w:t>
            </w:r>
          </w:p>
        </w:tc>
        <w:tc>
          <w:tcPr>
            <w:tcW w:w="1392" w:type="dxa"/>
            <w:shd w:val="clear" w:color="auto" w:fill="auto"/>
            <w:noWrap/>
            <w:vAlign w:val="center"/>
          </w:tcPr>
          <w:p w14:paraId="45D0EB04" w14:textId="77777777" w:rsidR="003F7BB8" w:rsidRPr="004239E6" w:rsidRDefault="003F7BB8" w:rsidP="003F7BB8">
            <w:pPr>
              <w:spacing w:after="0" w:line="240" w:lineRule="auto"/>
              <w:jc w:val="center"/>
              <w:rPr>
                <w:bCs/>
                <w:sz w:val="20"/>
              </w:rPr>
            </w:pPr>
            <w:r w:rsidRPr="004239E6">
              <w:rPr>
                <w:sz w:val="20"/>
              </w:rPr>
              <w:t>12.3</w:t>
            </w:r>
          </w:p>
        </w:tc>
        <w:tc>
          <w:tcPr>
            <w:tcW w:w="1200" w:type="dxa"/>
            <w:vAlign w:val="center"/>
          </w:tcPr>
          <w:p w14:paraId="7AD4C9E6" w14:textId="77777777" w:rsidR="003F7BB8" w:rsidRPr="004239E6" w:rsidRDefault="003F7BB8" w:rsidP="003F7BB8">
            <w:pPr>
              <w:spacing w:after="0" w:line="240" w:lineRule="auto"/>
              <w:jc w:val="center"/>
              <w:rPr>
                <w:sz w:val="20"/>
              </w:rPr>
            </w:pPr>
            <w:r w:rsidRPr="004239E6">
              <w:rPr>
                <w:sz w:val="20"/>
              </w:rPr>
              <w:t>11.9</w:t>
            </w:r>
          </w:p>
        </w:tc>
        <w:tc>
          <w:tcPr>
            <w:tcW w:w="1412" w:type="dxa"/>
            <w:vAlign w:val="center"/>
          </w:tcPr>
          <w:p w14:paraId="50526767" w14:textId="77777777" w:rsidR="003F7BB8" w:rsidRPr="004239E6" w:rsidRDefault="003F7BB8" w:rsidP="003F7BB8">
            <w:pPr>
              <w:spacing w:after="0" w:line="240" w:lineRule="auto"/>
              <w:jc w:val="center"/>
              <w:rPr>
                <w:sz w:val="20"/>
              </w:rPr>
            </w:pPr>
            <w:r w:rsidRPr="004239E6">
              <w:rPr>
                <w:sz w:val="20"/>
              </w:rPr>
              <w:t>13.0</w:t>
            </w:r>
          </w:p>
        </w:tc>
        <w:tc>
          <w:tcPr>
            <w:tcW w:w="2430" w:type="dxa"/>
            <w:vAlign w:val="center"/>
          </w:tcPr>
          <w:p w14:paraId="0455B529" w14:textId="77777777" w:rsidR="003F7BB8" w:rsidRPr="004239E6" w:rsidRDefault="003F7BB8" w:rsidP="003F7BB8">
            <w:pPr>
              <w:spacing w:after="0" w:line="240" w:lineRule="auto"/>
              <w:jc w:val="center"/>
              <w:rPr>
                <w:sz w:val="20"/>
              </w:rPr>
            </w:pPr>
            <w:r w:rsidRPr="004239E6">
              <w:rPr>
                <w:bCs/>
                <w:sz w:val="20"/>
              </w:rPr>
              <w:t>-1.1 (-1.5, -0.6)</w:t>
            </w:r>
          </w:p>
        </w:tc>
      </w:tr>
      <w:tr w:rsidR="003F7BB8" w:rsidRPr="005D54F4" w14:paraId="5F546FF8" w14:textId="77777777" w:rsidTr="003F7BB8">
        <w:trPr>
          <w:trHeight w:val="144"/>
        </w:trPr>
        <w:tc>
          <w:tcPr>
            <w:tcW w:w="0" w:type="auto"/>
            <w:shd w:val="clear" w:color="auto" w:fill="auto"/>
            <w:noWrap/>
            <w:tcMar>
              <w:left w:w="288" w:type="dxa"/>
              <w:right w:w="115" w:type="dxa"/>
            </w:tcMar>
            <w:vAlign w:val="center"/>
          </w:tcPr>
          <w:p w14:paraId="75BEC561" w14:textId="77777777" w:rsidR="003F7BB8" w:rsidRPr="004239E6" w:rsidRDefault="003F7BB8" w:rsidP="003F7BB8">
            <w:pPr>
              <w:spacing w:after="0" w:line="240" w:lineRule="auto"/>
              <w:rPr>
                <w:sz w:val="20"/>
              </w:rPr>
            </w:pPr>
            <w:r w:rsidRPr="004239E6">
              <w:rPr>
                <w:sz w:val="20"/>
              </w:rPr>
              <w:t>ACE inhibitor</w:t>
            </w:r>
          </w:p>
        </w:tc>
        <w:tc>
          <w:tcPr>
            <w:tcW w:w="1392" w:type="dxa"/>
            <w:shd w:val="clear" w:color="auto" w:fill="auto"/>
            <w:noWrap/>
            <w:vAlign w:val="center"/>
          </w:tcPr>
          <w:p w14:paraId="32A71353" w14:textId="77777777" w:rsidR="003F7BB8" w:rsidRPr="004239E6" w:rsidRDefault="003F7BB8" w:rsidP="003F7BB8">
            <w:pPr>
              <w:spacing w:after="0" w:line="240" w:lineRule="auto"/>
              <w:jc w:val="center"/>
              <w:rPr>
                <w:bCs/>
                <w:sz w:val="20"/>
              </w:rPr>
            </w:pPr>
            <w:r w:rsidRPr="004239E6">
              <w:rPr>
                <w:sz w:val="20"/>
              </w:rPr>
              <w:t>6.3</w:t>
            </w:r>
          </w:p>
        </w:tc>
        <w:tc>
          <w:tcPr>
            <w:tcW w:w="1200" w:type="dxa"/>
            <w:vAlign w:val="center"/>
          </w:tcPr>
          <w:p w14:paraId="4E9D1F02" w14:textId="77777777" w:rsidR="003F7BB8" w:rsidRPr="004239E6" w:rsidRDefault="003F7BB8" w:rsidP="003F7BB8">
            <w:pPr>
              <w:spacing w:after="0" w:line="240" w:lineRule="auto"/>
              <w:jc w:val="center"/>
              <w:rPr>
                <w:sz w:val="20"/>
              </w:rPr>
            </w:pPr>
            <w:r w:rsidRPr="004239E6">
              <w:rPr>
                <w:bCs/>
                <w:sz w:val="20"/>
              </w:rPr>
              <w:t>6.0</w:t>
            </w:r>
          </w:p>
        </w:tc>
        <w:tc>
          <w:tcPr>
            <w:tcW w:w="1412" w:type="dxa"/>
            <w:vAlign w:val="center"/>
          </w:tcPr>
          <w:p w14:paraId="7CBB70FB" w14:textId="77777777" w:rsidR="003F7BB8" w:rsidRPr="004239E6" w:rsidRDefault="003F7BB8" w:rsidP="003F7BB8">
            <w:pPr>
              <w:spacing w:after="0" w:line="240" w:lineRule="auto"/>
              <w:jc w:val="center"/>
              <w:rPr>
                <w:sz w:val="20"/>
              </w:rPr>
            </w:pPr>
            <w:r w:rsidRPr="004239E6">
              <w:rPr>
                <w:sz w:val="20"/>
              </w:rPr>
              <w:t>6.7</w:t>
            </w:r>
          </w:p>
        </w:tc>
        <w:tc>
          <w:tcPr>
            <w:tcW w:w="2430" w:type="dxa"/>
            <w:vAlign w:val="center"/>
          </w:tcPr>
          <w:p w14:paraId="3DEA448B" w14:textId="77777777" w:rsidR="003F7BB8" w:rsidRPr="004239E6" w:rsidRDefault="003F7BB8" w:rsidP="003F7BB8">
            <w:pPr>
              <w:spacing w:after="0" w:line="240" w:lineRule="auto"/>
              <w:jc w:val="center"/>
              <w:rPr>
                <w:sz w:val="20"/>
              </w:rPr>
            </w:pPr>
            <w:r w:rsidRPr="004239E6">
              <w:rPr>
                <w:bCs/>
                <w:sz w:val="20"/>
              </w:rPr>
              <w:t>-0.8 (-1.1, -0.4)</w:t>
            </w:r>
          </w:p>
        </w:tc>
      </w:tr>
      <w:tr w:rsidR="003F7BB8" w:rsidRPr="005D54F4" w14:paraId="06F1F28A" w14:textId="77777777" w:rsidTr="003F7BB8">
        <w:trPr>
          <w:trHeight w:val="144"/>
        </w:trPr>
        <w:tc>
          <w:tcPr>
            <w:tcW w:w="0" w:type="auto"/>
            <w:shd w:val="clear" w:color="auto" w:fill="auto"/>
            <w:noWrap/>
            <w:tcMar>
              <w:left w:w="288" w:type="dxa"/>
              <w:right w:w="115" w:type="dxa"/>
            </w:tcMar>
            <w:vAlign w:val="center"/>
          </w:tcPr>
          <w:p w14:paraId="45587760" w14:textId="77777777" w:rsidR="003F7BB8" w:rsidRPr="004239E6" w:rsidRDefault="003F7BB8" w:rsidP="003F7BB8">
            <w:pPr>
              <w:spacing w:after="0" w:line="240" w:lineRule="auto"/>
              <w:rPr>
                <w:sz w:val="20"/>
              </w:rPr>
            </w:pPr>
            <w:r w:rsidRPr="004239E6">
              <w:rPr>
                <w:sz w:val="20"/>
              </w:rPr>
              <w:t>DHP calcium channel blocker</w:t>
            </w:r>
          </w:p>
        </w:tc>
        <w:tc>
          <w:tcPr>
            <w:tcW w:w="1392" w:type="dxa"/>
            <w:shd w:val="clear" w:color="auto" w:fill="auto"/>
            <w:noWrap/>
            <w:vAlign w:val="center"/>
          </w:tcPr>
          <w:p w14:paraId="6DE8887F" w14:textId="77777777" w:rsidR="003F7BB8" w:rsidRPr="004239E6" w:rsidRDefault="003F7BB8" w:rsidP="003F7BB8">
            <w:pPr>
              <w:spacing w:after="0" w:line="240" w:lineRule="auto"/>
              <w:jc w:val="center"/>
              <w:rPr>
                <w:sz w:val="20"/>
              </w:rPr>
            </w:pPr>
            <w:r w:rsidRPr="004239E6">
              <w:rPr>
                <w:sz w:val="20"/>
              </w:rPr>
              <w:t>5.1</w:t>
            </w:r>
          </w:p>
        </w:tc>
        <w:tc>
          <w:tcPr>
            <w:tcW w:w="1200" w:type="dxa"/>
            <w:vAlign w:val="center"/>
          </w:tcPr>
          <w:p w14:paraId="0CC95C30" w14:textId="77777777" w:rsidR="003F7BB8" w:rsidRPr="004239E6" w:rsidRDefault="003F7BB8" w:rsidP="003F7BB8">
            <w:pPr>
              <w:spacing w:after="0" w:line="240" w:lineRule="auto"/>
              <w:jc w:val="center"/>
              <w:rPr>
                <w:sz w:val="20"/>
              </w:rPr>
            </w:pPr>
            <w:r w:rsidRPr="004239E6">
              <w:rPr>
                <w:sz w:val="20"/>
              </w:rPr>
              <w:t>5.1</w:t>
            </w:r>
          </w:p>
        </w:tc>
        <w:tc>
          <w:tcPr>
            <w:tcW w:w="1412" w:type="dxa"/>
            <w:vAlign w:val="center"/>
          </w:tcPr>
          <w:p w14:paraId="23E24E38" w14:textId="77777777" w:rsidR="003F7BB8" w:rsidRPr="004239E6" w:rsidRDefault="003F7BB8" w:rsidP="003F7BB8">
            <w:pPr>
              <w:spacing w:after="0" w:line="240" w:lineRule="auto"/>
              <w:jc w:val="center"/>
              <w:rPr>
                <w:sz w:val="20"/>
              </w:rPr>
            </w:pPr>
            <w:r w:rsidRPr="004239E6">
              <w:rPr>
                <w:sz w:val="20"/>
              </w:rPr>
              <w:t>5.1</w:t>
            </w:r>
          </w:p>
        </w:tc>
        <w:tc>
          <w:tcPr>
            <w:tcW w:w="2430" w:type="dxa"/>
            <w:vAlign w:val="center"/>
          </w:tcPr>
          <w:p w14:paraId="3BDF7756" w14:textId="77777777" w:rsidR="003F7BB8" w:rsidRPr="004239E6" w:rsidRDefault="003F7BB8" w:rsidP="003F7BB8">
            <w:pPr>
              <w:spacing w:after="0" w:line="240" w:lineRule="auto"/>
              <w:jc w:val="center"/>
              <w:rPr>
                <w:sz w:val="20"/>
              </w:rPr>
            </w:pPr>
            <w:r w:rsidRPr="004239E6">
              <w:rPr>
                <w:sz w:val="20"/>
              </w:rPr>
              <w:t>0.1 (-0.2, 0.4)</w:t>
            </w:r>
          </w:p>
        </w:tc>
      </w:tr>
      <w:tr w:rsidR="003F7BB8" w:rsidRPr="005D54F4" w14:paraId="7DEEC6DD" w14:textId="77777777" w:rsidTr="003F7BB8">
        <w:trPr>
          <w:trHeight w:val="144"/>
        </w:trPr>
        <w:tc>
          <w:tcPr>
            <w:tcW w:w="0" w:type="auto"/>
            <w:shd w:val="clear" w:color="auto" w:fill="auto"/>
            <w:noWrap/>
            <w:tcMar>
              <w:left w:w="288" w:type="dxa"/>
              <w:right w:w="115" w:type="dxa"/>
            </w:tcMar>
            <w:vAlign w:val="center"/>
          </w:tcPr>
          <w:p w14:paraId="0AF258E0" w14:textId="77777777" w:rsidR="003F7BB8" w:rsidRPr="004239E6" w:rsidRDefault="003F7BB8" w:rsidP="003F7BB8">
            <w:pPr>
              <w:spacing w:after="0" w:line="240" w:lineRule="auto"/>
              <w:rPr>
                <w:sz w:val="20"/>
              </w:rPr>
            </w:pPr>
            <w:r w:rsidRPr="004239E6">
              <w:rPr>
                <w:sz w:val="20"/>
              </w:rPr>
              <w:t>Thiazide diuretic</w:t>
            </w:r>
          </w:p>
        </w:tc>
        <w:tc>
          <w:tcPr>
            <w:tcW w:w="1392" w:type="dxa"/>
            <w:shd w:val="clear" w:color="auto" w:fill="auto"/>
            <w:noWrap/>
            <w:vAlign w:val="center"/>
          </w:tcPr>
          <w:p w14:paraId="0E483A75" w14:textId="77777777" w:rsidR="003F7BB8" w:rsidRPr="004239E6" w:rsidRDefault="003F7BB8" w:rsidP="003F7BB8">
            <w:pPr>
              <w:spacing w:after="0" w:line="240" w:lineRule="auto"/>
              <w:jc w:val="center"/>
              <w:rPr>
                <w:sz w:val="20"/>
              </w:rPr>
            </w:pPr>
            <w:r w:rsidRPr="004239E6">
              <w:rPr>
                <w:sz w:val="20"/>
              </w:rPr>
              <w:t>3.0</w:t>
            </w:r>
          </w:p>
        </w:tc>
        <w:tc>
          <w:tcPr>
            <w:tcW w:w="1200" w:type="dxa"/>
            <w:vAlign w:val="center"/>
          </w:tcPr>
          <w:p w14:paraId="03F74D02" w14:textId="77777777" w:rsidR="003F7BB8" w:rsidRPr="004239E6" w:rsidRDefault="003F7BB8" w:rsidP="003F7BB8">
            <w:pPr>
              <w:spacing w:after="0" w:line="240" w:lineRule="auto"/>
              <w:jc w:val="center"/>
              <w:rPr>
                <w:sz w:val="20"/>
              </w:rPr>
            </w:pPr>
            <w:r w:rsidRPr="004239E6">
              <w:rPr>
                <w:sz w:val="20"/>
              </w:rPr>
              <w:t>3.2</w:t>
            </w:r>
          </w:p>
        </w:tc>
        <w:tc>
          <w:tcPr>
            <w:tcW w:w="1412" w:type="dxa"/>
            <w:vAlign w:val="center"/>
          </w:tcPr>
          <w:p w14:paraId="41520989" w14:textId="77777777" w:rsidR="003F7BB8" w:rsidRPr="004239E6" w:rsidRDefault="003F7BB8" w:rsidP="003F7BB8">
            <w:pPr>
              <w:spacing w:after="0" w:line="240" w:lineRule="auto"/>
              <w:jc w:val="center"/>
              <w:rPr>
                <w:sz w:val="20"/>
              </w:rPr>
            </w:pPr>
            <w:r w:rsidRPr="004239E6">
              <w:rPr>
                <w:sz w:val="20"/>
              </w:rPr>
              <w:t>2.7</w:t>
            </w:r>
          </w:p>
        </w:tc>
        <w:tc>
          <w:tcPr>
            <w:tcW w:w="2430" w:type="dxa"/>
            <w:vAlign w:val="center"/>
          </w:tcPr>
          <w:p w14:paraId="0344B560" w14:textId="77777777" w:rsidR="003F7BB8" w:rsidRPr="004239E6" w:rsidRDefault="003F7BB8" w:rsidP="003F7BB8">
            <w:pPr>
              <w:spacing w:after="0" w:line="240" w:lineRule="auto"/>
              <w:jc w:val="center"/>
              <w:rPr>
                <w:sz w:val="20"/>
              </w:rPr>
            </w:pPr>
            <w:r w:rsidRPr="004239E6">
              <w:rPr>
                <w:bCs/>
                <w:sz w:val="20"/>
              </w:rPr>
              <w:t>0.5 (0.3, 0.7)</w:t>
            </w:r>
          </w:p>
        </w:tc>
      </w:tr>
      <w:tr w:rsidR="003F7BB8" w:rsidRPr="005D54F4" w14:paraId="548F2BB4" w14:textId="77777777" w:rsidTr="003F7BB8">
        <w:trPr>
          <w:trHeight w:val="144"/>
        </w:trPr>
        <w:tc>
          <w:tcPr>
            <w:tcW w:w="0" w:type="auto"/>
            <w:shd w:val="clear" w:color="auto" w:fill="auto"/>
            <w:noWrap/>
            <w:tcMar>
              <w:left w:w="288" w:type="dxa"/>
              <w:right w:w="115" w:type="dxa"/>
            </w:tcMar>
            <w:vAlign w:val="center"/>
          </w:tcPr>
          <w:p w14:paraId="4C5005D2" w14:textId="77777777" w:rsidR="003F7BB8" w:rsidRPr="004239E6" w:rsidRDefault="003F7BB8" w:rsidP="003F7BB8">
            <w:pPr>
              <w:spacing w:after="0" w:line="240" w:lineRule="auto"/>
              <w:rPr>
                <w:sz w:val="20"/>
              </w:rPr>
            </w:pPr>
            <w:r w:rsidRPr="004239E6">
              <w:rPr>
                <w:sz w:val="20"/>
              </w:rPr>
              <w:t>ARB</w:t>
            </w:r>
          </w:p>
        </w:tc>
        <w:tc>
          <w:tcPr>
            <w:tcW w:w="1392" w:type="dxa"/>
            <w:shd w:val="clear" w:color="auto" w:fill="auto"/>
            <w:noWrap/>
            <w:vAlign w:val="center"/>
          </w:tcPr>
          <w:p w14:paraId="34FC2BAC" w14:textId="77777777" w:rsidR="003F7BB8" w:rsidRPr="004239E6" w:rsidRDefault="003F7BB8" w:rsidP="003F7BB8">
            <w:pPr>
              <w:spacing w:after="0" w:line="240" w:lineRule="auto"/>
              <w:jc w:val="center"/>
              <w:rPr>
                <w:sz w:val="20"/>
              </w:rPr>
            </w:pPr>
            <w:r w:rsidRPr="004239E6">
              <w:rPr>
                <w:sz w:val="20"/>
              </w:rPr>
              <w:t>2.9</w:t>
            </w:r>
          </w:p>
        </w:tc>
        <w:tc>
          <w:tcPr>
            <w:tcW w:w="1200" w:type="dxa"/>
            <w:vAlign w:val="center"/>
          </w:tcPr>
          <w:p w14:paraId="49242BEB" w14:textId="77777777" w:rsidR="003F7BB8" w:rsidRPr="004239E6" w:rsidRDefault="003F7BB8" w:rsidP="003F7BB8">
            <w:pPr>
              <w:spacing w:after="0" w:line="240" w:lineRule="auto"/>
              <w:jc w:val="center"/>
              <w:rPr>
                <w:sz w:val="20"/>
              </w:rPr>
            </w:pPr>
            <w:r w:rsidRPr="004239E6">
              <w:rPr>
                <w:sz w:val="20"/>
              </w:rPr>
              <w:t>3.0</w:t>
            </w:r>
          </w:p>
        </w:tc>
        <w:tc>
          <w:tcPr>
            <w:tcW w:w="1412" w:type="dxa"/>
            <w:vAlign w:val="center"/>
          </w:tcPr>
          <w:p w14:paraId="0BB5A653" w14:textId="77777777" w:rsidR="003F7BB8" w:rsidRPr="004239E6" w:rsidRDefault="003F7BB8" w:rsidP="003F7BB8">
            <w:pPr>
              <w:spacing w:after="0" w:line="240" w:lineRule="auto"/>
              <w:jc w:val="center"/>
              <w:rPr>
                <w:sz w:val="20"/>
              </w:rPr>
            </w:pPr>
            <w:r w:rsidRPr="004239E6">
              <w:rPr>
                <w:sz w:val="20"/>
              </w:rPr>
              <w:t>2.7</w:t>
            </w:r>
          </w:p>
        </w:tc>
        <w:tc>
          <w:tcPr>
            <w:tcW w:w="2430" w:type="dxa"/>
            <w:vAlign w:val="center"/>
          </w:tcPr>
          <w:p w14:paraId="52BA6A5C" w14:textId="77777777" w:rsidR="003F7BB8" w:rsidRPr="004239E6" w:rsidRDefault="003F7BB8" w:rsidP="003F7BB8">
            <w:pPr>
              <w:spacing w:after="0" w:line="240" w:lineRule="auto"/>
              <w:jc w:val="center"/>
              <w:rPr>
                <w:sz w:val="20"/>
              </w:rPr>
            </w:pPr>
            <w:r w:rsidRPr="004239E6">
              <w:rPr>
                <w:sz w:val="20"/>
              </w:rPr>
              <w:t>0.3 (0.1, 0.5)</w:t>
            </w:r>
          </w:p>
        </w:tc>
      </w:tr>
      <w:tr w:rsidR="003F7BB8" w:rsidRPr="005D54F4" w14:paraId="54DBA912" w14:textId="77777777" w:rsidTr="003F7BB8">
        <w:trPr>
          <w:trHeight w:val="144"/>
        </w:trPr>
        <w:tc>
          <w:tcPr>
            <w:tcW w:w="0" w:type="auto"/>
            <w:shd w:val="clear" w:color="auto" w:fill="auto"/>
            <w:noWrap/>
            <w:vAlign w:val="center"/>
            <w:hideMark/>
          </w:tcPr>
          <w:p w14:paraId="138C81E5" w14:textId="77777777" w:rsidR="003F7BB8" w:rsidRPr="004239E6" w:rsidRDefault="003F7BB8" w:rsidP="003F7BB8">
            <w:pPr>
              <w:spacing w:after="0" w:line="240" w:lineRule="auto"/>
              <w:rPr>
                <w:bCs/>
                <w:sz w:val="20"/>
              </w:rPr>
            </w:pPr>
            <w:r w:rsidRPr="004239E6">
              <w:rPr>
                <w:bCs/>
                <w:sz w:val="20"/>
              </w:rPr>
              <w:t>Oral Antidiabetic</w:t>
            </w:r>
          </w:p>
        </w:tc>
        <w:tc>
          <w:tcPr>
            <w:tcW w:w="1392" w:type="dxa"/>
            <w:shd w:val="clear" w:color="auto" w:fill="auto"/>
            <w:noWrap/>
            <w:vAlign w:val="center"/>
            <w:hideMark/>
          </w:tcPr>
          <w:p w14:paraId="105FD814" w14:textId="77777777" w:rsidR="003F7BB8" w:rsidRPr="004239E6" w:rsidRDefault="003F7BB8" w:rsidP="003F7BB8">
            <w:pPr>
              <w:spacing w:after="0" w:line="240" w:lineRule="auto"/>
              <w:jc w:val="center"/>
              <w:rPr>
                <w:rFonts w:ascii="Times New Roman" w:hAnsi="Times New Roman"/>
                <w:sz w:val="20"/>
              </w:rPr>
            </w:pPr>
            <w:r w:rsidRPr="004239E6">
              <w:rPr>
                <w:bCs/>
                <w:sz w:val="20"/>
              </w:rPr>
              <w:t>4.1</w:t>
            </w:r>
          </w:p>
        </w:tc>
        <w:tc>
          <w:tcPr>
            <w:tcW w:w="1200" w:type="dxa"/>
            <w:vAlign w:val="center"/>
          </w:tcPr>
          <w:p w14:paraId="47F13F59" w14:textId="77777777" w:rsidR="003F7BB8" w:rsidRPr="004239E6" w:rsidRDefault="003F7BB8" w:rsidP="003F7BB8">
            <w:pPr>
              <w:spacing w:after="0" w:line="240" w:lineRule="auto"/>
              <w:jc w:val="center"/>
              <w:rPr>
                <w:bCs/>
                <w:sz w:val="20"/>
              </w:rPr>
            </w:pPr>
            <w:r w:rsidRPr="004239E6">
              <w:rPr>
                <w:sz w:val="20"/>
              </w:rPr>
              <w:t>4.4</w:t>
            </w:r>
          </w:p>
        </w:tc>
        <w:tc>
          <w:tcPr>
            <w:tcW w:w="1412" w:type="dxa"/>
            <w:vAlign w:val="center"/>
          </w:tcPr>
          <w:p w14:paraId="0D180922" w14:textId="77777777" w:rsidR="003F7BB8" w:rsidRPr="004239E6" w:rsidRDefault="003F7BB8" w:rsidP="003F7BB8">
            <w:pPr>
              <w:spacing w:after="0" w:line="240" w:lineRule="auto"/>
              <w:jc w:val="center"/>
              <w:rPr>
                <w:bCs/>
                <w:sz w:val="20"/>
              </w:rPr>
            </w:pPr>
            <w:r w:rsidRPr="004239E6">
              <w:rPr>
                <w:bCs/>
                <w:sz w:val="20"/>
              </w:rPr>
              <w:t>3.8</w:t>
            </w:r>
          </w:p>
        </w:tc>
        <w:tc>
          <w:tcPr>
            <w:tcW w:w="2430" w:type="dxa"/>
            <w:vAlign w:val="center"/>
          </w:tcPr>
          <w:p w14:paraId="6E2321FC" w14:textId="77777777" w:rsidR="003F7BB8" w:rsidRPr="004239E6" w:rsidRDefault="003F7BB8" w:rsidP="003F7BB8">
            <w:pPr>
              <w:spacing w:after="0" w:line="240" w:lineRule="auto"/>
              <w:jc w:val="center"/>
              <w:rPr>
                <w:bCs/>
                <w:sz w:val="20"/>
              </w:rPr>
            </w:pPr>
            <w:r w:rsidRPr="004239E6">
              <w:rPr>
                <w:sz w:val="20"/>
              </w:rPr>
              <w:t>0.6 (0.3, 0.9)</w:t>
            </w:r>
          </w:p>
        </w:tc>
      </w:tr>
      <w:tr w:rsidR="003F7BB8" w:rsidRPr="005D54F4" w14:paraId="006DED19" w14:textId="77777777" w:rsidTr="003F7BB8">
        <w:trPr>
          <w:trHeight w:val="144"/>
        </w:trPr>
        <w:tc>
          <w:tcPr>
            <w:tcW w:w="0" w:type="auto"/>
            <w:shd w:val="clear" w:color="auto" w:fill="auto"/>
            <w:noWrap/>
            <w:tcMar>
              <w:left w:w="288" w:type="dxa"/>
              <w:right w:w="115" w:type="dxa"/>
            </w:tcMar>
            <w:vAlign w:val="center"/>
          </w:tcPr>
          <w:p w14:paraId="09F2005E" w14:textId="77777777" w:rsidR="003F7BB8" w:rsidRPr="004239E6" w:rsidRDefault="003F7BB8" w:rsidP="003F7BB8">
            <w:pPr>
              <w:spacing w:after="0" w:line="240" w:lineRule="auto"/>
              <w:rPr>
                <w:bCs/>
                <w:sz w:val="20"/>
              </w:rPr>
            </w:pPr>
            <w:r w:rsidRPr="004239E6">
              <w:rPr>
                <w:bCs/>
                <w:sz w:val="20"/>
              </w:rPr>
              <w:t>Biguanide</w:t>
            </w:r>
          </w:p>
        </w:tc>
        <w:tc>
          <w:tcPr>
            <w:tcW w:w="1392" w:type="dxa"/>
            <w:shd w:val="clear" w:color="auto" w:fill="auto"/>
            <w:noWrap/>
            <w:vAlign w:val="center"/>
          </w:tcPr>
          <w:p w14:paraId="2404CE0C" w14:textId="77777777" w:rsidR="003F7BB8" w:rsidRPr="004239E6" w:rsidRDefault="003F7BB8" w:rsidP="003F7BB8">
            <w:pPr>
              <w:spacing w:after="0" w:line="240" w:lineRule="auto"/>
              <w:jc w:val="center"/>
              <w:rPr>
                <w:bCs/>
                <w:sz w:val="20"/>
              </w:rPr>
            </w:pPr>
            <w:r w:rsidRPr="004239E6">
              <w:rPr>
                <w:bCs/>
                <w:sz w:val="20"/>
              </w:rPr>
              <w:t>1.9</w:t>
            </w:r>
          </w:p>
        </w:tc>
        <w:tc>
          <w:tcPr>
            <w:tcW w:w="1200" w:type="dxa"/>
            <w:vAlign w:val="center"/>
          </w:tcPr>
          <w:p w14:paraId="6761692A" w14:textId="77777777" w:rsidR="003F7BB8" w:rsidRPr="004239E6" w:rsidRDefault="003F7BB8" w:rsidP="003F7BB8">
            <w:pPr>
              <w:spacing w:after="0" w:line="240" w:lineRule="auto"/>
              <w:jc w:val="center"/>
              <w:rPr>
                <w:bCs/>
                <w:sz w:val="20"/>
              </w:rPr>
            </w:pPr>
            <w:r w:rsidRPr="004239E6">
              <w:rPr>
                <w:sz w:val="20"/>
              </w:rPr>
              <w:t>2.0</w:t>
            </w:r>
          </w:p>
        </w:tc>
        <w:tc>
          <w:tcPr>
            <w:tcW w:w="1412" w:type="dxa"/>
            <w:vAlign w:val="center"/>
          </w:tcPr>
          <w:p w14:paraId="1F0C630D" w14:textId="77777777" w:rsidR="003F7BB8" w:rsidRPr="004239E6" w:rsidRDefault="003F7BB8" w:rsidP="003F7BB8">
            <w:pPr>
              <w:spacing w:after="0" w:line="240" w:lineRule="auto"/>
              <w:jc w:val="center"/>
              <w:rPr>
                <w:bCs/>
                <w:sz w:val="20"/>
              </w:rPr>
            </w:pPr>
            <w:r w:rsidRPr="004239E6">
              <w:rPr>
                <w:sz w:val="20"/>
              </w:rPr>
              <w:t>1.6</w:t>
            </w:r>
          </w:p>
        </w:tc>
        <w:tc>
          <w:tcPr>
            <w:tcW w:w="2430" w:type="dxa"/>
            <w:vAlign w:val="center"/>
          </w:tcPr>
          <w:p w14:paraId="3940A7B0" w14:textId="77777777" w:rsidR="003F7BB8" w:rsidRPr="004239E6" w:rsidRDefault="003F7BB8" w:rsidP="003F7BB8">
            <w:pPr>
              <w:spacing w:after="0" w:line="240" w:lineRule="auto"/>
              <w:jc w:val="center"/>
              <w:rPr>
                <w:sz w:val="20"/>
              </w:rPr>
            </w:pPr>
            <w:r w:rsidRPr="004239E6">
              <w:rPr>
                <w:bCs/>
                <w:sz w:val="20"/>
              </w:rPr>
              <w:t>0.5 (0.3, 0.6)</w:t>
            </w:r>
          </w:p>
        </w:tc>
      </w:tr>
      <w:tr w:rsidR="003F7BB8" w:rsidRPr="005D54F4" w14:paraId="081477FD" w14:textId="77777777" w:rsidTr="003F7BB8">
        <w:trPr>
          <w:trHeight w:val="144"/>
        </w:trPr>
        <w:tc>
          <w:tcPr>
            <w:tcW w:w="0" w:type="auto"/>
            <w:shd w:val="clear" w:color="auto" w:fill="auto"/>
            <w:noWrap/>
            <w:tcMar>
              <w:left w:w="288" w:type="dxa"/>
              <w:right w:w="115" w:type="dxa"/>
            </w:tcMar>
            <w:vAlign w:val="center"/>
          </w:tcPr>
          <w:p w14:paraId="142D899D" w14:textId="77777777" w:rsidR="003F7BB8" w:rsidRPr="004239E6" w:rsidRDefault="003F7BB8" w:rsidP="003F7BB8">
            <w:pPr>
              <w:spacing w:after="0" w:line="240" w:lineRule="auto"/>
              <w:rPr>
                <w:bCs/>
                <w:sz w:val="20"/>
              </w:rPr>
            </w:pPr>
            <w:r w:rsidRPr="004239E6">
              <w:rPr>
                <w:bCs/>
                <w:sz w:val="20"/>
              </w:rPr>
              <w:t>Sulfonlyurea</w:t>
            </w:r>
          </w:p>
        </w:tc>
        <w:tc>
          <w:tcPr>
            <w:tcW w:w="1392" w:type="dxa"/>
            <w:shd w:val="clear" w:color="auto" w:fill="auto"/>
            <w:noWrap/>
            <w:vAlign w:val="center"/>
          </w:tcPr>
          <w:p w14:paraId="320501FC" w14:textId="77777777" w:rsidR="003F7BB8" w:rsidRPr="004239E6" w:rsidRDefault="003F7BB8" w:rsidP="003F7BB8">
            <w:pPr>
              <w:spacing w:after="0" w:line="240" w:lineRule="auto"/>
              <w:jc w:val="center"/>
              <w:rPr>
                <w:bCs/>
                <w:sz w:val="20"/>
              </w:rPr>
            </w:pPr>
            <w:r w:rsidRPr="004239E6">
              <w:rPr>
                <w:bCs/>
                <w:sz w:val="20"/>
              </w:rPr>
              <w:t>2.2</w:t>
            </w:r>
          </w:p>
        </w:tc>
        <w:tc>
          <w:tcPr>
            <w:tcW w:w="1200" w:type="dxa"/>
            <w:vAlign w:val="center"/>
          </w:tcPr>
          <w:p w14:paraId="0529FD80" w14:textId="77777777" w:rsidR="003F7BB8" w:rsidRPr="004239E6" w:rsidRDefault="003F7BB8" w:rsidP="003F7BB8">
            <w:pPr>
              <w:spacing w:after="0" w:line="240" w:lineRule="auto"/>
              <w:jc w:val="center"/>
              <w:rPr>
                <w:bCs/>
                <w:sz w:val="20"/>
              </w:rPr>
            </w:pPr>
            <w:r w:rsidRPr="004239E6">
              <w:rPr>
                <w:sz w:val="20"/>
              </w:rPr>
              <w:t>2.3</w:t>
            </w:r>
          </w:p>
        </w:tc>
        <w:tc>
          <w:tcPr>
            <w:tcW w:w="1412" w:type="dxa"/>
            <w:vAlign w:val="center"/>
          </w:tcPr>
          <w:p w14:paraId="36EEC445" w14:textId="77777777" w:rsidR="003F7BB8" w:rsidRPr="004239E6" w:rsidRDefault="003F7BB8" w:rsidP="003F7BB8">
            <w:pPr>
              <w:spacing w:after="0" w:line="240" w:lineRule="auto"/>
              <w:jc w:val="center"/>
              <w:rPr>
                <w:bCs/>
                <w:sz w:val="20"/>
              </w:rPr>
            </w:pPr>
            <w:r w:rsidRPr="004239E6">
              <w:rPr>
                <w:sz w:val="20"/>
              </w:rPr>
              <w:t>2.0</w:t>
            </w:r>
          </w:p>
        </w:tc>
        <w:tc>
          <w:tcPr>
            <w:tcW w:w="2430" w:type="dxa"/>
            <w:vAlign w:val="center"/>
          </w:tcPr>
          <w:p w14:paraId="00EC6612" w14:textId="77777777" w:rsidR="003F7BB8" w:rsidRPr="004239E6" w:rsidRDefault="003F7BB8" w:rsidP="003F7BB8">
            <w:pPr>
              <w:spacing w:after="0" w:line="240" w:lineRule="auto"/>
              <w:jc w:val="center"/>
              <w:rPr>
                <w:sz w:val="20"/>
              </w:rPr>
            </w:pPr>
            <w:r>
              <w:rPr>
                <w:sz w:val="20"/>
              </w:rPr>
              <w:t>0.3 (0.1,</w:t>
            </w:r>
            <w:r w:rsidRPr="004239E6">
              <w:rPr>
                <w:sz w:val="20"/>
              </w:rPr>
              <w:t xml:space="preserve"> 0.5)</w:t>
            </w:r>
          </w:p>
        </w:tc>
      </w:tr>
      <w:tr w:rsidR="003F7BB8" w:rsidRPr="005D54F4" w14:paraId="360F7CA7" w14:textId="77777777" w:rsidTr="003F7BB8">
        <w:trPr>
          <w:trHeight w:val="144"/>
        </w:trPr>
        <w:tc>
          <w:tcPr>
            <w:tcW w:w="0" w:type="auto"/>
            <w:shd w:val="clear" w:color="auto" w:fill="auto"/>
            <w:noWrap/>
            <w:vAlign w:val="center"/>
          </w:tcPr>
          <w:p w14:paraId="144BE846" w14:textId="77777777" w:rsidR="003F7BB8" w:rsidRPr="004239E6" w:rsidRDefault="003F7BB8" w:rsidP="003F7BB8">
            <w:pPr>
              <w:spacing w:after="0" w:line="240" w:lineRule="auto"/>
              <w:rPr>
                <w:bCs/>
                <w:sz w:val="20"/>
              </w:rPr>
            </w:pPr>
            <w:r w:rsidRPr="004239E6">
              <w:rPr>
                <w:bCs/>
                <w:sz w:val="20"/>
              </w:rPr>
              <w:t xml:space="preserve">Anti-dementia </w:t>
            </w:r>
          </w:p>
        </w:tc>
        <w:tc>
          <w:tcPr>
            <w:tcW w:w="1392" w:type="dxa"/>
            <w:shd w:val="clear" w:color="auto" w:fill="auto"/>
            <w:noWrap/>
            <w:vAlign w:val="center"/>
          </w:tcPr>
          <w:p w14:paraId="3F1A8FB9" w14:textId="77777777" w:rsidR="003F7BB8" w:rsidRPr="004239E6" w:rsidRDefault="003F7BB8" w:rsidP="003F7BB8">
            <w:pPr>
              <w:spacing w:after="0" w:line="240" w:lineRule="auto"/>
              <w:jc w:val="center"/>
              <w:rPr>
                <w:rFonts w:ascii="Times New Roman" w:hAnsi="Times New Roman"/>
                <w:sz w:val="20"/>
              </w:rPr>
            </w:pPr>
            <w:r w:rsidRPr="004239E6">
              <w:rPr>
                <w:bCs/>
                <w:sz w:val="20"/>
              </w:rPr>
              <w:t>4.3</w:t>
            </w:r>
          </w:p>
        </w:tc>
        <w:tc>
          <w:tcPr>
            <w:tcW w:w="1200" w:type="dxa"/>
            <w:vAlign w:val="center"/>
          </w:tcPr>
          <w:p w14:paraId="79087692" w14:textId="77777777" w:rsidR="003F7BB8" w:rsidRPr="004239E6" w:rsidRDefault="003F7BB8" w:rsidP="003F7BB8">
            <w:pPr>
              <w:spacing w:after="0" w:line="240" w:lineRule="auto"/>
              <w:jc w:val="center"/>
              <w:rPr>
                <w:bCs/>
                <w:sz w:val="20"/>
              </w:rPr>
            </w:pPr>
            <w:r w:rsidRPr="004239E6">
              <w:rPr>
                <w:sz w:val="20"/>
              </w:rPr>
              <w:t>2.6</w:t>
            </w:r>
          </w:p>
        </w:tc>
        <w:tc>
          <w:tcPr>
            <w:tcW w:w="1412" w:type="dxa"/>
            <w:vAlign w:val="center"/>
          </w:tcPr>
          <w:p w14:paraId="54B9B6C6" w14:textId="77777777" w:rsidR="003F7BB8" w:rsidRPr="004239E6" w:rsidRDefault="003F7BB8" w:rsidP="003F7BB8">
            <w:pPr>
              <w:spacing w:after="0" w:line="240" w:lineRule="auto"/>
              <w:jc w:val="center"/>
              <w:rPr>
                <w:bCs/>
                <w:sz w:val="20"/>
              </w:rPr>
            </w:pPr>
            <w:r w:rsidRPr="004239E6">
              <w:rPr>
                <w:bCs/>
                <w:sz w:val="20"/>
              </w:rPr>
              <w:t>7.4</w:t>
            </w:r>
          </w:p>
        </w:tc>
        <w:tc>
          <w:tcPr>
            <w:tcW w:w="2430" w:type="dxa"/>
            <w:vAlign w:val="center"/>
          </w:tcPr>
          <w:p w14:paraId="73A5ADF5" w14:textId="77777777" w:rsidR="003F7BB8" w:rsidRPr="004239E6" w:rsidRDefault="003F7BB8" w:rsidP="003F7BB8">
            <w:pPr>
              <w:spacing w:after="0" w:line="240" w:lineRule="auto"/>
              <w:jc w:val="center"/>
              <w:rPr>
                <w:bCs/>
                <w:sz w:val="20"/>
              </w:rPr>
            </w:pPr>
            <w:r w:rsidRPr="004239E6">
              <w:rPr>
                <w:bCs/>
                <w:sz w:val="20"/>
              </w:rPr>
              <w:t>-4.9 (-5.2, -4.5)</w:t>
            </w:r>
          </w:p>
        </w:tc>
      </w:tr>
      <w:tr w:rsidR="003F7BB8" w:rsidRPr="005D54F4" w14:paraId="42F734D0" w14:textId="77777777" w:rsidTr="003F7BB8">
        <w:trPr>
          <w:trHeight w:val="144"/>
        </w:trPr>
        <w:tc>
          <w:tcPr>
            <w:tcW w:w="0" w:type="auto"/>
            <w:shd w:val="clear" w:color="auto" w:fill="auto"/>
            <w:noWrap/>
            <w:vAlign w:val="center"/>
            <w:hideMark/>
          </w:tcPr>
          <w:p w14:paraId="0B2DD4D5" w14:textId="77777777" w:rsidR="003F7BB8" w:rsidRPr="004239E6" w:rsidRDefault="003F7BB8" w:rsidP="003F7BB8">
            <w:pPr>
              <w:spacing w:after="0" w:line="240" w:lineRule="auto"/>
              <w:rPr>
                <w:bCs/>
                <w:sz w:val="20"/>
              </w:rPr>
            </w:pPr>
            <w:r w:rsidRPr="004239E6">
              <w:rPr>
                <w:bCs/>
                <w:sz w:val="20"/>
              </w:rPr>
              <w:t>Anti-osteoporotic</w:t>
            </w:r>
          </w:p>
        </w:tc>
        <w:tc>
          <w:tcPr>
            <w:tcW w:w="1392" w:type="dxa"/>
            <w:shd w:val="clear" w:color="auto" w:fill="auto"/>
            <w:noWrap/>
            <w:vAlign w:val="center"/>
            <w:hideMark/>
          </w:tcPr>
          <w:p w14:paraId="784AB1C3" w14:textId="77777777" w:rsidR="003F7BB8" w:rsidRPr="004239E6" w:rsidRDefault="003F7BB8" w:rsidP="003F7BB8">
            <w:pPr>
              <w:spacing w:after="0" w:line="240" w:lineRule="auto"/>
              <w:jc w:val="center"/>
              <w:rPr>
                <w:rFonts w:ascii="Times New Roman" w:hAnsi="Times New Roman"/>
                <w:sz w:val="20"/>
              </w:rPr>
            </w:pPr>
            <w:r w:rsidRPr="004239E6">
              <w:rPr>
                <w:bCs/>
                <w:sz w:val="20"/>
              </w:rPr>
              <w:t>1.0</w:t>
            </w:r>
          </w:p>
        </w:tc>
        <w:tc>
          <w:tcPr>
            <w:tcW w:w="1200" w:type="dxa"/>
            <w:vAlign w:val="center"/>
          </w:tcPr>
          <w:p w14:paraId="6492837E" w14:textId="77777777" w:rsidR="003F7BB8" w:rsidRPr="004239E6" w:rsidRDefault="003F7BB8" w:rsidP="003F7BB8">
            <w:pPr>
              <w:spacing w:after="0" w:line="240" w:lineRule="auto"/>
              <w:jc w:val="center"/>
              <w:rPr>
                <w:bCs/>
                <w:sz w:val="20"/>
              </w:rPr>
            </w:pPr>
            <w:r w:rsidRPr="004239E6">
              <w:rPr>
                <w:sz w:val="20"/>
              </w:rPr>
              <w:t>0.9</w:t>
            </w:r>
          </w:p>
        </w:tc>
        <w:tc>
          <w:tcPr>
            <w:tcW w:w="1412" w:type="dxa"/>
            <w:vAlign w:val="center"/>
          </w:tcPr>
          <w:p w14:paraId="63CB6A23" w14:textId="77777777" w:rsidR="003F7BB8" w:rsidRPr="004239E6" w:rsidRDefault="003F7BB8" w:rsidP="003F7BB8">
            <w:pPr>
              <w:spacing w:after="0" w:line="240" w:lineRule="auto"/>
              <w:jc w:val="center"/>
              <w:rPr>
                <w:bCs/>
                <w:sz w:val="20"/>
              </w:rPr>
            </w:pPr>
            <w:r w:rsidRPr="004239E6">
              <w:rPr>
                <w:bCs/>
                <w:sz w:val="20"/>
              </w:rPr>
              <w:t>1.3</w:t>
            </w:r>
          </w:p>
        </w:tc>
        <w:tc>
          <w:tcPr>
            <w:tcW w:w="2430" w:type="dxa"/>
            <w:vAlign w:val="center"/>
          </w:tcPr>
          <w:p w14:paraId="0DB3BA1A" w14:textId="77777777" w:rsidR="003F7BB8" w:rsidRPr="004239E6" w:rsidRDefault="003F7BB8" w:rsidP="003F7BB8">
            <w:pPr>
              <w:spacing w:after="0" w:line="240" w:lineRule="auto"/>
              <w:jc w:val="center"/>
              <w:rPr>
                <w:bCs/>
                <w:sz w:val="20"/>
              </w:rPr>
            </w:pPr>
            <w:r w:rsidRPr="004239E6">
              <w:rPr>
                <w:bCs/>
                <w:sz w:val="20"/>
              </w:rPr>
              <w:t>-0.4 (-0.6, -0.3)</w:t>
            </w:r>
          </w:p>
        </w:tc>
      </w:tr>
      <w:tr w:rsidR="003F7BB8" w:rsidRPr="005D54F4" w14:paraId="5C250DAE" w14:textId="77777777" w:rsidTr="003F7BB8">
        <w:trPr>
          <w:trHeight w:val="144"/>
        </w:trPr>
        <w:tc>
          <w:tcPr>
            <w:tcW w:w="0" w:type="auto"/>
            <w:shd w:val="clear" w:color="auto" w:fill="auto"/>
            <w:noWrap/>
            <w:vAlign w:val="center"/>
          </w:tcPr>
          <w:p w14:paraId="20B1E056" w14:textId="77777777" w:rsidR="003F7BB8" w:rsidRPr="004239E6" w:rsidRDefault="003F7BB8" w:rsidP="003F7BB8">
            <w:pPr>
              <w:spacing w:after="0" w:line="240" w:lineRule="auto"/>
              <w:rPr>
                <w:bCs/>
                <w:sz w:val="20"/>
              </w:rPr>
            </w:pPr>
            <w:r w:rsidRPr="004239E6">
              <w:rPr>
                <w:bCs/>
                <w:sz w:val="20"/>
              </w:rPr>
              <w:t>Antiplatelet</w:t>
            </w:r>
          </w:p>
        </w:tc>
        <w:tc>
          <w:tcPr>
            <w:tcW w:w="1392" w:type="dxa"/>
            <w:shd w:val="clear" w:color="auto" w:fill="auto"/>
            <w:noWrap/>
            <w:vAlign w:val="center"/>
          </w:tcPr>
          <w:p w14:paraId="62F815BD" w14:textId="77777777" w:rsidR="003F7BB8" w:rsidRPr="004239E6" w:rsidRDefault="003F7BB8" w:rsidP="003F7BB8">
            <w:pPr>
              <w:spacing w:after="0" w:line="240" w:lineRule="auto"/>
              <w:jc w:val="center"/>
              <w:rPr>
                <w:bCs/>
                <w:sz w:val="20"/>
              </w:rPr>
            </w:pPr>
            <w:r w:rsidRPr="004239E6">
              <w:rPr>
                <w:bCs/>
                <w:sz w:val="20"/>
              </w:rPr>
              <w:t>2.6</w:t>
            </w:r>
          </w:p>
        </w:tc>
        <w:tc>
          <w:tcPr>
            <w:tcW w:w="1200" w:type="dxa"/>
            <w:vAlign w:val="center"/>
          </w:tcPr>
          <w:p w14:paraId="6266CCF9" w14:textId="77777777" w:rsidR="003F7BB8" w:rsidRPr="004239E6" w:rsidRDefault="003F7BB8" w:rsidP="003F7BB8">
            <w:pPr>
              <w:spacing w:after="0" w:line="240" w:lineRule="auto"/>
              <w:jc w:val="center"/>
              <w:rPr>
                <w:bCs/>
                <w:sz w:val="20"/>
              </w:rPr>
            </w:pPr>
            <w:r w:rsidRPr="004239E6">
              <w:rPr>
                <w:bCs/>
                <w:sz w:val="20"/>
              </w:rPr>
              <w:t>2.2</w:t>
            </w:r>
          </w:p>
        </w:tc>
        <w:tc>
          <w:tcPr>
            <w:tcW w:w="1412" w:type="dxa"/>
            <w:vAlign w:val="center"/>
          </w:tcPr>
          <w:p w14:paraId="1CD25A14" w14:textId="77777777" w:rsidR="003F7BB8" w:rsidRPr="004239E6" w:rsidRDefault="003F7BB8" w:rsidP="003F7BB8">
            <w:pPr>
              <w:spacing w:after="0" w:line="240" w:lineRule="auto"/>
              <w:jc w:val="center"/>
              <w:rPr>
                <w:bCs/>
                <w:sz w:val="20"/>
              </w:rPr>
            </w:pPr>
            <w:r w:rsidRPr="004239E6">
              <w:rPr>
                <w:bCs/>
                <w:sz w:val="20"/>
              </w:rPr>
              <w:t>3.5</w:t>
            </w:r>
          </w:p>
        </w:tc>
        <w:tc>
          <w:tcPr>
            <w:tcW w:w="2430" w:type="dxa"/>
            <w:vAlign w:val="center"/>
          </w:tcPr>
          <w:p w14:paraId="4CD68124" w14:textId="77777777" w:rsidR="003F7BB8" w:rsidRPr="004239E6" w:rsidRDefault="003F7BB8" w:rsidP="003F7BB8">
            <w:pPr>
              <w:spacing w:after="0" w:line="240" w:lineRule="auto"/>
              <w:jc w:val="center"/>
              <w:rPr>
                <w:bCs/>
                <w:sz w:val="20"/>
              </w:rPr>
            </w:pPr>
            <w:r w:rsidRPr="004239E6">
              <w:rPr>
                <w:bCs/>
                <w:sz w:val="20"/>
              </w:rPr>
              <w:t>-1.3 (-1.5, -1.0)</w:t>
            </w:r>
          </w:p>
        </w:tc>
      </w:tr>
      <w:tr w:rsidR="003F7BB8" w:rsidRPr="005D54F4" w14:paraId="3DD214D9" w14:textId="77777777" w:rsidTr="003F7BB8">
        <w:trPr>
          <w:trHeight w:val="144"/>
        </w:trPr>
        <w:tc>
          <w:tcPr>
            <w:tcW w:w="0" w:type="auto"/>
            <w:shd w:val="clear" w:color="auto" w:fill="auto"/>
            <w:noWrap/>
            <w:vAlign w:val="center"/>
            <w:hideMark/>
          </w:tcPr>
          <w:p w14:paraId="148AB09E" w14:textId="77777777" w:rsidR="003F7BB8" w:rsidRPr="004239E6" w:rsidRDefault="003F7BB8" w:rsidP="003F7BB8">
            <w:pPr>
              <w:spacing w:after="0" w:line="240" w:lineRule="auto"/>
              <w:rPr>
                <w:bCs/>
                <w:sz w:val="20"/>
              </w:rPr>
            </w:pPr>
            <w:r w:rsidRPr="004239E6">
              <w:rPr>
                <w:bCs/>
                <w:sz w:val="20"/>
              </w:rPr>
              <w:t>Opioid analgesic</w:t>
            </w:r>
          </w:p>
        </w:tc>
        <w:tc>
          <w:tcPr>
            <w:tcW w:w="1392" w:type="dxa"/>
            <w:shd w:val="clear" w:color="auto" w:fill="auto"/>
            <w:noWrap/>
            <w:vAlign w:val="center"/>
            <w:hideMark/>
          </w:tcPr>
          <w:p w14:paraId="27A66029" w14:textId="77777777" w:rsidR="003F7BB8" w:rsidRPr="004239E6" w:rsidRDefault="003F7BB8" w:rsidP="003F7BB8">
            <w:pPr>
              <w:spacing w:after="0" w:line="240" w:lineRule="auto"/>
              <w:jc w:val="center"/>
              <w:rPr>
                <w:rFonts w:ascii="Times New Roman" w:hAnsi="Times New Roman"/>
                <w:sz w:val="20"/>
              </w:rPr>
            </w:pPr>
            <w:r w:rsidRPr="004239E6">
              <w:rPr>
                <w:sz w:val="20"/>
              </w:rPr>
              <w:t>16.4</w:t>
            </w:r>
          </w:p>
        </w:tc>
        <w:tc>
          <w:tcPr>
            <w:tcW w:w="1200" w:type="dxa"/>
            <w:vAlign w:val="center"/>
          </w:tcPr>
          <w:p w14:paraId="34C3D8AA" w14:textId="77777777" w:rsidR="003F7BB8" w:rsidRPr="004239E6" w:rsidRDefault="003F7BB8" w:rsidP="003F7BB8">
            <w:pPr>
              <w:spacing w:after="0" w:line="240" w:lineRule="auto"/>
              <w:jc w:val="center"/>
              <w:rPr>
                <w:sz w:val="20"/>
              </w:rPr>
            </w:pPr>
            <w:r w:rsidRPr="004239E6">
              <w:rPr>
                <w:sz w:val="20"/>
              </w:rPr>
              <w:t>16.6</w:t>
            </w:r>
          </w:p>
        </w:tc>
        <w:tc>
          <w:tcPr>
            <w:tcW w:w="1412" w:type="dxa"/>
            <w:vAlign w:val="center"/>
          </w:tcPr>
          <w:p w14:paraId="585BCE71" w14:textId="77777777" w:rsidR="003F7BB8" w:rsidRPr="004239E6" w:rsidRDefault="003F7BB8" w:rsidP="003F7BB8">
            <w:pPr>
              <w:spacing w:after="0" w:line="240" w:lineRule="auto"/>
              <w:jc w:val="center"/>
              <w:rPr>
                <w:sz w:val="20"/>
              </w:rPr>
            </w:pPr>
            <w:r w:rsidRPr="004239E6">
              <w:rPr>
                <w:sz w:val="20"/>
              </w:rPr>
              <w:t>16.1</w:t>
            </w:r>
          </w:p>
        </w:tc>
        <w:tc>
          <w:tcPr>
            <w:tcW w:w="2430" w:type="dxa"/>
            <w:vAlign w:val="center"/>
          </w:tcPr>
          <w:p w14:paraId="550BB957" w14:textId="77777777" w:rsidR="003F7BB8" w:rsidRPr="004239E6" w:rsidRDefault="003F7BB8" w:rsidP="003F7BB8">
            <w:pPr>
              <w:spacing w:after="0" w:line="240" w:lineRule="auto"/>
              <w:jc w:val="center"/>
              <w:rPr>
                <w:sz w:val="20"/>
              </w:rPr>
            </w:pPr>
            <w:r w:rsidRPr="004239E6">
              <w:rPr>
                <w:sz w:val="20"/>
              </w:rPr>
              <w:t>0.5 (-0.04, 1.0)</w:t>
            </w:r>
          </w:p>
        </w:tc>
      </w:tr>
      <w:tr w:rsidR="003F7BB8" w:rsidRPr="005D54F4" w14:paraId="608A03F6" w14:textId="77777777" w:rsidTr="003F7BB8">
        <w:trPr>
          <w:trHeight w:val="144"/>
        </w:trPr>
        <w:tc>
          <w:tcPr>
            <w:tcW w:w="0" w:type="auto"/>
            <w:shd w:val="clear" w:color="auto" w:fill="auto"/>
            <w:noWrap/>
            <w:vAlign w:val="center"/>
            <w:hideMark/>
          </w:tcPr>
          <w:p w14:paraId="3F76A54B" w14:textId="77777777" w:rsidR="003F7BB8" w:rsidRPr="004239E6" w:rsidRDefault="003F7BB8" w:rsidP="003F7BB8">
            <w:pPr>
              <w:spacing w:after="0" w:line="240" w:lineRule="auto"/>
              <w:rPr>
                <w:bCs/>
                <w:sz w:val="20"/>
              </w:rPr>
            </w:pPr>
            <w:r w:rsidRPr="004239E6">
              <w:rPr>
                <w:bCs/>
                <w:sz w:val="20"/>
              </w:rPr>
              <w:t>Proton pump inhibitor</w:t>
            </w:r>
          </w:p>
        </w:tc>
        <w:tc>
          <w:tcPr>
            <w:tcW w:w="1392" w:type="dxa"/>
            <w:shd w:val="clear" w:color="auto" w:fill="auto"/>
            <w:noWrap/>
            <w:vAlign w:val="center"/>
            <w:hideMark/>
          </w:tcPr>
          <w:p w14:paraId="45B00DA1" w14:textId="77777777" w:rsidR="003F7BB8" w:rsidRPr="004239E6" w:rsidRDefault="003F7BB8" w:rsidP="003F7BB8">
            <w:pPr>
              <w:spacing w:after="0" w:line="240" w:lineRule="auto"/>
              <w:jc w:val="center"/>
              <w:rPr>
                <w:sz w:val="20"/>
              </w:rPr>
            </w:pPr>
            <w:r w:rsidRPr="004239E6">
              <w:rPr>
                <w:sz w:val="20"/>
              </w:rPr>
              <w:t>10.9</w:t>
            </w:r>
          </w:p>
        </w:tc>
        <w:tc>
          <w:tcPr>
            <w:tcW w:w="1200" w:type="dxa"/>
            <w:vAlign w:val="center"/>
          </w:tcPr>
          <w:p w14:paraId="0E07BC19" w14:textId="77777777" w:rsidR="003F7BB8" w:rsidRPr="004239E6" w:rsidRDefault="003F7BB8" w:rsidP="003F7BB8">
            <w:pPr>
              <w:spacing w:after="0" w:line="240" w:lineRule="auto"/>
              <w:jc w:val="center"/>
              <w:rPr>
                <w:sz w:val="20"/>
              </w:rPr>
            </w:pPr>
            <w:r w:rsidRPr="004239E6">
              <w:rPr>
                <w:sz w:val="20"/>
              </w:rPr>
              <w:t>10.8</w:t>
            </w:r>
          </w:p>
        </w:tc>
        <w:tc>
          <w:tcPr>
            <w:tcW w:w="1412" w:type="dxa"/>
            <w:vAlign w:val="center"/>
          </w:tcPr>
          <w:p w14:paraId="59C7C00E" w14:textId="77777777" w:rsidR="003F7BB8" w:rsidRPr="004239E6" w:rsidRDefault="003F7BB8" w:rsidP="003F7BB8">
            <w:pPr>
              <w:spacing w:after="0" w:line="240" w:lineRule="auto"/>
              <w:jc w:val="center"/>
              <w:rPr>
                <w:sz w:val="20"/>
              </w:rPr>
            </w:pPr>
            <w:r w:rsidRPr="004239E6">
              <w:rPr>
                <w:sz w:val="20"/>
              </w:rPr>
              <w:t>11.2</w:t>
            </w:r>
          </w:p>
        </w:tc>
        <w:tc>
          <w:tcPr>
            <w:tcW w:w="2430" w:type="dxa"/>
            <w:vAlign w:val="center"/>
          </w:tcPr>
          <w:p w14:paraId="5F1FC308" w14:textId="77777777" w:rsidR="003F7BB8" w:rsidRPr="004239E6" w:rsidRDefault="003F7BB8" w:rsidP="003F7BB8">
            <w:pPr>
              <w:spacing w:after="0" w:line="240" w:lineRule="auto"/>
              <w:jc w:val="center"/>
              <w:rPr>
                <w:sz w:val="20"/>
              </w:rPr>
            </w:pPr>
            <w:r w:rsidRPr="004239E6">
              <w:rPr>
                <w:sz w:val="20"/>
              </w:rPr>
              <w:t>-0.5 (-0.9, -0.02)</w:t>
            </w:r>
          </w:p>
        </w:tc>
      </w:tr>
      <w:tr w:rsidR="003F7BB8" w:rsidRPr="005D54F4" w14:paraId="656B3850" w14:textId="77777777" w:rsidTr="003F7BB8">
        <w:trPr>
          <w:trHeight w:val="144"/>
        </w:trPr>
        <w:tc>
          <w:tcPr>
            <w:tcW w:w="0" w:type="auto"/>
            <w:shd w:val="clear" w:color="auto" w:fill="FFFFFF" w:themeFill="background1"/>
            <w:noWrap/>
            <w:vAlign w:val="center"/>
            <w:hideMark/>
          </w:tcPr>
          <w:p w14:paraId="29C6F073" w14:textId="77777777" w:rsidR="003F7BB8" w:rsidRPr="004239E6" w:rsidRDefault="003F7BB8" w:rsidP="003F7BB8">
            <w:pPr>
              <w:spacing w:after="0" w:line="240" w:lineRule="auto"/>
              <w:rPr>
                <w:bCs/>
                <w:sz w:val="20"/>
              </w:rPr>
            </w:pPr>
            <w:r w:rsidRPr="004239E6">
              <w:rPr>
                <w:bCs/>
                <w:sz w:val="20"/>
              </w:rPr>
              <w:t>Any Part D Medication</w:t>
            </w:r>
          </w:p>
        </w:tc>
        <w:tc>
          <w:tcPr>
            <w:tcW w:w="1392" w:type="dxa"/>
            <w:shd w:val="clear" w:color="auto" w:fill="FFFFFF" w:themeFill="background1"/>
            <w:noWrap/>
            <w:vAlign w:val="center"/>
            <w:hideMark/>
          </w:tcPr>
          <w:p w14:paraId="50033DD3" w14:textId="77777777" w:rsidR="003F7BB8" w:rsidRPr="004239E6" w:rsidRDefault="003F7BB8" w:rsidP="003F7BB8">
            <w:pPr>
              <w:spacing w:after="0" w:line="240" w:lineRule="auto"/>
              <w:jc w:val="center"/>
              <w:rPr>
                <w:bCs/>
                <w:sz w:val="20"/>
              </w:rPr>
            </w:pPr>
            <w:r w:rsidRPr="004239E6">
              <w:rPr>
                <w:bCs/>
                <w:sz w:val="20"/>
              </w:rPr>
              <w:t>53.3</w:t>
            </w:r>
          </w:p>
        </w:tc>
        <w:tc>
          <w:tcPr>
            <w:tcW w:w="1200" w:type="dxa"/>
            <w:shd w:val="clear" w:color="auto" w:fill="FFFFFF" w:themeFill="background1"/>
            <w:vAlign w:val="center"/>
          </w:tcPr>
          <w:p w14:paraId="27679D86" w14:textId="77777777" w:rsidR="003F7BB8" w:rsidRPr="004239E6" w:rsidRDefault="003F7BB8" w:rsidP="003F7BB8">
            <w:pPr>
              <w:spacing w:after="0" w:line="240" w:lineRule="auto"/>
              <w:jc w:val="center"/>
              <w:rPr>
                <w:bCs/>
                <w:sz w:val="20"/>
              </w:rPr>
            </w:pPr>
            <w:r w:rsidRPr="004239E6">
              <w:rPr>
                <w:bCs/>
                <w:sz w:val="20"/>
              </w:rPr>
              <w:t>53.5</w:t>
            </w:r>
          </w:p>
        </w:tc>
        <w:tc>
          <w:tcPr>
            <w:tcW w:w="1412" w:type="dxa"/>
            <w:shd w:val="clear" w:color="auto" w:fill="FFFFFF" w:themeFill="background1"/>
            <w:vAlign w:val="center"/>
          </w:tcPr>
          <w:p w14:paraId="4D12D74D" w14:textId="77777777" w:rsidR="003F7BB8" w:rsidRPr="004239E6" w:rsidRDefault="003F7BB8" w:rsidP="003F7BB8">
            <w:pPr>
              <w:spacing w:after="0" w:line="240" w:lineRule="auto"/>
              <w:jc w:val="center"/>
              <w:rPr>
                <w:bCs/>
                <w:sz w:val="20"/>
              </w:rPr>
            </w:pPr>
            <w:r w:rsidRPr="004239E6">
              <w:rPr>
                <w:bCs/>
                <w:sz w:val="20"/>
              </w:rPr>
              <w:t>52.9</w:t>
            </w:r>
          </w:p>
        </w:tc>
        <w:tc>
          <w:tcPr>
            <w:tcW w:w="2430" w:type="dxa"/>
            <w:shd w:val="clear" w:color="auto" w:fill="FFFFFF" w:themeFill="background1"/>
            <w:vAlign w:val="center"/>
          </w:tcPr>
          <w:p w14:paraId="66DA7299" w14:textId="77777777" w:rsidR="003F7BB8" w:rsidRPr="004239E6" w:rsidRDefault="003F7BB8" w:rsidP="003F7BB8">
            <w:pPr>
              <w:spacing w:after="0" w:line="240" w:lineRule="auto"/>
              <w:jc w:val="center"/>
              <w:rPr>
                <w:bCs/>
                <w:sz w:val="20"/>
              </w:rPr>
            </w:pPr>
            <w:r w:rsidRPr="004239E6">
              <w:rPr>
                <w:bCs/>
                <w:sz w:val="20"/>
              </w:rPr>
              <w:t>0.7 (-0.03, 1.3)</w:t>
            </w:r>
          </w:p>
        </w:tc>
      </w:tr>
    </w:tbl>
    <w:p w14:paraId="254BAE69" w14:textId="77777777" w:rsidR="003F7BB8" w:rsidRDefault="003F7BB8" w:rsidP="003F7BB8">
      <w:pPr>
        <w:spacing w:after="0" w:line="240" w:lineRule="auto"/>
        <w:rPr>
          <w:sz w:val="20"/>
        </w:rPr>
      </w:pPr>
      <w:r w:rsidRPr="003F7BB8">
        <w:rPr>
          <w:sz w:val="20"/>
        </w:rPr>
        <w:t>ACE: angiotensin-converting enzyme; ARB: angiotensin receptor blocker; CI: confidence interval; DHP: dihydropyridine</w:t>
      </w:r>
    </w:p>
    <w:p w14:paraId="17A9635A" w14:textId="77777777" w:rsidR="003F7BB8" w:rsidRPr="003F7BB8" w:rsidRDefault="003F7BB8" w:rsidP="003F7BB8">
      <w:pPr>
        <w:spacing w:after="0" w:line="240" w:lineRule="auto"/>
        <w:rPr>
          <w:bCs/>
          <w:color w:val="222222"/>
          <w:sz w:val="20"/>
          <w:shd w:val="clear" w:color="auto" w:fill="FFFFFF"/>
        </w:rPr>
      </w:pPr>
    </w:p>
    <w:p w14:paraId="636EC58A" w14:textId="732A5AAE" w:rsidR="003F7BB8" w:rsidRPr="00C35635" w:rsidRDefault="003F7BB8" w:rsidP="003F7BB8">
      <w:pPr>
        <w:spacing w:after="0" w:line="240" w:lineRule="auto"/>
        <w:rPr>
          <w:sz w:val="20"/>
        </w:rPr>
        <w:sectPr w:rsidR="003F7BB8" w:rsidRPr="00C35635" w:rsidSect="008A72DA">
          <w:pgSz w:w="12240" w:h="15840"/>
          <w:pgMar w:top="1440" w:right="1440" w:bottom="1440" w:left="1440" w:header="720" w:footer="720" w:gutter="0"/>
          <w:cols w:space="720"/>
          <w:docGrid w:linePitch="360"/>
        </w:sectPr>
      </w:pPr>
      <w:r w:rsidRPr="003F7BB8">
        <w:rPr>
          <w:sz w:val="20"/>
          <w:vertAlign w:val="superscript"/>
        </w:rPr>
        <w:t>a</w:t>
      </w:r>
      <w:r w:rsidRPr="003F7BB8">
        <w:rPr>
          <w:sz w:val="20"/>
        </w:rPr>
        <w:t xml:space="preserve">Only selected drug classes shown within therapeutic classes; results by therapeutic class include all associated drug classes shown in </w:t>
      </w:r>
      <w:r>
        <w:rPr>
          <w:b/>
          <w:sz w:val="20"/>
        </w:rPr>
        <w:t xml:space="preserve">TABLE </w:t>
      </w:r>
      <w:r w:rsidR="00C35635">
        <w:rPr>
          <w:b/>
          <w:sz w:val="20"/>
        </w:rPr>
        <w:t>I</w:t>
      </w:r>
      <w:r>
        <w:rPr>
          <w:b/>
          <w:sz w:val="20"/>
        </w:rPr>
        <w:t>V</w:t>
      </w:r>
      <w:r w:rsidR="00C35635">
        <w:rPr>
          <w:sz w:val="20"/>
        </w:rPr>
        <w:t>.</w:t>
      </w:r>
    </w:p>
    <w:p w14:paraId="5543741D" w14:textId="3AE5B47B" w:rsidR="003F7BB8" w:rsidRDefault="000E5948" w:rsidP="000F64B1">
      <w:pPr>
        <w:spacing w:after="0" w:line="240" w:lineRule="auto"/>
        <w:jc w:val="center"/>
        <w:rPr>
          <w:b/>
          <w:caps/>
          <w:szCs w:val="22"/>
        </w:rPr>
      </w:pPr>
      <w:r>
        <w:rPr>
          <w:b/>
          <w:caps/>
          <w:szCs w:val="22"/>
        </w:rPr>
        <w:lastRenderedPageBreak/>
        <w:t xml:space="preserve">TABLE </w:t>
      </w:r>
      <w:r w:rsidR="00C35635">
        <w:rPr>
          <w:b/>
          <w:caps/>
          <w:szCs w:val="22"/>
        </w:rPr>
        <w:t>I</w:t>
      </w:r>
      <w:r>
        <w:rPr>
          <w:b/>
          <w:caps/>
          <w:szCs w:val="22"/>
        </w:rPr>
        <w:t>X</w:t>
      </w:r>
    </w:p>
    <w:p w14:paraId="30869911" w14:textId="77777777" w:rsidR="000E5948" w:rsidRDefault="000E5948" w:rsidP="005A38E0">
      <w:pPr>
        <w:spacing w:after="0" w:line="240" w:lineRule="auto"/>
        <w:ind w:firstLine="720"/>
        <w:jc w:val="center"/>
        <w:rPr>
          <w:b/>
          <w:caps/>
          <w:szCs w:val="22"/>
        </w:rPr>
      </w:pPr>
    </w:p>
    <w:p w14:paraId="36AAF792" w14:textId="69B172CE" w:rsidR="000E5948" w:rsidRPr="005A38E0" w:rsidRDefault="000F64B1" w:rsidP="002C0F95">
      <w:pPr>
        <w:pStyle w:val="Caption"/>
        <w:ind w:firstLine="180"/>
        <w:rPr>
          <w:caps w:val="0"/>
          <w:szCs w:val="22"/>
        </w:rPr>
      </w:pPr>
      <w:bookmarkStart w:id="86" w:name="_Toc507327158"/>
      <w:bookmarkStart w:id="87" w:name="_Toc507329278"/>
      <w:r w:rsidRPr="000C3276">
        <w:t>RECEIPT OF SELECTED DRUG AND THERAPEUTIC CLASSES THROUGH MEDICARE PART D AFTER HOSPICE ADMISSION BY NON-CANCER PRIMARY ADMISSION DIAGNOSIS</w:t>
      </w:r>
      <w:bookmarkEnd w:id="86"/>
      <w:bookmarkEnd w:id="87"/>
    </w:p>
    <w:tbl>
      <w:tblPr>
        <w:tblW w:w="0" w:type="auto"/>
        <w:jc w:val="center"/>
        <w:tblBorders>
          <w:top w:val="single" w:sz="4" w:space="0" w:color="auto"/>
          <w:bottom w:val="single" w:sz="4" w:space="0" w:color="auto"/>
        </w:tblBorders>
        <w:tblLook w:val="04A0" w:firstRow="1" w:lastRow="0" w:firstColumn="1" w:lastColumn="0" w:noHBand="0" w:noVBand="1"/>
      </w:tblPr>
      <w:tblGrid>
        <w:gridCol w:w="3277"/>
        <w:gridCol w:w="1500"/>
        <w:gridCol w:w="1296"/>
        <w:gridCol w:w="1296"/>
        <w:gridCol w:w="1296"/>
        <w:gridCol w:w="1296"/>
        <w:gridCol w:w="1296"/>
      </w:tblGrid>
      <w:tr w:rsidR="00BF607E" w:rsidRPr="005D54F4" w14:paraId="3EA6D252" w14:textId="77777777" w:rsidTr="00567980">
        <w:trPr>
          <w:trHeight w:val="255"/>
          <w:jc w:val="center"/>
        </w:trPr>
        <w:tc>
          <w:tcPr>
            <w:tcW w:w="0" w:type="auto"/>
            <w:vMerge w:val="restart"/>
            <w:tcBorders>
              <w:top w:val="single" w:sz="4" w:space="0" w:color="auto"/>
              <w:left w:val="nil"/>
              <w:right w:val="nil"/>
            </w:tcBorders>
            <w:shd w:val="clear" w:color="auto" w:fill="auto"/>
            <w:noWrap/>
            <w:vAlign w:val="bottom"/>
            <w:hideMark/>
          </w:tcPr>
          <w:p w14:paraId="1C8F4BB1" w14:textId="059BCF94" w:rsidR="00BF607E" w:rsidRPr="00BF607E" w:rsidRDefault="00567980" w:rsidP="00567980">
            <w:pPr>
              <w:spacing w:after="0" w:line="240" w:lineRule="auto"/>
              <w:rPr>
                <w:rFonts w:cs="Arial"/>
                <w:b/>
                <w:bCs/>
                <w:color w:val="000000"/>
                <w:szCs w:val="22"/>
              </w:rPr>
            </w:pPr>
            <w:r w:rsidRPr="00BF607E">
              <w:rPr>
                <w:rFonts w:cs="Arial"/>
                <w:b/>
                <w:bCs/>
                <w:szCs w:val="22"/>
              </w:rPr>
              <w:t>Therapeutic or Drug Class</w:t>
            </w:r>
            <w:r w:rsidRPr="00BF607E">
              <w:rPr>
                <w:rFonts w:cs="Arial"/>
                <w:b/>
                <w:bCs/>
                <w:szCs w:val="22"/>
                <w:vertAlign w:val="superscript"/>
              </w:rPr>
              <w:t>a</w:t>
            </w:r>
          </w:p>
        </w:tc>
        <w:tc>
          <w:tcPr>
            <w:tcW w:w="1500" w:type="dxa"/>
            <w:tcBorders>
              <w:top w:val="single" w:sz="4" w:space="0" w:color="auto"/>
              <w:left w:val="nil"/>
              <w:bottom w:val="nil"/>
              <w:right w:val="nil"/>
            </w:tcBorders>
            <w:shd w:val="clear" w:color="auto" w:fill="auto"/>
            <w:vAlign w:val="center"/>
          </w:tcPr>
          <w:p w14:paraId="777F0A6E" w14:textId="7483645C" w:rsidR="00BF607E" w:rsidRPr="00BF607E" w:rsidRDefault="00BF607E" w:rsidP="00BF607E">
            <w:pPr>
              <w:spacing w:after="0" w:line="240" w:lineRule="auto"/>
              <w:jc w:val="center"/>
              <w:rPr>
                <w:rFonts w:cs="Arial"/>
                <w:b/>
                <w:bCs/>
                <w:szCs w:val="22"/>
              </w:rPr>
            </w:pPr>
            <w:r w:rsidRPr="00BF607E">
              <w:rPr>
                <w:rFonts w:cs="Arial"/>
                <w:b/>
                <w:bCs/>
                <w:szCs w:val="22"/>
              </w:rPr>
              <w:t>Debility/AFT</w:t>
            </w:r>
          </w:p>
        </w:tc>
        <w:tc>
          <w:tcPr>
            <w:tcW w:w="1296" w:type="dxa"/>
            <w:tcBorders>
              <w:top w:val="single" w:sz="4" w:space="0" w:color="auto"/>
              <w:left w:val="nil"/>
              <w:bottom w:val="nil"/>
              <w:right w:val="nil"/>
            </w:tcBorders>
            <w:vAlign w:val="center"/>
          </w:tcPr>
          <w:p w14:paraId="6660B973" w14:textId="6FAE0C77" w:rsidR="00BF607E" w:rsidRPr="00BF607E" w:rsidRDefault="00BF607E" w:rsidP="00BF607E">
            <w:pPr>
              <w:spacing w:after="0" w:line="240" w:lineRule="auto"/>
              <w:jc w:val="center"/>
              <w:rPr>
                <w:rFonts w:cs="Arial"/>
                <w:b/>
                <w:bCs/>
                <w:szCs w:val="22"/>
              </w:rPr>
            </w:pPr>
            <w:r w:rsidRPr="00BF607E">
              <w:rPr>
                <w:rFonts w:cs="Arial"/>
                <w:b/>
                <w:bCs/>
                <w:szCs w:val="22"/>
              </w:rPr>
              <w:t>Dementia</w:t>
            </w:r>
          </w:p>
        </w:tc>
        <w:tc>
          <w:tcPr>
            <w:tcW w:w="1296" w:type="dxa"/>
            <w:tcBorders>
              <w:top w:val="single" w:sz="4" w:space="0" w:color="auto"/>
              <w:left w:val="nil"/>
              <w:bottom w:val="nil"/>
              <w:right w:val="nil"/>
            </w:tcBorders>
            <w:vAlign w:val="center"/>
          </w:tcPr>
          <w:p w14:paraId="43174320" w14:textId="697EFD3B" w:rsidR="00BF607E" w:rsidRPr="00BF607E" w:rsidRDefault="00BF607E" w:rsidP="00BF607E">
            <w:pPr>
              <w:spacing w:after="0" w:line="240" w:lineRule="auto"/>
              <w:jc w:val="center"/>
              <w:rPr>
                <w:rFonts w:cs="Arial"/>
                <w:b/>
                <w:bCs/>
                <w:szCs w:val="22"/>
              </w:rPr>
            </w:pPr>
            <w:r w:rsidRPr="00BF607E">
              <w:rPr>
                <w:rFonts w:cs="Arial"/>
                <w:b/>
                <w:bCs/>
                <w:szCs w:val="22"/>
              </w:rPr>
              <w:t>Lung Disease</w:t>
            </w:r>
          </w:p>
        </w:tc>
        <w:tc>
          <w:tcPr>
            <w:tcW w:w="1296" w:type="dxa"/>
            <w:tcBorders>
              <w:top w:val="single" w:sz="4" w:space="0" w:color="auto"/>
              <w:left w:val="nil"/>
              <w:bottom w:val="nil"/>
              <w:right w:val="nil"/>
            </w:tcBorders>
            <w:vAlign w:val="center"/>
          </w:tcPr>
          <w:p w14:paraId="631131CF" w14:textId="7F3D309D" w:rsidR="00BF607E" w:rsidRPr="00BF607E" w:rsidRDefault="00BF607E" w:rsidP="00BF607E">
            <w:pPr>
              <w:spacing w:after="0" w:line="240" w:lineRule="auto"/>
              <w:jc w:val="center"/>
              <w:rPr>
                <w:rFonts w:cs="Arial"/>
                <w:b/>
                <w:bCs/>
                <w:szCs w:val="22"/>
              </w:rPr>
            </w:pPr>
            <w:r w:rsidRPr="00BF607E">
              <w:rPr>
                <w:rFonts w:cs="Arial"/>
                <w:b/>
                <w:bCs/>
                <w:szCs w:val="22"/>
              </w:rPr>
              <w:t>Heart Disease</w:t>
            </w:r>
          </w:p>
        </w:tc>
        <w:tc>
          <w:tcPr>
            <w:tcW w:w="1296" w:type="dxa"/>
            <w:tcBorders>
              <w:top w:val="single" w:sz="4" w:space="0" w:color="auto"/>
              <w:left w:val="nil"/>
              <w:bottom w:val="nil"/>
              <w:right w:val="nil"/>
            </w:tcBorders>
            <w:vAlign w:val="center"/>
          </w:tcPr>
          <w:p w14:paraId="09962156" w14:textId="5D0AB7E2" w:rsidR="00BF607E" w:rsidRPr="00BF607E" w:rsidRDefault="00BF607E" w:rsidP="00BF607E">
            <w:pPr>
              <w:spacing w:after="0" w:line="240" w:lineRule="auto"/>
              <w:jc w:val="center"/>
              <w:rPr>
                <w:rFonts w:cs="Arial"/>
                <w:b/>
                <w:bCs/>
                <w:szCs w:val="22"/>
              </w:rPr>
            </w:pPr>
            <w:r w:rsidRPr="00BF607E">
              <w:rPr>
                <w:rFonts w:cs="Arial"/>
                <w:b/>
                <w:bCs/>
                <w:szCs w:val="22"/>
              </w:rPr>
              <w:t>Ischemic Stroke</w:t>
            </w:r>
          </w:p>
        </w:tc>
        <w:tc>
          <w:tcPr>
            <w:tcW w:w="1296" w:type="dxa"/>
            <w:tcBorders>
              <w:top w:val="single" w:sz="4" w:space="0" w:color="auto"/>
              <w:left w:val="nil"/>
              <w:bottom w:val="nil"/>
            </w:tcBorders>
            <w:vAlign w:val="center"/>
          </w:tcPr>
          <w:p w14:paraId="3EA0ECBD" w14:textId="40176857" w:rsidR="00BF607E" w:rsidRPr="00BF607E" w:rsidRDefault="00BF607E" w:rsidP="00BF607E">
            <w:pPr>
              <w:spacing w:after="0" w:line="240" w:lineRule="auto"/>
              <w:jc w:val="center"/>
              <w:rPr>
                <w:rFonts w:cs="Arial"/>
                <w:b/>
                <w:bCs/>
                <w:szCs w:val="22"/>
              </w:rPr>
            </w:pPr>
            <w:r w:rsidRPr="00BF607E">
              <w:rPr>
                <w:rFonts w:cs="Arial"/>
                <w:b/>
                <w:bCs/>
                <w:szCs w:val="22"/>
              </w:rPr>
              <w:t>Renal Disease</w:t>
            </w:r>
          </w:p>
        </w:tc>
      </w:tr>
      <w:tr w:rsidR="00BF607E" w:rsidRPr="005D54F4" w14:paraId="1D1380DA" w14:textId="77777777" w:rsidTr="005A38E0">
        <w:trPr>
          <w:trHeight w:val="255"/>
          <w:jc w:val="center"/>
        </w:trPr>
        <w:tc>
          <w:tcPr>
            <w:tcW w:w="0" w:type="auto"/>
            <w:vMerge/>
            <w:shd w:val="clear" w:color="auto" w:fill="auto"/>
            <w:noWrap/>
            <w:vAlign w:val="bottom"/>
          </w:tcPr>
          <w:p w14:paraId="45CB11C1" w14:textId="77777777" w:rsidR="00BF607E" w:rsidRPr="00BF607E" w:rsidRDefault="00BF607E" w:rsidP="000E5948">
            <w:pPr>
              <w:spacing w:after="0" w:line="240" w:lineRule="auto"/>
              <w:jc w:val="center"/>
              <w:rPr>
                <w:rFonts w:cs="Arial"/>
                <w:b/>
                <w:bCs/>
                <w:szCs w:val="22"/>
              </w:rPr>
            </w:pPr>
          </w:p>
        </w:tc>
        <w:tc>
          <w:tcPr>
            <w:tcW w:w="1500" w:type="dxa"/>
            <w:tcBorders>
              <w:top w:val="nil"/>
              <w:bottom w:val="nil"/>
            </w:tcBorders>
            <w:shd w:val="clear" w:color="auto" w:fill="auto"/>
            <w:noWrap/>
            <w:vAlign w:val="bottom"/>
          </w:tcPr>
          <w:p w14:paraId="1A74EC70" w14:textId="58C34A11" w:rsidR="00BF607E" w:rsidRPr="00BF607E" w:rsidRDefault="00BF607E" w:rsidP="000E5948">
            <w:pPr>
              <w:spacing w:after="0" w:line="240" w:lineRule="auto"/>
              <w:jc w:val="center"/>
              <w:rPr>
                <w:rFonts w:cs="Arial"/>
                <w:b/>
                <w:bCs/>
                <w:szCs w:val="22"/>
              </w:rPr>
            </w:pPr>
            <w:r w:rsidRPr="00BF607E">
              <w:rPr>
                <w:rFonts w:cs="Arial"/>
                <w:b/>
                <w:bCs/>
                <w:szCs w:val="22"/>
              </w:rPr>
              <w:t>(n=7,031)</w:t>
            </w:r>
          </w:p>
        </w:tc>
        <w:tc>
          <w:tcPr>
            <w:tcW w:w="1296" w:type="dxa"/>
            <w:tcBorders>
              <w:top w:val="nil"/>
              <w:bottom w:val="nil"/>
            </w:tcBorders>
            <w:vAlign w:val="bottom"/>
          </w:tcPr>
          <w:p w14:paraId="129F3791" w14:textId="5C582271" w:rsidR="00BF607E" w:rsidRPr="00BF607E" w:rsidRDefault="00BF607E" w:rsidP="000E5948">
            <w:pPr>
              <w:spacing w:after="0" w:line="240" w:lineRule="auto"/>
              <w:jc w:val="center"/>
              <w:rPr>
                <w:rFonts w:cs="Arial"/>
                <w:b/>
                <w:bCs/>
                <w:szCs w:val="22"/>
              </w:rPr>
            </w:pPr>
            <w:r w:rsidRPr="00BF607E">
              <w:rPr>
                <w:rFonts w:cs="Arial"/>
                <w:b/>
                <w:bCs/>
                <w:szCs w:val="22"/>
              </w:rPr>
              <w:t>(n=6,401)</w:t>
            </w:r>
          </w:p>
        </w:tc>
        <w:tc>
          <w:tcPr>
            <w:tcW w:w="1296" w:type="dxa"/>
            <w:tcBorders>
              <w:top w:val="nil"/>
              <w:bottom w:val="nil"/>
            </w:tcBorders>
            <w:vAlign w:val="bottom"/>
          </w:tcPr>
          <w:p w14:paraId="012375F8" w14:textId="5FBBE745" w:rsidR="00BF607E" w:rsidRPr="00BF607E" w:rsidRDefault="00BF607E" w:rsidP="000E5948">
            <w:pPr>
              <w:spacing w:after="0" w:line="240" w:lineRule="auto"/>
              <w:jc w:val="center"/>
              <w:rPr>
                <w:rFonts w:cs="Arial"/>
                <w:b/>
                <w:bCs/>
                <w:szCs w:val="22"/>
              </w:rPr>
            </w:pPr>
            <w:r w:rsidRPr="00BF607E">
              <w:rPr>
                <w:rFonts w:cs="Arial"/>
                <w:b/>
                <w:bCs/>
                <w:szCs w:val="22"/>
              </w:rPr>
              <w:t>(n=4,526)</w:t>
            </w:r>
          </w:p>
        </w:tc>
        <w:tc>
          <w:tcPr>
            <w:tcW w:w="1296" w:type="dxa"/>
            <w:tcBorders>
              <w:top w:val="nil"/>
              <w:bottom w:val="nil"/>
            </w:tcBorders>
            <w:vAlign w:val="bottom"/>
          </w:tcPr>
          <w:p w14:paraId="487158BA" w14:textId="5F2507F6" w:rsidR="00BF607E" w:rsidRPr="00BF607E" w:rsidRDefault="00BF607E" w:rsidP="000E5948">
            <w:pPr>
              <w:spacing w:after="0" w:line="240" w:lineRule="auto"/>
              <w:jc w:val="center"/>
              <w:rPr>
                <w:rFonts w:cs="Arial"/>
                <w:b/>
                <w:bCs/>
                <w:szCs w:val="22"/>
              </w:rPr>
            </w:pPr>
            <w:r w:rsidRPr="00BF607E">
              <w:rPr>
                <w:rFonts w:cs="Arial"/>
                <w:b/>
                <w:szCs w:val="22"/>
              </w:rPr>
              <w:t>(n=5,539)</w:t>
            </w:r>
          </w:p>
        </w:tc>
        <w:tc>
          <w:tcPr>
            <w:tcW w:w="1296" w:type="dxa"/>
            <w:tcBorders>
              <w:top w:val="nil"/>
              <w:bottom w:val="nil"/>
            </w:tcBorders>
            <w:vAlign w:val="bottom"/>
          </w:tcPr>
          <w:p w14:paraId="3F65A2CD" w14:textId="3C18200E" w:rsidR="00BF607E" w:rsidRPr="00BF607E" w:rsidRDefault="00BF607E" w:rsidP="000E5948">
            <w:pPr>
              <w:spacing w:after="0" w:line="240" w:lineRule="auto"/>
              <w:jc w:val="center"/>
              <w:rPr>
                <w:rFonts w:cs="Arial"/>
                <w:b/>
                <w:bCs/>
                <w:szCs w:val="22"/>
              </w:rPr>
            </w:pPr>
            <w:r w:rsidRPr="00BF607E">
              <w:rPr>
                <w:rFonts w:cs="Arial"/>
                <w:b/>
                <w:szCs w:val="22"/>
              </w:rPr>
              <w:t>(n=1,744)</w:t>
            </w:r>
          </w:p>
        </w:tc>
        <w:tc>
          <w:tcPr>
            <w:tcW w:w="1296" w:type="dxa"/>
            <w:tcBorders>
              <w:top w:val="nil"/>
              <w:bottom w:val="nil"/>
            </w:tcBorders>
            <w:vAlign w:val="bottom"/>
          </w:tcPr>
          <w:p w14:paraId="39235F80" w14:textId="14ACB138" w:rsidR="00BF607E" w:rsidRPr="00BF607E" w:rsidRDefault="00BF607E" w:rsidP="000E5948">
            <w:pPr>
              <w:spacing w:after="0" w:line="240" w:lineRule="auto"/>
              <w:jc w:val="center"/>
              <w:rPr>
                <w:rFonts w:cs="Arial"/>
                <w:b/>
                <w:bCs/>
                <w:szCs w:val="22"/>
              </w:rPr>
            </w:pPr>
            <w:r w:rsidRPr="00BF607E">
              <w:rPr>
                <w:rFonts w:cs="Arial"/>
                <w:b/>
                <w:szCs w:val="22"/>
              </w:rPr>
              <w:t>(n=1,758)</w:t>
            </w:r>
          </w:p>
        </w:tc>
      </w:tr>
      <w:tr w:rsidR="00BF607E" w:rsidRPr="005D54F4" w14:paraId="524548C4" w14:textId="77777777" w:rsidTr="005A38E0">
        <w:trPr>
          <w:trHeight w:val="255"/>
          <w:jc w:val="center"/>
        </w:trPr>
        <w:tc>
          <w:tcPr>
            <w:tcW w:w="0" w:type="auto"/>
            <w:vMerge/>
            <w:tcBorders>
              <w:bottom w:val="single" w:sz="4" w:space="0" w:color="auto"/>
            </w:tcBorders>
            <w:shd w:val="clear" w:color="auto" w:fill="auto"/>
            <w:noWrap/>
            <w:vAlign w:val="bottom"/>
            <w:hideMark/>
          </w:tcPr>
          <w:p w14:paraId="20DF6E74" w14:textId="77777777" w:rsidR="00BF607E" w:rsidRPr="00BF607E" w:rsidRDefault="00BF607E" w:rsidP="000E5948">
            <w:pPr>
              <w:spacing w:after="0" w:line="240" w:lineRule="auto"/>
              <w:jc w:val="center"/>
              <w:rPr>
                <w:rFonts w:cs="Arial"/>
                <w:b/>
                <w:bCs/>
                <w:szCs w:val="22"/>
              </w:rPr>
            </w:pPr>
          </w:p>
        </w:tc>
        <w:tc>
          <w:tcPr>
            <w:tcW w:w="1500" w:type="dxa"/>
            <w:tcBorders>
              <w:top w:val="nil"/>
              <w:bottom w:val="single" w:sz="4" w:space="0" w:color="auto"/>
            </w:tcBorders>
            <w:shd w:val="clear" w:color="auto" w:fill="auto"/>
            <w:noWrap/>
            <w:vAlign w:val="bottom"/>
            <w:hideMark/>
          </w:tcPr>
          <w:p w14:paraId="369D29BD" w14:textId="77777777" w:rsidR="00BF607E" w:rsidRPr="00BF607E" w:rsidRDefault="00BF607E" w:rsidP="000E5948">
            <w:pPr>
              <w:spacing w:after="0" w:line="240" w:lineRule="auto"/>
              <w:jc w:val="center"/>
              <w:rPr>
                <w:rFonts w:cs="Arial"/>
                <w:b/>
                <w:bCs/>
                <w:szCs w:val="22"/>
              </w:rPr>
            </w:pPr>
            <w:r w:rsidRPr="00BF607E">
              <w:rPr>
                <w:rFonts w:cs="Arial"/>
                <w:b/>
                <w:bCs/>
                <w:szCs w:val="22"/>
              </w:rPr>
              <w:t>%</w:t>
            </w:r>
          </w:p>
        </w:tc>
        <w:tc>
          <w:tcPr>
            <w:tcW w:w="1296" w:type="dxa"/>
            <w:tcBorders>
              <w:top w:val="nil"/>
              <w:bottom w:val="single" w:sz="4" w:space="0" w:color="auto"/>
            </w:tcBorders>
            <w:vAlign w:val="bottom"/>
          </w:tcPr>
          <w:p w14:paraId="46570A15" w14:textId="77777777" w:rsidR="00BF607E" w:rsidRPr="00BF607E" w:rsidRDefault="00BF607E" w:rsidP="000E5948">
            <w:pPr>
              <w:spacing w:after="0" w:line="240" w:lineRule="auto"/>
              <w:jc w:val="center"/>
              <w:rPr>
                <w:rFonts w:cs="Arial"/>
                <w:b/>
                <w:bCs/>
                <w:szCs w:val="22"/>
              </w:rPr>
            </w:pPr>
            <w:r w:rsidRPr="00BF607E">
              <w:rPr>
                <w:rFonts w:cs="Arial"/>
                <w:b/>
                <w:bCs/>
                <w:szCs w:val="22"/>
              </w:rPr>
              <w:t>%</w:t>
            </w:r>
          </w:p>
        </w:tc>
        <w:tc>
          <w:tcPr>
            <w:tcW w:w="1296" w:type="dxa"/>
            <w:tcBorders>
              <w:top w:val="nil"/>
              <w:bottom w:val="single" w:sz="4" w:space="0" w:color="auto"/>
            </w:tcBorders>
            <w:vAlign w:val="bottom"/>
          </w:tcPr>
          <w:p w14:paraId="142A99FA" w14:textId="77777777" w:rsidR="00BF607E" w:rsidRPr="00BF607E" w:rsidRDefault="00BF607E" w:rsidP="000E5948">
            <w:pPr>
              <w:spacing w:after="0" w:line="240" w:lineRule="auto"/>
              <w:jc w:val="center"/>
              <w:rPr>
                <w:rFonts w:cs="Arial"/>
                <w:b/>
                <w:bCs/>
                <w:szCs w:val="22"/>
              </w:rPr>
            </w:pPr>
            <w:r w:rsidRPr="00BF607E">
              <w:rPr>
                <w:rFonts w:cs="Arial"/>
                <w:b/>
                <w:bCs/>
                <w:szCs w:val="22"/>
              </w:rPr>
              <w:t>%</w:t>
            </w:r>
          </w:p>
        </w:tc>
        <w:tc>
          <w:tcPr>
            <w:tcW w:w="1296" w:type="dxa"/>
            <w:tcBorders>
              <w:top w:val="nil"/>
              <w:bottom w:val="single" w:sz="4" w:space="0" w:color="auto"/>
            </w:tcBorders>
            <w:vAlign w:val="bottom"/>
          </w:tcPr>
          <w:p w14:paraId="4161D733" w14:textId="77777777" w:rsidR="00BF607E" w:rsidRPr="00BF607E" w:rsidRDefault="00BF607E" w:rsidP="000E5948">
            <w:pPr>
              <w:spacing w:after="0" w:line="240" w:lineRule="auto"/>
              <w:jc w:val="center"/>
              <w:rPr>
                <w:rFonts w:cs="Arial"/>
                <w:b/>
                <w:bCs/>
                <w:szCs w:val="22"/>
              </w:rPr>
            </w:pPr>
            <w:r w:rsidRPr="00BF607E">
              <w:rPr>
                <w:rFonts w:cs="Arial"/>
                <w:b/>
                <w:bCs/>
                <w:szCs w:val="22"/>
              </w:rPr>
              <w:t>%</w:t>
            </w:r>
          </w:p>
        </w:tc>
        <w:tc>
          <w:tcPr>
            <w:tcW w:w="1296" w:type="dxa"/>
            <w:tcBorders>
              <w:top w:val="nil"/>
              <w:bottom w:val="single" w:sz="4" w:space="0" w:color="auto"/>
            </w:tcBorders>
            <w:vAlign w:val="bottom"/>
          </w:tcPr>
          <w:p w14:paraId="61898F06" w14:textId="77777777" w:rsidR="00BF607E" w:rsidRPr="00BF607E" w:rsidRDefault="00BF607E" w:rsidP="000E5948">
            <w:pPr>
              <w:spacing w:after="0" w:line="240" w:lineRule="auto"/>
              <w:jc w:val="center"/>
              <w:rPr>
                <w:rFonts w:cs="Arial"/>
                <w:b/>
                <w:bCs/>
                <w:szCs w:val="22"/>
              </w:rPr>
            </w:pPr>
            <w:r w:rsidRPr="00BF607E">
              <w:rPr>
                <w:rFonts w:cs="Arial"/>
                <w:b/>
                <w:bCs/>
                <w:szCs w:val="22"/>
              </w:rPr>
              <w:t>%</w:t>
            </w:r>
          </w:p>
        </w:tc>
        <w:tc>
          <w:tcPr>
            <w:tcW w:w="1296" w:type="dxa"/>
            <w:tcBorders>
              <w:top w:val="nil"/>
              <w:bottom w:val="single" w:sz="4" w:space="0" w:color="auto"/>
            </w:tcBorders>
            <w:vAlign w:val="bottom"/>
          </w:tcPr>
          <w:p w14:paraId="7540CEAA" w14:textId="77777777" w:rsidR="00BF607E" w:rsidRPr="00BF607E" w:rsidRDefault="00BF607E" w:rsidP="000E5948">
            <w:pPr>
              <w:spacing w:after="0" w:line="240" w:lineRule="auto"/>
              <w:jc w:val="center"/>
              <w:rPr>
                <w:rFonts w:cs="Arial"/>
                <w:b/>
                <w:bCs/>
                <w:szCs w:val="22"/>
              </w:rPr>
            </w:pPr>
            <w:r w:rsidRPr="00BF607E">
              <w:rPr>
                <w:rFonts w:cs="Arial"/>
                <w:b/>
                <w:bCs/>
                <w:szCs w:val="22"/>
              </w:rPr>
              <w:t>%</w:t>
            </w:r>
          </w:p>
        </w:tc>
      </w:tr>
      <w:tr w:rsidR="000E5948" w:rsidRPr="005D54F4" w14:paraId="65D91E77" w14:textId="77777777" w:rsidTr="005A38E0">
        <w:trPr>
          <w:trHeight w:val="20"/>
          <w:jc w:val="center"/>
        </w:trPr>
        <w:tc>
          <w:tcPr>
            <w:tcW w:w="0" w:type="auto"/>
            <w:tcBorders>
              <w:top w:val="single" w:sz="4" w:space="0" w:color="auto"/>
            </w:tcBorders>
            <w:shd w:val="clear" w:color="auto" w:fill="auto"/>
            <w:noWrap/>
            <w:vAlign w:val="bottom"/>
          </w:tcPr>
          <w:p w14:paraId="47056E87" w14:textId="77777777" w:rsidR="000E5948" w:rsidRPr="000E5948" w:rsidRDefault="000E5948" w:rsidP="000E5948">
            <w:pPr>
              <w:spacing w:after="0" w:line="240" w:lineRule="auto"/>
              <w:rPr>
                <w:rFonts w:cs="Arial"/>
                <w:szCs w:val="22"/>
              </w:rPr>
            </w:pPr>
            <w:r w:rsidRPr="000E5948">
              <w:rPr>
                <w:rFonts w:cs="Arial"/>
                <w:szCs w:val="22"/>
              </w:rPr>
              <w:t>Anti-hyperlipidemic</w:t>
            </w:r>
          </w:p>
        </w:tc>
        <w:tc>
          <w:tcPr>
            <w:tcW w:w="1500" w:type="dxa"/>
            <w:tcBorders>
              <w:top w:val="single" w:sz="4" w:space="0" w:color="auto"/>
            </w:tcBorders>
            <w:shd w:val="clear" w:color="auto" w:fill="auto"/>
            <w:noWrap/>
          </w:tcPr>
          <w:p w14:paraId="366E1D64" w14:textId="77777777" w:rsidR="000E5948" w:rsidRPr="000E5948" w:rsidRDefault="000E5948" w:rsidP="000E5948">
            <w:pPr>
              <w:spacing w:after="0" w:line="240" w:lineRule="auto"/>
              <w:jc w:val="center"/>
              <w:rPr>
                <w:rFonts w:cs="Arial"/>
                <w:szCs w:val="22"/>
              </w:rPr>
            </w:pPr>
            <w:r w:rsidRPr="000E5948">
              <w:rPr>
                <w:rFonts w:cs="Arial"/>
                <w:szCs w:val="22"/>
              </w:rPr>
              <w:t>7.9</w:t>
            </w:r>
          </w:p>
        </w:tc>
        <w:tc>
          <w:tcPr>
            <w:tcW w:w="1296" w:type="dxa"/>
            <w:tcBorders>
              <w:top w:val="single" w:sz="4" w:space="0" w:color="auto"/>
            </w:tcBorders>
          </w:tcPr>
          <w:p w14:paraId="396A51D5" w14:textId="77777777" w:rsidR="000E5948" w:rsidRPr="000E5948" w:rsidRDefault="000E5948" w:rsidP="000E5948">
            <w:pPr>
              <w:spacing w:after="0" w:line="240" w:lineRule="auto"/>
              <w:jc w:val="center"/>
              <w:rPr>
                <w:rFonts w:cs="Arial"/>
                <w:bCs/>
                <w:szCs w:val="22"/>
              </w:rPr>
            </w:pPr>
            <w:r w:rsidRPr="000E5948">
              <w:rPr>
                <w:rFonts w:cs="Arial"/>
                <w:bCs/>
                <w:szCs w:val="22"/>
              </w:rPr>
              <w:t>7.1</w:t>
            </w:r>
          </w:p>
        </w:tc>
        <w:tc>
          <w:tcPr>
            <w:tcW w:w="1296" w:type="dxa"/>
            <w:tcBorders>
              <w:top w:val="single" w:sz="4" w:space="0" w:color="auto"/>
            </w:tcBorders>
          </w:tcPr>
          <w:p w14:paraId="3ED21D50" w14:textId="77777777" w:rsidR="000E5948" w:rsidRPr="000E5948" w:rsidRDefault="000E5948" w:rsidP="000E5948">
            <w:pPr>
              <w:spacing w:after="0" w:line="240" w:lineRule="auto"/>
              <w:jc w:val="center"/>
              <w:rPr>
                <w:rFonts w:cs="Arial"/>
                <w:bCs/>
                <w:szCs w:val="22"/>
              </w:rPr>
            </w:pPr>
            <w:r w:rsidRPr="000E5948">
              <w:rPr>
                <w:rFonts w:cs="Arial"/>
                <w:bCs/>
                <w:szCs w:val="22"/>
              </w:rPr>
              <w:t>8.2</w:t>
            </w:r>
          </w:p>
        </w:tc>
        <w:tc>
          <w:tcPr>
            <w:tcW w:w="1296" w:type="dxa"/>
            <w:tcBorders>
              <w:top w:val="single" w:sz="4" w:space="0" w:color="auto"/>
            </w:tcBorders>
          </w:tcPr>
          <w:p w14:paraId="1DBB641A" w14:textId="77777777" w:rsidR="000E5948" w:rsidRPr="000E5948" w:rsidRDefault="000E5948" w:rsidP="000E5948">
            <w:pPr>
              <w:spacing w:after="0" w:line="240" w:lineRule="auto"/>
              <w:jc w:val="center"/>
              <w:rPr>
                <w:rFonts w:cs="Arial"/>
                <w:bCs/>
                <w:szCs w:val="22"/>
              </w:rPr>
            </w:pPr>
            <w:r w:rsidRPr="000E5948">
              <w:rPr>
                <w:rFonts w:cs="Arial"/>
                <w:bCs/>
                <w:szCs w:val="22"/>
              </w:rPr>
              <w:t>9.7</w:t>
            </w:r>
          </w:p>
        </w:tc>
        <w:tc>
          <w:tcPr>
            <w:tcW w:w="1296" w:type="dxa"/>
            <w:tcBorders>
              <w:top w:val="single" w:sz="4" w:space="0" w:color="auto"/>
            </w:tcBorders>
          </w:tcPr>
          <w:p w14:paraId="38FBEB59" w14:textId="77777777" w:rsidR="000E5948" w:rsidRPr="000E5948" w:rsidRDefault="000E5948" w:rsidP="000E5948">
            <w:pPr>
              <w:spacing w:after="0" w:line="240" w:lineRule="auto"/>
              <w:jc w:val="center"/>
              <w:rPr>
                <w:rFonts w:cs="Arial"/>
                <w:bCs/>
                <w:szCs w:val="22"/>
              </w:rPr>
            </w:pPr>
            <w:r w:rsidRPr="000E5948">
              <w:rPr>
                <w:rFonts w:cs="Arial"/>
                <w:bCs/>
                <w:szCs w:val="22"/>
              </w:rPr>
              <w:t>4.8</w:t>
            </w:r>
          </w:p>
        </w:tc>
        <w:tc>
          <w:tcPr>
            <w:tcW w:w="1296" w:type="dxa"/>
            <w:tcBorders>
              <w:top w:val="single" w:sz="4" w:space="0" w:color="auto"/>
            </w:tcBorders>
          </w:tcPr>
          <w:p w14:paraId="33808E20" w14:textId="77777777" w:rsidR="000E5948" w:rsidRPr="000E5948" w:rsidRDefault="000E5948" w:rsidP="000E5948">
            <w:pPr>
              <w:spacing w:after="0" w:line="240" w:lineRule="auto"/>
              <w:jc w:val="center"/>
              <w:rPr>
                <w:rFonts w:cs="Arial"/>
                <w:bCs/>
                <w:szCs w:val="22"/>
              </w:rPr>
            </w:pPr>
            <w:r w:rsidRPr="000E5948">
              <w:rPr>
                <w:rFonts w:cs="Arial"/>
                <w:bCs/>
                <w:szCs w:val="22"/>
              </w:rPr>
              <w:t>4.1</w:t>
            </w:r>
          </w:p>
        </w:tc>
      </w:tr>
      <w:tr w:rsidR="000E5948" w:rsidRPr="005D54F4" w14:paraId="750B9864" w14:textId="77777777" w:rsidTr="005A38E0">
        <w:trPr>
          <w:trHeight w:val="20"/>
          <w:jc w:val="center"/>
        </w:trPr>
        <w:tc>
          <w:tcPr>
            <w:tcW w:w="0" w:type="auto"/>
            <w:shd w:val="clear" w:color="auto" w:fill="auto"/>
            <w:noWrap/>
            <w:tcMar>
              <w:left w:w="288" w:type="dxa"/>
              <w:right w:w="115" w:type="dxa"/>
            </w:tcMar>
            <w:vAlign w:val="bottom"/>
            <w:hideMark/>
          </w:tcPr>
          <w:p w14:paraId="5572A7F3" w14:textId="77777777" w:rsidR="000E5948" w:rsidRPr="000E5948" w:rsidRDefault="000E5948" w:rsidP="000E5948">
            <w:pPr>
              <w:spacing w:after="0" w:line="240" w:lineRule="auto"/>
              <w:rPr>
                <w:rFonts w:cs="Arial"/>
                <w:szCs w:val="22"/>
              </w:rPr>
            </w:pPr>
            <w:r w:rsidRPr="000E5948">
              <w:rPr>
                <w:rFonts w:cs="Arial"/>
                <w:szCs w:val="22"/>
              </w:rPr>
              <w:t>Statin</w:t>
            </w:r>
          </w:p>
        </w:tc>
        <w:tc>
          <w:tcPr>
            <w:tcW w:w="1500" w:type="dxa"/>
            <w:shd w:val="clear" w:color="auto" w:fill="auto"/>
            <w:noWrap/>
          </w:tcPr>
          <w:p w14:paraId="2AA2049F" w14:textId="77777777" w:rsidR="000E5948" w:rsidRPr="000E5948" w:rsidRDefault="000E5948" w:rsidP="000E5948">
            <w:pPr>
              <w:spacing w:after="0" w:line="240" w:lineRule="auto"/>
              <w:jc w:val="center"/>
              <w:rPr>
                <w:rFonts w:cs="Arial"/>
                <w:szCs w:val="22"/>
              </w:rPr>
            </w:pPr>
            <w:r w:rsidRPr="000E5948">
              <w:rPr>
                <w:rFonts w:cs="Arial"/>
                <w:szCs w:val="22"/>
              </w:rPr>
              <w:t>7.0</w:t>
            </w:r>
          </w:p>
        </w:tc>
        <w:tc>
          <w:tcPr>
            <w:tcW w:w="1296" w:type="dxa"/>
          </w:tcPr>
          <w:p w14:paraId="24981E75" w14:textId="77777777" w:rsidR="000E5948" w:rsidRPr="000E5948" w:rsidRDefault="000E5948" w:rsidP="000E5948">
            <w:pPr>
              <w:spacing w:after="0" w:line="240" w:lineRule="auto"/>
              <w:jc w:val="center"/>
              <w:rPr>
                <w:rFonts w:cs="Arial"/>
                <w:szCs w:val="22"/>
              </w:rPr>
            </w:pPr>
            <w:r w:rsidRPr="000E5948">
              <w:rPr>
                <w:rFonts w:cs="Arial"/>
                <w:szCs w:val="22"/>
              </w:rPr>
              <w:t>6.3</w:t>
            </w:r>
          </w:p>
        </w:tc>
        <w:tc>
          <w:tcPr>
            <w:tcW w:w="1296" w:type="dxa"/>
          </w:tcPr>
          <w:p w14:paraId="7AD5280C" w14:textId="77777777" w:rsidR="000E5948" w:rsidRPr="000E5948" w:rsidRDefault="000E5948" w:rsidP="000E5948">
            <w:pPr>
              <w:spacing w:after="0" w:line="240" w:lineRule="auto"/>
              <w:jc w:val="center"/>
              <w:rPr>
                <w:rFonts w:cs="Arial"/>
                <w:szCs w:val="22"/>
              </w:rPr>
            </w:pPr>
            <w:r w:rsidRPr="000E5948">
              <w:rPr>
                <w:rFonts w:cs="Arial"/>
                <w:szCs w:val="22"/>
              </w:rPr>
              <w:t>7.6</w:t>
            </w:r>
          </w:p>
        </w:tc>
        <w:tc>
          <w:tcPr>
            <w:tcW w:w="1296" w:type="dxa"/>
          </w:tcPr>
          <w:p w14:paraId="5E6E4161" w14:textId="77777777" w:rsidR="000E5948" w:rsidRPr="000E5948" w:rsidRDefault="000E5948" w:rsidP="000E5948">
            <w:pPr>
              <w:spacing w:after="0" w:line="240" w:lineRule="auto"/>
              <w:jc w:val="center"/>
              <w:rPr>
                <w:rFonts w:cs="Arial"/>
                <w:szCs w:val="22"/>
              </w:rPr>
            </w:pPr>
            <w:r w:rsidRPr="000E5948">
              <w:rPr>
                <w:rFonts w:cs="Arial"/>
                <w:szCs w:val="22"/>
              </w:rPr>
              <w:t>9.1</w:t>
            </w:r>
          </w:p>
        </w:tc>
        <w:tc>
          <w:tcPr>
            <w:tcW w:w="1296" w:type="dxa"/>
          </w:tcPr>
          <w:p w14:paraId="46CF0B2B" w14:textId="77777777" w:rsidR="000E5948" w:rsidRPr="000E5948" w:rsidRDefault="000E5948" w:rsidP="000E5948">
            <w:pPr>
              <w:spacing w:after="0" w:line="240" w:lineRule="auto"/>
              <w:jc w:val="center"/>
              <w:rPr>
                <w:rFonts w:cs="Arial"/>
                <w:szCs w:val="22"/>
              </w:rPr>
            </w:pPr>
            <w:r w:rsidRPr="000E5948">
              <w:rPr>
                <w:rFonts w:cs="Arial"/>
                <w:szCs w:val="22"/>
              </w:rPr>
              <w:t>4.5</w:t>
            </w:r>
          </w:p>
        </w:tc>
        <w:tc>
          <w:tcPr>
            <w:tcW w:w="1296" w:type="dxa"/>
          </w:tcPr>
          <w:p w14:paraId="0FEC3DCD" w14:textId="77777777" w:rsidR="000E5948" w:rsidRPr="000E5948" w:rsidRDefault="000E5948" w:rsidP="000E5948">
            <w:pPr>
              <w:spacing w:after="0" w:line="240" w:lineRule="auto"/>
              <w:jc w:val="center"/>
              <w:rPr>
                <w:rFonts w:cs="Arial"/>
                <w:szCs w:val="22"/>
              </w:rPr>
            </w:pPr>
            <w:r w:rsidRPr="000E5948">
              <w:rPr>
                <w:rFonts w:cs="Arial"/>
                <w:szCs w:val="22"/>
              </w:rPr>
              <w:t>4.0</w:t>
            </w:r>
          </w:p>
        </w:tc>
      </w:tr>
      <w:tr w:rsidR="000E5948" w:rsidRPr="005D54F4" w14:paraId="76BAC2E3" w14:textId="77777777" w:rsidTr="005A38E0">
        <w:trPr>
          <w:trHeight w:val="20"/>
          <w:jc w:val="center"/>
        </w:trPr>
        <w:tc>
          <w:tcPr>
            <w:tcW w:w="0" w:type="auto"/>
            <w:shd w:val="clear" w:color="auto" w:fill="auto"/>
            <w:noWrap/>
            <w:vAlign w:val="bottom"/>
            <w:hideMark/>
          </w:tcPr>
          <w:p w14:paraId="58E23A00" w14:textId="77777777" w:rsidR="000E5948" w:rsidRPr="000E5948" w:rsidRDefault="000E5948" w:rsidP="000E5948">
            <w:pPr>
              <w:spacing w:after="0" w:line="240" w:lineRule="auto"/>
              <w:rPr>
                <w:rFonts w:cs="Arial"/>
                <w:bCs/>
                <w:szCs w:val="22"/>
                <w:vertAlign w:val="superscript"/>
              </w:rPr>
            </w:pPr>
            <w:r w:rsidRPr="000E5948">
              <w:rPr>
                <w:rFonts w:cs="Arial"/>
                <w:bCs/>
                <w:szCs w:val="22"/>
              </w:rPr>
              <w:t>Antihypertensive</w:t>
            </w:r>
          </w:p>
        </w:tc>
        <w:tc>
          <w:tcPr>
            <w:tcW w:w="1500" w:type="dxa"/>
            <w:shd w:val="clear" w:color="auto" w:fill="auto"/>
            <w:noWrap/>
          </w:tcPr>
          <w:p w14:paraId="79D7EDA2" w14:textId="77777777" w:rsidR="000E5948" w:rsidRPr="000E5948" w:rsidRDefault="000E5948" w:rsidP="000E5948">
            <w:pPr>
              <w:spacing w:after="0" w:line="240" w:lineRule="auto"/>
              <w:jc w:val="center"/>
              <w:rPr>
                <w:rFonts w:cs="Arial"/>
                <w:szCs w:val="22"/>
              </w:rPr>
            </w:pPr>
            <w:r w:rsidRPr="000E5948">
              <w:rPr>
                <w:rFonts w:cs="Arial"/>
                <w:szCs w:val="22"/>
              </w:rPr>
              <w:t>30.0</w:t>
            </w:r>
          </w:p>
        </w:tc>
        <w:tc>
          <w:tcPr>
            <w:tcW w:w="1296" w:type="dxa"/>
          </w:tcPr>
          <w:p w14:paraId="6BC465AC" w14:textId="77777777" w:rsidR="000E5948" w:rsidRPr="000E5948" w:rsidRDefault="000E5948" w:rsidP="000E5948">
            <w:pPr>
              <w:spacing w:after="0" w:line="240" w:lineRule="auto"/>
              <w:jc w:val="center"/>
              <w:rPr>
                <w:rFonts w:cs="Arial"/>
                <w:bCs/>
                <w:szCs w:val="22"/>
              </w:rPr>
            </w:pPr>
            <w:r w:rsidRPr="000E5948">
              <w:rPr>
                <w:rFonts w:cs="Arial"/>
                <w:bCs/>
                <w:szCs w:val="22"/>
              </w:rPr>
              <w:t>26.1</w:t>
            </w:r>
          </w:p>
        </w:tc>
        <w:tc>
          <w:tcPr>
            <w:tcW w:w="1296" w:type="dxa"/>
          </w:tcPr>
          <w:p w14:paraId="687D6135" w14:textId="77777777" w:rsidR="000E5948" w:rsidRPr="000E5948" w:rsidRDefault="000E5948" w:rsidP="000E5948">
            <w:pPr>
              <w:spacing w:after="0" w:line="240" w:lineRule="auto"/>
              <w:jc w:val="center"/>
              <w:rPr>
                <w:rFonts w:cs="Arial"/>
                <w:bCs/>
                <w:szCs w:val="22"/>
              </w:rPr>
            </w:pPr>
            <w:r w:rsidRPr="000E5948">
              <w:rPr>
                <w:rFonts w:cs="Arial"/>
                <w:bCs/>
                <w:szCs w:val="22"/>
              </w:rPr>
              <w:t>24.3</w:t>
            </w:r>
          </w:p>
        </w:tc>
        <w:tc>
          <w:tcPr>
            <w:tcW w:w="1296" w:type="dxa"/>
          </w:tcPr>
          <w:p w14:paraId="2D07137C" w14:textId="77777777" w:rsidR="000E5948" w:rsidRPr="000E5948" w:rsidRDefault="000E5948" w:rsidP="000E5948">
            <w:pPr>
              <w:spacing w:after="0" w:line="240" w:lineRule="auto"/>
              <w:jc w:val="center"/>
              <w:rPr>
                <w:rFonts w:cs="Arial"/>
                <w:bCs/>
                <w:szCs w:val="22"/>
              </w:rPr>
            </w:pPr>
            <w:r w:rsidRPr="000E5948">
              <w:rPr>
                <w:rFonts w:cs="Arial"/>
                <w:bCs/>
                <w:szCs w:val="22"/>
              </w:rPr>
              <w:t>23.6</w:t>
            </w:r>
          </w:p>
        </w:tc>
        <w:tc>
          <w:tcPr>
            <w:tcW w:w="1296" w:type="dxa"/>
          </w:tcPr>
          <w:p w14:paraId="03833EBD" w14:textId="77777777" w:rsidR="000E5948" w:rsidRPr="000E5948" w:rsidRDefault="000E5948" w:rsidP="000E5948">
            <w:pPr>
              <w:spacing w:after="0" w:line="240" w:lineRule="auto"/>
              <w:jc w:val="center"/>
              <w:rPr>
                <w:rFonts w:cs="Arial"/>
                <w:bCs/>
                <w:szCs w:val="22"/>
              </w:rPr>
            </w:pPr>
            <w:r w:rsidRPr="000E5948">
              <w:rPr>
                <w:rFonts w:cs="Arial"/>
                <w:bCs/>
                <w:szCs w:val="22"/>
              </w:rPr>
              <w:t>14.3</w:t>
            </w:r>
          </w:p>
        </w:tc>
        <w:tc>
          <w:tcPr>
            <w:tcW w:w="1296" w:type="dxa"/>
          </w:tcPr>
          <w:p w14:paraId="5D0A7F19" w14:textId="77777777" w:rsidR="000E5948" w:rsidRPr="000E5948" w:rsidRDefault="000E5948" w:rsidP="000E5948">
            <w:pPr>
              <w:spacing w:after="0" w:line="240" w:lineRule="auto"/>
              <w:jc w:val="center"/>
              <w:rPr>
                <w:rFonts w:cs="Arial"/>
                <w:bCs/>
                <w:szCs w:val="22"/>
              </w:rPr>
            </w:pPr>
            <w:r w:rsidRPr="000E5948">
              <w:rPr>
                <w:rFonts w:cs="Arial"/>
                <w:bCs/>
                <w:szCs w:val="22"/>
              </w:rPr>
              <w:t>15.6</w:t>
            </w:r>
          </w:p>
        </w:tc>
      </w:tr>
      <w:tr w:rsidR="000E5948" w:rsidRPr="005D54F4" w14:paraId="2E50922E" w14:textId="77777777" w:rsidTr="005A38E0">
        <w:trPr>
          <w:trHeight w:val="20"/>
          <w:jc w:val="center"/>
        </w:trPr>
        <w:tc>
          <w:tcPr>
            <w:tcW w:w="0" w:type="auto"/>
            <w:shd w:val="clear" w:color="auto" w:fill="auto"/>
            <w:noWrap/>
            <w:tcMar>
              <w:left w:w="288" w:type="dxa"/>
              <w:right w:w="115" w:type="dxa"/>
            </w:tcMar>
            <w:vAlign w:val="bottom"/>
          </w:tcPr>
          <w:p w14:paraId="75D37260" w14:textId="77777777" w:rsidR="000E5948" w:rsidRPr="000E5948" w:rsidRDefault="000E5948" w:rsidP="000E5948">
            <w:pPr>
              <w:spacing w:after="0" w:line="240" w:lineRule="auto"/>
              <w:rPr>
                <w:rFonts w:cs="Arial"/>
                <w:szCs w:val="22"/>
              </w:rPr>
            </w:pPr>
            <w:r w:rsidRPr="000E5948">
              <w:rPr>
                <w:rFonts w:cs="Arial"/>
                <w:szCs w:val="22"/>
              </w:rPr>
              <w:t>Beta adrenergic antagonist</w:t>
            </w:r>
          </w:p>
        </w:tc>
        <w:tc>
          <w:tcPr>
            <w:tcW w:w="1500" w:type="dxa"/>
            <w:shd w:val="clear" w:color="auto" w:fill="auto"/>
            <w:noWrap/>
          </w:tcPr>
          <w:p w14:paraId="4BD7CD14" w14:textId="77777777" w:rsidR="000E5948" w:rsidRPr="000E5948" w:rsidRDefault="000E5948" w:rsidP="000E5948">
            <w:pPr>
              <w:spacing w:after="0" w:line="240" w:lineRule="auto"/>
              <w:jc w:val="center"/>
              <w:rPr>
                <w:rFonts w:cs="Arial"/>
                <w:bCs/>
                <w:szCs w:val="22"/>
              </w:rPr>
            </w:pPr>
            <w:r w:rsidRPr="000E5948">
              <w:rPr>
                <w:rFonts w:cs="Arial"/>
                <w:bCs/>
                <w:szCs w:val="22"/>
              </w:rPr>
              <w:t>17.2</w:t>
            </w:r>
          </w:p>
        </w:tc>
        <w:tc>
          <w:tcPr>
            <w:tcW w:w="1296" w:type="dxa"/>
          </w:tcPr>
          <w:p w14:paraId="30E34A03" w14:textId="77777777" w:rsidR="000E5948" w:rsidRPr="000E5948" w:rsidRDefault="000E5948" w:rsidP="000E5948">
            <w:pPr>
              <w:spacing w:after="0" w:line="240" w:lineRule="auto"/>
              <w:jc w:val="center"/>
              <w:rPr>
                <w:rFonts w:cs="Arial"/>
                <w:szCs w:val="22"/>
              </w:rPr>
            </w:pPr>
            <w:r w:rsidRPr="000E5948">
              <w:rPr>
                <w:rFonts w:cs="Arial"/>
                <w:szCs w:val="22"/>
              </w:rPr>
              <w:t>13.7</w:t>
            </w:r>
          </w:p>
        </w:tc>
        <w:tc>
          <w:tcPr>
            <w:tcW w:w="1296" w:type="dxa"/>
          </w:tcPr>
          <w:p w14:paraId="1A9B3573" w14:textId="77777777" w:rsidR="000E5948" w:rsidRPr="000E5948" w:rsidRDefault="000E5948" w:rsidP="000E5948">
            <w:pPr>
              <w:spacing w:after="0" w:line="240" w:lineRule="auto"/>
              <w:jc w:val="center"/>
              <w:rPr>
                <w:rFonts w:cs="Arial"/>
                <w:szCs w:val="22"/>
              </w:rPr>
            </w:pPr>
            <w:r w:rsidRPr="000E5948">
              <w:rPr>
                <w:rFonts w:cs="Arial"/>
                <w:szCs w:val="22"/>
              </w:rPr>
              <w:t>10.9</w:t>
            </w:r>
          </w:p>
        </w:tc>
        <w:tc>
          <w:tcPr>
            <w:tcW w:w="1296" w:type="dxa"/>
          </w:tcPr>
          <w:p w14:paraId="4F5E46E1" w14:textId="77777777" w:rsidR="000E5948" w:rsidRPr="000E5948" w:rsidRDefault="000E5948" w:rsidP="000E5948">
            <w:pPr>
              <w:spacing w:after="0" w:line="240" w:lineRule="auto"/>
              <w:jc w:val="center"/>
              <w:rPr>
                <w:rFonts w:cs="Arial"/>
                <w:szCs w:val="22"/>
              </w:rPr>
            </w:pPr>
            <w:r w:rsidRPr="000E5948">
              <w:rPr>
                <w:rFonts w:cs="Arial"/>
                <w:szCs w:val="22"/>
              </w:rPr>
              <w:t>14.3</w:t>
            </w:r>
          </w:p>
        </w:tc>
        <w:tc>
          <w:tcPr>
            <w:tcW w:w="1296" w:type="dxa"/>
          </w:tcPr>
          <w:p w14:paraId="6ED2183A" w14:textId="77777777" w:rsidR="000E5948" w:rsidRPr="000E5948" w:rsidRDefault="000E5948" w:rsidP="000E5948">
            <w:pPr>
              <w:spacing w:after="0" w:line="240" w:lineRule="auto"/>
              <w:jc w:val="center"/>
              <w:rPr>
                <w:rFonts w:cs="Arial"/>
                <w:szCs w:val="22"/>
              </w:rPr>
            </w:pPr>
            <w:r w:rsidRPr="000E5948">
              <w:rPr>
                <w:rFonts w:cs="Arial"/>
                <w:szCs w:val="22"/>
              </w:rPr>
              <w:t>7.6</w:t>
            </w:r>
          </w:p>
        </w:tc>
        <w:tc>
          <w:tcPr>
            <w:tcW w:w="1296" w:type="dxa"/>
          </w:tcPr>
          <w:p w14:paraId="0CF857E5" w14:textId="77777777" w:rsidR="000E5948" w:rsidRPr="000E5948" w:rsidRDefault="000E5948" w:rsidP="000E5948">
            <w:pPr>
              <w:spacing w:after="0" w:line="240" w:lineRule="auto"/>
              <w:jc w:val="center"/>
              <w:rPr>
                <w:rFonts w:cs="Arial"/>
                <w:szCs w:val="22"/>
              </w:rPr>
            </w:pPr>
            <w:r w:rsidRPr="000E5948">
              <w:rPr>
                <w:rFonts w:cs="Arial"/>
                <w:szCs w:val="22"/>
              </w:rPr>
              <w:t>10.0</w:t>
            </w:r>
          </w:p>
        </w:tc>
      </w:tr>
      <w:tr w:rsidR="000E5948" w:rsidRPr="005D54F4" w14:paraId="2B9BC33B" w14:textId="77777777" w:rsidTr="005A38E0">
        <w:trPr>
          <w:trHeight w:val="20"/>
          <w:jc w:val="center"/>
        </w:trPr>
        <w:tc>
          <w:tcPr>
            <w:tcW w:w="0" w:type="auto"/>
            <w:shd w:val="clear" w:color="auto" w:fill="auto"/>
            <w:noWrap/>
            <w:tcMar>
              <w:left w:w="288" w:type="dxa"/>
              <w:right w:w="115" w:type="dxa"/>
            </w:tcMar>
            <w:vAlign w:val="bottom"/>
          </w:tcPr>
          <w:p w14:paraId="6404CC12" w14:textId="77777777" w:rsidR="000E5948" w:rsidRPr="000E5948" w:rsidRDefault="000E5948" w:rsidP="000E5948">
            <w:pPr>
              <w:spacing w:after="0" w:line="240" w:lineRule="auto"/>
              <w:rPr>
                <w:rFonts w:cs="Arial"/>
                <w:szCs w:val="22"/>
              </w:rPr>
            </w:pPr>
            <w:r w:rsidRPr="000E5948">
              <w:rPr>
                <w:rFonts w:cs="Arial"/>
                <w:szCs w:val="22"/>
              </w:rPr>
              <w:t>ACE inhibitor</w:t>
            </w:r>
          </w:p>
        </w:tc>
        <w:tc>
          <w:tcPr>
            <w:tcW w:w="1500" w:type="dxa"/>
            <w:shd w:val="clear" w:color="auto" w:fill="auto"/>
            <w:noWrap/>
          </w:tcPr>
          <w:p w14:paraId="2715B4D1" w14:textId="77777777" w:rsidR="000E5948" w:rsidRPr="000E5948" w:rsidRDefault="000E5948" w:rsidP="000E5948">
            <w:pPr>
              <w:spacing w:after="0" w:line="240" w:lineRule="auto"/>
              <w:jc w:val="center"/>
              <w:rPr>
                <w:rFonts w:cs="Arial"/>
                <w:bCs/>
                <w:szCs w:val="22"/>
              </w:rPr>
            </w:pPr>
            <w:r w:rsidRPr="000E5948">
              <w:rPr>
                <w:rFonts w:cs="Arial"/>
                <w:bCs/>
                <w:szCs w:val="22"/>
              </w:rPr>
              <w:t>8.8</w:t>
            </w:r>
          </w:p>
        </w:tc>
        <w:tc>
          <w:tcPr>
            <w:tcW w:w="1296" w:type="dxa"/>
          </w:tcPr>
          <w:p w14:paraId="06C68D72" w14:textId="77777777" w:rsidR="000E5948" w:rsidRPr="000E5948" w:rsidRDefault="000E5948" w:rsidP="000E5948">
            <w:pPr>
              <w:spacing w:after="0" w:line="240" w:lineRule="auto"/>
              <w:jc w:val="center"/>
              <w:rPr>
                <w:rFonts w:cs="Arial"/>
                <w:szCs w:val="22"/>
              </w:rPr>
            </w:pPr>
            <w:r w:rsidRPr="000E5948">
              <w:rPr>
                <w:rFonts w:cs="Arial"/>
                <w:szCs w:val="22"/>
              </w:rPr>
              <w:t>7.9</w:t>
            </w:r>
          </w:p>
        </w:tc>
        <w:tc>
          <w:tcPr>
            <w:tcW w:w="1296" w:type="dxa"/>
          </w:tcPr>
          <w:p w14:paraId="0A2D07E3" w14:textId="77777777" w:rsidR="000E5948" w:rsidRPr="000E5948" w:rsidRDefault="000E5948" w:rsidP="000E5948">
            <w:pPr>
              <w:spacing w:after="0" w:line="240" w:lineRule="auto"/>
              <w:jc w:val="center"/>
              <w:rPr>
                <w:rFonts w:cs="Arial"/>
                <w:szCs w:val="22"/>
              </w:rPr>
            </w:pPr>
            <w:r w:rsidRPr="000E5948">
              <w:rPr>
                <w:rFonts w:cs="Arial"/>
                <w:szCs w:val="22"/>
              </w:rPr>
              <w:t>6.3</w:t>
            </w:r>
          </w:p>
        </w:tc>
        <w:tc>
          <w:tcPr>
            <w:tcW w:w="1296" w:type="dxa"/>
          </w:tcPr>
          <w:p w14:paraId="7C944F27" w14:textId="77777777" w:rsidR="000E5948" w:rsidRPr="000E5948" w:rsidRDefault="000E5948" w:rsidP="000E5948">
            <w:pPr>
              <w:spacing w:after="0" w:line="240" w:lineRule="auto"/>
              <w:jc w:val="center"/>
              <w:rPr>
                <w:rFonts w:cs="Arial"/>
                <w:szCs w:val="22"/>
              </w:rPr>
            </w:pPr>
            <w:r w:rsidRPr="000E5948">
              <w:rPr>
                <w:rFonts w:cs="Arial"/>
                <w:szCs w:val="22"/>
              </w:rPr>
              <w:t>6.6</w:t>
            </w:r>
          </w:p>
        </w:tc>
        <w:tc>
          <w:tcPr>
            <w:tcW w:w="1296" w:type="dxa"/>
          </w:tcPr>
          <w:p w14:paraId="60AD7424" w14:textId="77777777" w:rsidR="000E5948" w:rsidRPr="000E5948" w:rsidRDefault="000E5948" w:rsidP="000E5948">
            <w:pPr>
              <w:spacing w:after="0" w:line="240" w:lineRule="auto"/>
              <w:jc w:val="center"/>
              <w:rPr>
                <w:rFonts w:cs="Arial"/>
                <w:szCs w:val="22"/>
              </w:rPr>
            </w:pPr>
            <w:r w:rsidRPr="000E5948">
              <w:rPr>
                <w:rFonts w:cs="Arial"/>
                <w:szCs w:val="22"/>
              </w:rPr>
              <w:t>4.7</w:t>
            </w:r>
          </w:p>
        </w:tc>
        <w:tc>
          <w:tcPr>
            <w:tcW w:w="1296" w:type="dxa"/>
          </w:tcPr>
          <w:p w14:paraId="794D7559" w14:textId="77777777" w:rsidR="000E5948" w:rsidRPr="000E5948" w:rsidRDefault="000E5948" w:rsidP="000E5948">
            <w:pPr>
              <w:spacing w:after="0" w:line="240" w:lineRule="auto"/>
              <w:jc w:val="center"/>
              <w:rPr>
                <w:rFonts w:cs="Arial"/>
                <w:szCs w:val="22"/>
              </w:rPr>
            </w:pPr>
            <w:r w:rsidRPr="000E5948">
              <w:rPr>
                <w:rFonts w:cs="Arial"/>
                <w:szCs w:val="22"/>
              </w:rPr>
              <w:t>2.8</w:t>
            </w:r>
          </w:p>
        </w:tc>
      </w:tr>
      <w:tr w:rsidR="000E5948" w:rsidRPr="005D54F4" w14:paraId="02791045" w14:textId="77777777" w:rsidTr="005A38E0">
        <w:trPr>
          <w:trHeight w:val="20"/>
          <w:jc w:val="center"/>
        </w:trPr>
        <w:tc>
          <w:tcPr>
            <w:tcW w:w="0" w:type="auto"/>
            <w:shd w:val="clear" w:color="auto" w:fill="auto"/>
            <w:noWrap/>
            <w:tcMar>
              <w:left w:w="288" w:type="dxa"/>
              <w:right w:w="115" w:type="dxa"/>
            </w:tcMar>
            <w:vAlign w:val="bottom"/>
          </w:tcPr>
          <w:p w14:paraId="119D777E" w14:textId="77777777" w:rsidR="000E5948" w:rsidRPr="000E5948" w:rsidRDefault="000E5948" w:rsidP="000E5948">
            <w:pPr>
              <w:spacing w:after="0" w:line="240" w:lineRule="auto"/>
              <w:rPr>
                <w:rFonts w:cs="Arial"/>
                <w:szCs w:val="22"/>
              </w:rPr>
            </w:pPr>
            <w:r w:rsidRPr="000E5948">
              <w:rPr>
                <w:rFonts w:cs="Arial"/>
                <w:szCs w:val="22"/>
              </w:rPr>
              <w:t>DHP calcium channel blocker</w:t>
            </w:r>
          </w:p>
        </w:tc>
        <w:tc>
          <w:tcPr>
            <w:tcW w:w="1500" w:type="dxa"/>
            <w:shd w:val="clear" w:color="auto" w:fill="auto"/>
            <w:noWrap/>
          </w:tcPr>
          <w:p w14:paraId="60FDD412" w14:textId="77777777" w:rsidR="000E5948" w:rsidRPr="000E5948" w:rsidRDefault="000E5948" w:rsidP="000E5948">
            <w:pPr>
              <w:spacing w:after="0" w:line="240" w:lineRule="auto"/>
              <w:jc w:val="center"/>
              <w:rPr>
                <w:rFonts w:cs="Arial"/>
                <w:szCs w:val="22"/>
              </w:rPr>
            </w:pPr>
            <w:r w:rsidRPr="000E5948">
              <w:rPr>
                <w:rFonts w:cs="Arial"/>
                <w:szCs w:val="22"/>
              </w:rPr>
              <w:t>6.8</w:t>
            </w:r>
          </w:p>
        </w:tc>
        <w:tc>
          <w:tcPr>
            <w:tcW w:w="1296" w:type="dxa"/>
          </w:tcPr>
          <w:p w14:paraId="04BD9255" w14:textId="77777777" w:rsidR="000E5948" w:rsidRPr="000E5948" w:rsidRDefault="000E5948" w:rsidP="000E5948">
            <w:pPr>
              <w:spacing w:after="0" w:line="240" w:lineRule="auto"/>
              <w:jc w:val="center"/>
              <w:rPr>
                <w:rFonts w:cs="Arial"/>
                <w:szCs w:val="22"/>
              </w:rPr>
            </w:pPr>
            <w:r w:rsidRPr="000E5948">
              <w:rPr>
                <w:rFonts w:cs="Arial"/>
                <w:szCs w:val="22"/>
              </w:rPr>
              <w:t>6.6</w:t>
            </w:r>
          </w:p>
        </w:tc>
        <w:tc>
          <w:tcPr>
            <w:tcW w:w="1296" w:type="dxa"/>
          </w:tcPr>
          <w:p w14:paraId="77A3678B" w14:textId="77777777" w:rsidR="000E5948" w:rsidRPr="000E5948" w:rsidRDefault="000E5948" w:rsidP="000E5948">
            <w:pPr>
              <w:spacing w:after="0" w:line="240" w:lineRule="auto"/>
              <w:jc w:val="center"/>
              <w:rPr>
                <w:rFonts w:cs="Arial"/>
                <w:szCs w:val="22"/>
              </w:rPr>
            </w:pPr>
            <w:r w:rsidRPr="000E5948">
              <w:rPr>
                <w:rFonts w:cs="Arial"/>
                <w:szCs w:val="22"/>
              </w:rPr>
              <w:t>5.2</w:t>
            </w:r>
          </w:p>
        </w:tc>
        <w:tc>
          <w:tcPr>
            <w:tcW w:w="1296" w:type="dxa"/>
          </w:tcPr>
          <w:p w14:paraId="52C84731" w14:textId="77777777" w:rsidR="000E5948" w:rsidRPr="000E5948" w:rsidRDefault="000E5948" w:rsidP="000E5948">
            <w:pPr>
              <w:spacing w:after="0" w:line="240" w:lineRule="auto"/>
              <w:jc w:val="center"/>
              <w:rPr>
                <w:rFonts w:cs="Arial"/>
                <w:szCs w:val="22"/>
              </w:rPr>
            </w:pPr>
            <w:r w:rsidRPr="000E5948">
              <w:rPr>
                <w:rFonts w:cs="Arial"/>
                <w:szCs w:val="22"/>
              </w:rPr>
              <w:t>3.2</w:t>
            </w:r>
          </w:p>
        </w:tc>
        <w:tc>
          <w:tcPr>
            <w:tcW w:w="1296" w:type="dxa"/>
          </w:tcPr>
          <w:p w14:paraId="685FFAD7" w14:textId="77777777" w:rsidR="000E5948" w:rsidRPr="000E5948" w:rsidRDefault="000E5948" w:rsidP="000E5948">
            <w:pPr>
              <w:spacing w:after="0" w:line="240" w:lineRule="auto"/>
              <w:jc w:val="center"/>
              <w:rPr>
                <w:rFonts w:cs="Arial"/>
                <w:szCs w:val="22"/>
              </w:rPr>
            </w:pPr>
            <w:r w:rsidRPr="000E5948">
              <w:rPr>
                <w:rFonts w:cs="Arial"/>
                <w:szCs w:val="22"/>
              </w:rPr>
              <w:t>3.1</w:t>
            </w:r>
          </w:p>
        </w:tc>
        <w:tc>
          <w:tcPr>
            <w:tcW w:w="1296" w:type="dxa"/>
          </w:tcPr>
          <w:p w14:paraId="4526F45B" w14:textId="77777777" w:rsidR="000E5948" w:rsidRPr="000E5948" w:rsidRDefault="000E5948" w:rsidP="000E5948">
            <w:pPr>
              <w:spacing w:after="0" w:line="240" w:lineRule="auto"/>
              <w:jc w:val="center"/>
              <w:rPr>
                <w:rFonts w:cs="Arial"/>
                <w:szCs w:val="22"/>
              </w:rPr>
            </w:pPr>
            <w:r w:rsidRPr="000E5948">
              <w:rPr>
                <w:rFonts w:cs="Arial"/>
                <w:szCs w:val="22"/>
              </w:rPr>
              <w:t>4.8</w:t>
            </w:r>
          </w:p>
        </w:tc>
      </w:tr>
      <w:tr w:rsidR="000E5948" w:rsidRPr="005D54F4" w14:paraId="2C037A4F" w14:textId="77777777" w:rsidTr="005A38E0">
        <w:trPr>
          <w:trHeight w:val="20"/>
          <w:jc w:val="center"/>
        </w:trPr>
        <w:tc>
          <w:tcPr>
            <w:tcW w:w="0" w:type="auto"/>
            <w:shd w:val="clear" w:color="auto" w:fill="auto"/>
            <w:noWrap/>
            <w:tcMar>
              <w:left w:w="288" w:type="dxa"/>
              <w:right w:w="115" w:type="dxa"/>
            </w:tcMar>
            <w:vAlign w:val="bottom"/>
          </w:tcPr>
          <w:p w14:paraId="7971C5EF" w14:textId="77777777" w:rsidR="000E5948" w:rsidRPr="000E5948" w:rsidRDefault="000E5948" w:rsidP="000E5948">
            <w:pPr>
              <w:spacing w:after="0" w:line="240" w:lineRule="auto"/>
              <w:rPr>
                <w:rFonts w:cs="Arial"/>
                <w:szCs w:val="22"/>
              </w:rPr>
            </w:pPr>
            <w:r w:rsidRPr="000E5948">
              <w:rPr>
                <w:rFonts w:cs="Arial"/>
                <w:szCs w:val="22"/>
              </w:rPr>
              <w:t>Thiazide diuretic</w:t>
            </w:r>
          </w:p>
        </w:tc>
        <w:tc>
          <w:tcPr>
            <w:tcW w:w="1500" w:type="dxa"/>
            <w:shd w:val="clear" w:color="auto" w:fill="auto"/>
            <w:noWrap/>
          </w:tcPr>
          <w:p w14:paraId="1CC35BBD" w14:textId="77777777" w:rsidR="000E5948" w:rsidRPr="000E5948" w:rsidRDefault="000E5948" w:rsidP="000E5948">
            <w:pPr>
              <w:spacing w:after="0" w:line="240" w:lineRule="auto"/>
              <w:jc w:val="center"/>
              <w:rPr>
                <w:rFonts w:cs="Arial"/>
                <w:szCs w:val="22"/>
              </w:rPr>
            </w:pPr>
            <w:r w:rsidRPr="000E5948">
              <w:rPr>
                <w:rFonts w:cs="Arial"/>
                <w:szCs w:val="22"/>
              </w:rPr>
              <w:t>3.1</w:t>
            </w:r>
          </w:p>
        </w:tc>
        <w:tc>
          <w:tcPr>
            <w:tcW w:w="1296" w:type="dxa"/>
          </w:tcPr>
          <w:p w14:paraId="0DA31A16" w14:textId="77777777" w:rsidR="000E5948" w:rsidRPr="000E5948" w:rsidRDefault="000E5948" w:rsidP="000E5948">
            <w:pPr>
              <w:spacing w:after="0" w:line="240" w:lineRule="auto"/>
              <w:jc w:val="center"/>
              <w:rPr>
                <w:rFonts w:cs="Arial"/>
                <w:szCs w:val="22"/>
              </w:rPr>
            </w:pPr>
            <w:r w:rsidRPr="000E5948">
              <w:rPr>
                <w:rFonts w:cs="Arial"/>
                <w:szCs w:val="22"/>
              </w:rPr>
              <w:t>3.0</w:t>
            </w:r>
          </w:p>
        </w:tc>
        <w:tc>
          <w:tcPr>
            <w:tcW w:w="1296" w:type="dxa"/>
          </w:tcPr>
          <w:p w14:paraId="452C68DA" w14:textId="77777777" w:rsidR="000E5948" w:rsidRPr="000E5948" w:rsidRDefault="000E5948" w:rsidP="000E5948">
            <w:pPr>
              <w:spacing w:after="0" w:line="240" w:lineRule="auto"/>
              <w:jc w:val="center"/>
              <w:rPr>
                <w:rFonts w:cs="Arial"/>
                <w:szCs w:val="22"/>
              </w:rPr>
            </w:pPr>
            <w:r w:rsidRPr="000E5948">
              <w:rPr>
                <w:rFonts w:cs="Arial"/>
                <w:szCs w:val="22"/>
              </w:rPr>
              <w:t>2.9</w:t>
            </w:r>
          </w:p>
        </w:tc>
        <w:tc>
          <w:tcPr>
            <w:tcW w:w="1296" w:type="dxa"/>
          </w:tcPr>
          <w:p w14:paraId="53BF4923" w14:textId="77777777" w:rsidR="000E5948" w:rsidRPr="000E5948" w:rsidRDefault="000E5948" w:rsidP="000E5948">
            <w:pPr>
              <w:spacing w:after="0" w:line="240" w:lineRule="auto"/>
              <w:jc w:val="center"/>
              <w:rPr>
                <w:rFonts w:cs="Arial"/>
                <w:szCs w:val="22"/>
              </w:rPr>
            </w:pPr>
            <w:r w:rsidRPr="000E5948">
              <w:rPr>
                <w:rFonts w:cs="Arial"/>
                <w:szCs w:val="22"/>
              </w:rPr>
              <w:t>3.3</w:t>
            </w:r>
          </w:p>
        </w:tc>
        <w:tc>
          <w:tcPr>
            <w:tcW w:w="1296" w:type="dxa"/>
          </w:tcPr>
          <w:p w14:paraId="6C65AAAA" w14:textId="77777777" w:rsidR="000E5948" w:rsidRPr="000E5948" w:rsidRDefault="000E5948" w:rsidP="000E5948">
            <w:pPr>
              <w:spacing w:after="0" w:line="240" w:lineRule="auto"/>
              <w:jc w:val="center"/>
              <w:rPr>
                <w:rFonts w:cs="Arial"/>
                <w:szCs w:val="22"/>
              </w:rPr>
            </w:pPr>
            <w:r w:rsidRPr="000E5948">
              <w:rPr>
                <w:rFonts w:cs="Arial"/>
                <w:szCs w:val="22"/>
              </w:rPr>
              <w:t>1.3</w:t>
            </w:r>
          </w:p>
        </w:tc>
        <w:tc>
          <w:tcPr>
            <w:tcW w:w="1296" w:type="dxa"/>
          </w:tcPr>
          <w:p w14:paraId="13512BA1" w14:textId="77777777" w:rsidR="000E5948" w:rsidRPr="000E5948" w:rsidRDefault="000E5948" w:rsidP="000E5948">
            <w:pPr>
              <w:spacing w:after="0" w:line="240" w:lineRule="auto"/>
              <w:jc w:val="center"/>
              <w:rPr>
                <w:rFonts w:cs="Arial"/>
                <w:szCs w:val="22"/>
              </w:rPr>
            </w:pPr>
            <w:r w:rsidRPr="000E5948">
              <w:rPr>
                <w:rFonts w:cs="Arial"/>
                <w:szCs w:val="22"/>
              </w:rPr>
              <w:t>1.2</w:t>
            </w:r>
          </w:p>
        </w:tc>
      </w:tr>
      <w:tr w:rsidR="000E5948" w:rsidRPr="005D54F4" w14:paraId="2B382C0C" w14:textId="77777777" w:rsidTr="005A38E0">
        <w:trPr>
          <w:trHeight w:val="20"/>
          <w:jc w:val="center"/>
        </w:trPr>
        <w:tc>
          <w:tcPr>
            <w:tcW w:w="0" w:type="auto"/>
            <w:shd w:val="clear" w:color="auto" w:fill="auto"/>
            <w:noWrap/>
            <w:tcMar>
              <w:left w:w="288" w:type="dxa"/>
              <w:right w:w="115" w:type="dxa"/>
            </w:tcMar>
            <w:vAlign w:val="bottom"/>
          </w:tcPr>
          <w:p w14:paraId="1C77F2BB" w14:textId="77777777" w:rsidR="000E5948" w:rsidRPr="000E5948" w:rsidRDefault="000E5948" w:rsidP="000E5948">
            <w:pPr>
              <w:spacing w:after="0" w:line="240" w:lineRule="auto"/>
              <w:rPr>
                <w:rFonts w:cs="Arial"/>
                <w:szCs w:val="22"/>
              </w:rPr>
            </w:pPr>
            <w:r w:rsidRPr="000E5948">
              <w:rPr>
                <w:rFonts w:cs="Arial"/>
                <w:szCs w:val="22"/>
              </w:rPr>
              <w:t>ARB</w:t>
            </w:r>
          </w:p>
        </w:tc>
        <w:tc>
          <w:tcPr>
            <w:tcW w:w="1500" w:type="dxa"/>
            <w:shd w:val="clear" w:color="auto" w:fill="auto"/>
            <w:noWrap/>
          </w:tcPr>
          <w:p w14:paraId="40A7B518" w14:textId="77777777" w:rsidR="000E5948" w:rsidRPr="000E5948" w:rsidRDefault="000E5948" w:rsidP="000E5948">
            <w:pPr>
              <w:spacing w:after="0" w:line="240" w:lineRule="auto"/>
              <w:jc w:val="center"/>
              <w:rPr>
                <w:rFonts w:cs="Arial"/>
                <w:szCs w:val="22"/>
              </w:rPr>
            </w:pPr>
            <w:r w:rsidRPr="000E5948">
              <w:rPr>
                <w:rFonts w:cs="Arial"/>
                <w:szCs w:val="22"/>
              </w:rPr>
              <w:t>3.5</w:t>
            </w:r>
          </w:p>
        </w:tc>
        <w:tc>
          <w:tcPr>
            <w:tcW w:w="1296" w:type="dxa"/>
          </w:tcPr>
          <w:p w14:paraId="7CDB264B" w14:textId="77777777" w:rsidR="000E5948" w:rsidRPr="000E5948" w:rsidRDefault="000E5948" w:rsidP="000E5948">
            <w:pPr>
              <w:spacing w:after="0" w:line="240" w:lineRule="auto"/>
              <w:jc w:val="center"/>
              <w:rPr>
                <w:rFonts w:cs="Arial"/>
                <w:szCs w:val="22"/>
              </w:rPr>
            </w:pPr>
            <w:r w:rsidRPr="000E5948">
              <w:rPr>
                <w:rFonts w:cs="Arial"/>
                <w:szCs w:val="22"/>
              </w:rPr>
              <w:t>3.0</w:t>
            </w:r>
          </w:p>
        </w:tc>
        <w:tc>
          <w:tcPr>
            <w:tcW w:w="1296" w:type="dxa"/>
          </w:tcPr>
          <w:p w14:paraId="7E58FD82" w14:textId="77777777" w:rsidR="000E5948" w:rsidRPr="000E5948" w:rsidRDefault="000E5948" w:rsidP="000E5948">
            <w:pPr>
              <w:spacing w:after="0" w:line="240" w:lineRule="auto"/>
              <w:jc w:val="center"/>
              <w:rPr>
                <w:rFonts w:cs="Arial"/>
                <w:szCs w:val="22"/>
              </w:rPr>
            </w:pPr>
            <w:r w:rsidRPr="000E5948">
              <w:rPr>
                <w:rFonts w:cs="Arial"/>
                <w:szCs w:val="22"/>
              </w:rPr>
              <w:t>2.7</w:t>
            </w:r>
          </w:p>
        </w:tc>
        <w:tc>
          <w:tcPr>
            <w:tcW w:w="1296" w:type="dxa"/>
          </w:tcPr>
          <w:p w14:paraId="37026494" w14:textId="77777777" w:rsidR="000E5948" w:rsidRPr="000E5948" w:rsidRDefault="000E5948" w:rsidP="000E5948">
            <w:pPr>
              <w:spacing w:after="0" w:line="240" w:lineRule="auto"/>
              <w:jc w:val="center"/>
              <w:rPr>
                <w:rFonts w:cs="Arial"/>
                <w:szCs w:val="22"/>
              </w:rPr>
            </w:pPr>
            <w:r w:rsidRPr="000E5948">
              <w:rPr>
                <w:rFonts w:cs="Arial"/>
                <w:szCs w:val="22"/>
              </w:rPr>
              <w:t>2.9</w:t>
            </w:r>
          </w:p>
        </w:tc>
        <w:tc>
          <w:tcPr>
            <w:tcW w:w="1296" w:type="dxa"/>
          </w:tcPr>
          <w:p w14:paraId="71D96172" w14:textId="77777777" w:rsidR="000E5948" w:rsidRPr="000E5948" w:rsidRDefault="000E5948" w:rsidP="000E5948">
            <w:pPr>
              <w:spacing w:after="0" w:line="240" w:lineRule="auto"/>
              <w:jc w:val="center"/>
              <w:rPr>
                <w:rFonts w:cs="Arial"/>
                <w:szCs w:val="22"/>
              </w:rPr>
            </w:pPr>
            <w:r w:rsidRPr="000E5948">
              <w:rPr>
                <w:rFonts w:cs="Arial"/>
                <w:szCs w:val="22"/>
              </w:rPr>
              <w:t>1.5</w:t>
            </w:r>
          </w:p>
        </w:tc>
        <w:tc>
          <w:tcPr>
            <w:tcW w:w="1296" w:type="dxa"/>
          </w:tcPr>
          <w:p w14:paraId="3B7C50E5" w14:textId="77777777" w:rsidR="000E5948" w:rsidRPr="000E5948" w:rsidRDefault="000E5948" w:rsidP="000E5948">
            <w:pPr>
              <w:spacing w:after="0" w:line="240" w:lineRule="auto"/>
              <w:jc w:val="center"/>
              <w:rPr>
                <w:rFonts w:cs="Arial"/>
                <w:szCs w:val="22"/>
              </w:rPr>
            </w:pPr>
            <w:r w:rsidRPr="000E5948">
              <w:rPr>
                <w:rFonts w:cs="Arial"/>
                <w:szCs w:val="22"/>
              </w:rPr>
              <w:t>1.4</w:t>
            </w:r>
          </w:p>
        </w:tc>
      </w:tr>
      <w:tr w:rsidR="000E5948" w:rsidRPr="005D54F4" w14:paraId="05930410" w14:textId="77777777" w:rsidTr="005A38E0">
        <w:trPr>
          <w:trHeight w:val="20"/>
          <w:jc w:val="center"/>
        </w:trPr>
        <w:tc>
          <w:tcPr>
            <w:tcW w:w="0" w:type="auto"/>
            <w:shd w:val="clear" w:color="auto" w:fill="auto"/>
            <w:noWrap/>
            <w:vAlign w:val="bottom"/>
            <w:hideMark/>
          </w:tcPr>
          <w:p w14:paraId="24FE8D72" w14:textId="77777777" w:rsidR="000E5948" w:rsidRPr="000E5948" w:rsidRDefault="000E5948" w:rsidP="000E5948">
            <w:pPr>
              <w:spacing w:after="0" w:line="240" w:lineRule="auto"/>
              <w:rPr>
                <w:rFonts w:cs="Arial"/>
                <w:bCs/>
                <w:szCs w:val="22"/>
              </w:rPr>
            </w:pPr>
            <w:r w:rsidRPr="000E5948">
              <w:rPr>
                <w:rFonts w:cs="Arial"/>
                <w:bCs/>
                <w:szCs w:val="22"/>
              </w:rPr>
              <w:t>Oral Antidiabetic</w:t>
            </w:r>
          </w:p>
        </w:tc>
        <w:tc>
          <w:tcPr>
            <w:tcW w:w="1500" w:type="dxa"/>
            <w:shd w:val="clear" w:color="auto" w:fill="auto"/>
            <w:noWrap/>
          </w:tcPr>
          <w:p w14:paraId="54851406" w14:textId="77777777" w:rsidR="000E5948" w:rsidRPr="000E5948" w:rsidRDefault="000E5948" w:rsidP="000E5948">
            <w:pPr>
              <w:spacing w:after="0" w:line="240" w:lineRule="auto"/>
              <w:jc w:val="center"/>
              <w:rPr>
                <w:rFonts w:cs="Arial"/>
                <w:szCs w:val="22"/>
              </w:rPr>
            </w:pPr>
            <w:r w:rsidRPr="000E5948">
              <w:rPr>
                <w:rFonts w:cs="Arial"/>
                <w:szCs w:val="22"/>
              </w:rPr>
              <w:t>3.9</w:t>
            </w:r>
          </w:p>
        </w:tc>
        <w:tc>
          <w:tcPr>
            <w:tcW w:w="1296" w:type="dxa"/>
          </w:tcPr>
          <w:p w14:paraId="105DFA35" w14:textId="77777777" w:rsidR="000E5948" w:rsidRPr="000E5948" w:rsidRDefault="000E5948" w:rsidP="000E5948">
            <w:pPr>
              <w:spacing w:after="0" w:line="240" w:lineRule="auto"/>
              <w:jc w:val="center"/>
              <w:rPr>
                <w:rFonts w:cs="Arial"/>
                <w:bCs/>
                <w:szCs w:val="22"/>
              </w:rPr>
            </w:pPr>
            <w:r w:rsidRPr="000E5948">
              <w:rPr>
                <w:rFonts w:cs="Arial"/>
                <w:bCs/>
                <w:szCs w:val="22"/>
              </w:rPr>
              <w:t>4.3</w:t>
            </w:r>
          </w:p>
        </w:tc>
        <w:tc>
          <w:tcPr>
            <w:tcW w:w="1296" w:type="dxa"/>
          </w:tcPr>
          <w:p w14:paraId="0054766F" w14:textId="77777777" w:rsidR="000E5948" w:rsidRPr="000E5948" w:rsidRDefault="000E5948" w:rsidP="000E5948">
            <w:pPr>
              <w:spacing w:after="0" w:line="240" w:lineRule="auto"/>
              <w:jc w:val="center"/>
              <w:rPr>
                <w:rFonts w:cs="Arial"/>
                <w:bCs/>
                <w:szCs w:val="22"/>
              </w:rPr>
            </w:pPr>
            <w:r w:rsidRPr="000E5948">
              <w:rPr>
                <w:rFonts w:cs="Arial"/>
                <w:bCs/>
                <w:szCs w:val="22"/>
              </w:rPr>
              <w:t>3.6</w:t>
            </w:r>
          </w:p>
        </w:tc>
        <w:tc>
          <w:tcPr>
            <w:tcW w:w="1296" w:type="dxa"/>
          </w:tcPr>
          <w:p w14:paraId="4350361F" w14:textId="77777777" w:rsidR="000E5948" w:rsidRPr="000E5948" w:rsidRDefault="000E5948" w:rsidP="000E5948">
            <w:pPr>
              <w:spacing w:after="0" w:line="240" w:lineRule="auto"/>
              <w:jc w:val="center"/>
              <w:rPr>
                <w:rFonts w:cs="Arial"/>
                <w:bCs/>
                <w:szCs w:val="22"/>
              </w:rPr>
            </w:pPr>
            <w:r w:rsidRPr="000E5948">
              <w:rPr>
                <w:rFonts w:cs="Arial"/>
                <w:bCs/>
                <w:szCs w:val="22"/>
              </w:rPr>
              <w:t>5.3</w:t>
            </w:r>
          </w:p>
        </w:tc>
        <w:tc>
          <w:tcPr>
            <w:tcW w:w="1296" w:type="dxa"/>
          </w:tcPr>
          <w:p w14:paraId="77392D22" w14:textId="77777777" w:rsidR="000E5948" w:rsidRPr="000E5948" w:rsidRDefault="000E5948" w:rsidP="000E5948">
            <w:pPr>
              <w:spacing w:after="0" w:line="240" w:lineRule="auto"/>
              <w:jc w:val="center"/>
              <w:rPr>
                <w:rFonts w:cs="Arial"/>
                <w:bCs/>
                <w:szCs w:val="22"/>
              </w:rPr>
            </w:pPr>
            <w:r w:rsidRPr="000E5948">
              <w:rPr>
                <w:rFonts w:cs="Arial"/>
                <w:bCs/>
                <w:szCs w:val="22"/>
              </w:rPr>
              <w:t>2.9</w:t>
            </w:r>
          </w:p>
        </w:tc>
        <w:tc>
          <w:tcPr>
            <w:tcW w:w="1296" w:type="dxa"/>
          </w:tcPr>
          <w:p w14:paraId="678572D3" w14:textId="77777777" w:rsidR="000E5948" w:rsidRPr="000E5948" w:rsidRDefault="000E5948" w:rsidP="000E5948">
            <w:pPr>
              <w:spacing w:after="0" w:line="240" w:lineRule="auto"/>
              <w:jc w:val="center"/>
              <w:rPr>
                <w:rFonts w:cs="Arial"/>
                <w:bCs/>
                <w:szCs w:val="22"/>
              </w:rPr>
            </w:pPr>
            <w:r w:rsidRPr="000E5948">
              <w:rPr>
                <w:rFonts w:cs="Arial"/>
                <w:bCs/>
                <w:szCs w:val="22"/>
              </w:rPr>
              <w:t>1.6</w:t>
            </w:r>
          </w:p>
        </w:tc>
      </w:tr>
      <w:tr w:rsidR="000E5948" w:rsidRPr="005D54F4" w14:paraId="4951ADBE" w14:textId="77777777" w:rsidTr="005A38E0">
        <w:trPr>
          <w:trHeight w:val="20"/>
          <w:jc w:val="center"/>
        </w:trPr>
        <w:tc>
          <w:tcPr>
            <w:tcW w:w="0" w:type="auto"/>
            <w:shd w:val="clear" w:color="auto" w:fill="auto"/>
            <w:noWrap/>
            <w:tcMar>
              <w:left w:w="288" w:type="dxa"/>
              <w:right w:w="115" w:type="dxa"/>
            </w:tcMar>
          </w:tcPr>
          <w:p w14:paraId="740F9381" w14:textId="77777777" w:rsidR="000E5948" w:rsidRPr="000E5948" w:rsidRDefault="000E5948" w:rsidP="000E5948">
            <w:pPr>
              <w:spacing w:after="0" w:line="240" w:lineRule="auto"/>
              <w:rPr>
                <w:rFonts w:cs="Arial"/>
                <w:bCs/>
                <w:szCs w:val="22"/>
              </w:rPr>
            </w:pPr>
            <w:r w:rsidRPr="000E5948">
              <w:rPr>
                <w:rFonts w:cs="Arial"/>
                <w:bCs/>
                <w:szCs w:val="22"/>
              </w:rPr>
              <w:t>Biguanide</w:t>
            </w:r>
          </w:p>
        </w:tc>
        <w:tc>
          <w:tcPr>
            <w:tcW w:w="1500" w:type="dxa"/>
            <w:shd w:val="clear" w:color="auto" w:fill="auto"/>
            <w:noWrap/>
          </w:tcPr>
          <w:p w14:paraId="149AB6D3" w14:textId="77777777" w:rsidR="000E5948" w:rsidRPr="000E5948" w:rsidRDefault="000E5948" w:rsidP="000E5948">
            <w:pPr>
              <w:spacing w:after="0" w:line="240" w:lineRule="auto"/>
              <w:jc w:val="center"/>
              <w:rPr>
                <w:rFonts w:cs="Arial"/>
                <w:bCs/>
                <w:szCs w:val="22"/>
              </w:rPr>
            </w:pPr>
            <w:r w:rsidRPr="000E5948">
              <w:rPr>
                <w:rFonts w:cs="Arial"/>
                <w:bCs/>
                <w:szCs w:val="22"/>
              </w:rPr>
              <w:t>1.8</w:t>
            </w:r>
          </w:p>
        </w:tc>
        <w:tc>
          <w:tcPr>
            <w:tcW w:w="1296" w:type="dxa"/>
          </w:tcPr>
          <w:p w14:paraId="0E6472FB" w14:textId="77777777" w:rsidR="000E5948" w:rsidRPr="000E5948" w:rsidRDefault="000E5948" w:rsidP="000E5948">
            <w:pPr>
              <w:spacing w:after="0" w:line="240" w:lineRule="auto"/>
              <w:jc w:val="center"/>
              <w:rPr>
                <w:rFonts w:cs="Arial"/>
                <w:bCs/>
                <w:szCs w:val="22"/>
              </w:rPr>
            </w:pPr>
            <w:r w:rsidRPr="000E5948">
              <w:rPr>
                <w:rFonts w:cs="Arial"/>
                <w:bCs/>
                <w:szCs w:val="22"/>
              </w:rPr>
              <w:t>2.1</w:t>
            </w:r>
          </w:p>
        </w:tc>
        <w:tc>
          <w:tcPr>
            <w:tcW w:w="1296" w:type="dxa"/>
          </w:tcPr>
          <w:p w14:paraId="3E9BAEBF" w14:textId="77777777" w:rsidR="000E5948" w:rsidRPr="000E5948" w:rsidRDefault="000E5948" w:rsidP="000E5948">
            <w:pPr>
              <w:spacing w:after="0" w:line="240" w:lineRule="auto"/>
              <w:jc w:val="center"/>
              <w:rPr>
                <w:rFonts w:cs="Arial"/>
                <w:bCs/>
                <w:szCs w:val="22"/>
              </w:rPr>
            </w:pPr>
            <w:r w:rsidRPr="000E5948">
              <w:rPr>
                <w:rFonts w:cs="Arial"/>
                <w:bCs/>
                <w:szCs w:val="22"/>
              </w:rPr>
              <w:t>1.9</w:t>
            </w:r>
          </w:p>
        </w:tc>
        <w:tc>
          <w:tcPr>
            <w:tcW w:w="1296" w:type="dxa"/>
          </w:tcPr>
          <w:p w14:paraId="758BABA0" w14:textId="77777777" w:rsidR="000E5948" w:rsidRPr="000E5948" w:rsidRDefault="000E5948" w:rsidP="000E5948">
            <w:pPr>
              <w:spacing w:after="0" w:line="240" w:lineRule="auto"/>
              <w:jc w:val="center"/>
              <w:rPr>
                <w:rFonts w:cs="Arial"/>
                <w:szCs w:val="22"/>
              </w:rPr>
            </w:pPr>
            <w:r w:rsidRPr="000E5948">
              <w:rPr>
                <w:rFonts w:cs="Arial"/>
                <w:szCs w:val="22"/>
              </w:rPr>
              <w:t>1.9</w:t>
            </w:r>
          </w:p>
        </w:tc>
        <w:tc>
          <w:tcPr>
            <w:tcW w:w="1296" w:type="dxa"/>
          </w:tcPr>
          <w:p w14:paraId="0A441BF4" w14:textId="77777777" w:rsidR="000E5948" w:rsidRPr="000E5948" w:rsidRDefault="000E5948" w:rsidP="000E5948">
            <w:pPr>
              <w:spacing w:after="0" w:line="240" w:lineRule="auto"/>
              <w:jc w:val="center"/>
              <w:rPr>
                <w:rFonts w:cs="Arial"/>
                <w:szCs w:val="22"/>
              </w:rPr>
            </w:pPr>
            <w:r w:rsidRPr="000E5948">
              <w:rPr>
                <w:rFonts w:cs="Arial"/>
                <w:szCs w:val="22"/>
              </w:rPr>
              <w:t>1.2</w:t>
            </w:r>
          </w:p>
        </w:tc>
        <w:tc>
          <w:tcPr>
            <w:tcW w:w="1296" w:type="dxa"/>
          </w:tcPr>
          <w:p w14:paraId="71F118CF" w14:textId="77777777" w:rsidR="000E5948" w:rsidRPr="000E5948" w:rsidRDefault="000E5948" w:rsidP="000E5948">
            <w:pPr>
              <w:spacing w:after="0" w:line="240" w:lineRule="auto"/>
              <w:jc w:val="center"/>
              <w:rPr>
                <w:rFonts w:cs="Arial"/>
                <w:szCs w:val="22"/>
                <w:vertAlign w:val="superscript"/>
              </w:rPr>
            </w:pPr>
            <w:r w:rsidRPr="000E5948">
              <w:rPr>
                <w:rFonts w:cs="Arial"/>
                <w:szCs w:val="22"/>
              </w:rPr>
              <w:t>--</w:t>
            </w:r>
            <w:r w:rsidRPr="000E5948">
              <w:rPr>
                <w:rFonts w:cs="Arial"/>
                <w:szCs w:val="22"/>
                <w:vertAlign w:val="superscript"/>
              </w:rPr>
              <w:t>b</w:t>
            </w:r>
          </w:p>
        </w:tc>
      </w:tr>
      <w:tr w:rsidR="000E5948" w:rsidRPr="005D54F4" w14:paraId="0658884E" w14:textId="77777777" w:rsidTr="005A38E0">
        <w:trPr>
          <w:trHeight w:val="20"/>
          <w:jc w:val="center"/>
        </w:trPr>
        <w:tc>
          <w:tcPr>
            <w:tcW w:w="0" w:type="auto"/>
            <w:shd w:val="clear" w:color="auto" w:fill="auto"/>
            <w:noWrap/>
            <w:tcMar>
              <w:left w:w="288" w:type="dxa"/>
              <w:right w:w="115" w:type="dxa"/>
            </w:tcMar>
          </w:tcPr>
          <w:p w14:paraId="5D832544" w14:textId="77777777" w:rsidR="000E5948" w:rsidRPr="000E5948" w:rsidRDefault="000E5948" w:rsidP="000E5948">
            <w:pPr>
              <w:spacing w:after="0" w:line="240" w:lineRule="auto"/>
              <w:rPr>
                <w:rFonts w:cs="Arial"/>
                <w:bCs/>
                <w:szCs w:val="22"/>
              </w:rPr>
            </w:pPr>
            <w:r w:rsidRPr="000E5948">
              <w:rPr>
                <w:rFonts w:cs="Arial"/>
                <w:bCs/>
                <w:szCs w:val="22"/>
              </w:rPr>
              <w:t>Sulfonlyurea</w:t>
            </w:r>
          </w:p>
        </w:tc>
        <w:tc>
          <w:tcPr>
            <w:tcW w:w="1500" w:type="dxa"/>
            <w:shd w:val="clear" w:color="auto" w:fill="auto"/>
            <w:noWrap/>
          </w:tcPr>
          <w:p w14:paraId="0B399A57" w14:textId="77777777" w:rsidR="000E5948" w:rsidRPr="000E5948" w:rsidRDefault="000E5948" w:rsidP="000E5948">
            <w:pPr>
              <w:spacing w:after="0" w:line="240" w:lineRule="auto"/>
              <w:jc w:val="center"/>
              <w:rPr>
                <w:rFonts w:cs="Arial"/>
                <w:bCs/>
                <w:szCs w:val="22"/>
              </w:rPr>
            </w:pPr>
            <w:r w:rsidRPr="000E5948">
              <w:rPr>
                <w:rFonts w:cs="Arial"/>
                <w:bCs/>
                <w:szCs w:val="22"/>
              </w:rPr>
              <w:t>2.1</w:t>
            </w:r>
          </w:p>
        </w:tc>
        <w:tc>
          <w:tcPr>
            <w:tcW w:w="1296" w:type="dxa"/>
          </w:tcPr>
          <w:p w14:paraId="3BE2C004" w14:textId="77777777" w:rsidR="000E5948" w:rsidRPr="000E5948" w:rsidRDefault="000E5948" w:rsidP="000E5948">
            <w:pPr>
              <w:spacing w:after="0" w:line="240" w:lineRule="auto"/>
              <w:jc w:val="center"/>
              <w:rPr>
                <w:rFonts w:cs="Arial"/>
                <w:bCs/>
                <w:szCs w:val="22"/>
              </w:rPr>
            </w:pPr>
            <w:r w:rsidRPr="000E5948">
              <w:rPr>
                <w:rFonts w:cs="Arial"/>
                <w:bCs/>
                <w:szCs w:val="22"/>
              </w:rPr>
              <w:t>2.2</w:t>
            </w:r>
          </w:p>
        </w:tc>
        <w:tc>
          <w:tcPr>
            <w:tcW w:w="1296" w:type="dxa"/>
          </w:tcPr>
          <w:p w14:paraId="04ED2D14" w14:textId="77777777" w:rsidR="000E5948" w:rsidRPr="000E5948" w:rsidRDefault="000E5948" w:rsidP="000E5948">
            <w:pPr>
              <w:spacing w:after="0" w:line="240" w:lineRule="auto"/>
              <w:jc w:val="center"/>
              <w:rPr>
                <w:rFonts w:cs="Arial"/>
                <w:bCs/>
                <w:szCs w:val="22"/>
              </w:rPr>
            </w:pPr>
            <w:r w:rsidRPr="000E5948">
              <w:rPr>
                <w:rFonts w:cs="Arial"/>
                <w:bCs/>
                <w:szCs w:val="22"/>
              </w:rPr>
              <w:t>1.6</w:t>
            </w:r>
          </w:p>
        </w:tc>
        <w:tc>
          <w:tcPr>
            <w:tcW w:w="1296" w:type="dxa"/>
          </w:tcPr>
          <w:p w14:paraId="19E700A8" w14:textId="77777777" w:rsidR="000E5948" w:rsidRPr="000E5948" w:rsidRDefault="000E5948" w:rsidP="000E5948">
            <w:pPr>
              <w:spacing w:after="0" w:line="240" w:lineRule="auto"/>
              <w:jc w:val="center"/>
              <w:rPr>
                <w:rFonts w:cs="Arial"/>
                <w:szCs w:val="22"/>
              </w:rPr>
            </w:pPr>
            <w:r w:rsidRPr="000E5948">
              <w:rPr>
                <w:rFonts w:cs="Arial"/>
                <w:szCs w:val="22"/>
              </w:rPr>
              <w:t>2.8</w:t>
            </w:r>
          </w:p>
        </w:tc>
        <w:tc>
          <w:tcPr>
            <w:tcW w:w="1296" w:type="dxa"/>
          </w:tcPr>
          <w:p w14:paraId="4E10DCD6" w14:textId="77777777" w:rsidR="000E5948" w:rsidRPr="000E5948" w:rsidRDefault="000E5948" w:rsidP="000E5948">
            <w:pPr>
              <w:spacing w:after="0" w:line="240" w:lineRule="auto"/>
              <w:jc w:val="center"/>
              <w:rPr>
                <w:rFonts w:cs="Arial"/>
                <w:szCs w:val="22"/>
              </w:rPr>
            </w:pPr>
            <w:r w:rsidRPr="000E5948">
              <w:rPr>
                <w:rFonts w:cs="Arial"/>
                <w:szCs w:val="22"/>
              </w:rPr>
              <w:t>1.4</w:t>
            </w:r>
          </w:p>
        </w:tc>
        <w:tc>
          <w:tcPr>
            <w:tcW w:w="1296" w:type="dxa"/>
          </w:tcPr>
          <w:p w14:paraId="77F4D33B" w14:textId="77777777" w:rsidR="000E5948" w:rsidRPr="000E5948" w:rsidRDefault="000E5948" w:rsidP="000E5948">
            <w:pPr>
              <w:spacing w:after="0" w:line="240" w:lineRule="auto"/>
              <w:jc w:val="center"/>
              <w:rPr>
                <w:rFonts w:cs="Arial"/>
                <w:szCs w:val="22"/>
              </w:rPr>
            </w:pPr>
            <w:r w:rsidRPr="000E5948">
              <w:rPr>
                <w:rFonts w:cs="Arial"/>
                <w:szCs w:val="22"/>
              </w:rPr>
              <w:t>1.3</w:t>
            </w:r>
          </w:p>
        </w:tc>
      </w:tr>
      <w:tr w:rsidR="000E5948" w:rsidRPr="005D54F4" w14:paraId="2106BCDC" w14:textId="77777777" w:rsidTr="005A38E0">
        <w:trPr>
          <w:trHeight w:val="20"/>
          <w:jc w:val="center"/>
        </w:trPr>
        <w:tc>
          <w:tcPr>
            <w:tcW w:w="0" w:type="auto"/>
            <w:shd w:val="clear" w:color="auto" w:fill="auto"/>
            <w:noWrap/>
            <w:vAlign w:val="bottom"/>
          </w:tcPr>
          <w:p w14:paraId="0D71D435" w14:textId="77777777" w:rsidR="000E5948" w:rsidRPr="000E5948" w:rsidRDefault="000E5948" w:rsidP="000E5948">
            <w:pPr>
              <w:spacing w:after="0" w:line="240" w:lineRule="auto"/>
              <w:rPr>
                <w:rFonts w:cs="Arial"/>
                <w:bCs/>
                <w:szCs w:val="22"/>
              </w:rPr>
            </w:pPr>
            <w:r w:rsidRPr="000E5948">
              <w:rPr>
                <w:rFonts w:cs="Arial"/>
                <w:bCs/>
                <w:szCs w:val="22"/>
              </w:rPr>
              <w:t xml:space="preserve">Anti-dementia </w:t>
            </w:r>
          </w:p>
        </w:tc>
        <w:tc>
          <w:tcPr>
            <w:tcW w:w="1500" w:type="dxa"/>
            <w:shd w:val="clear" w:color="auto" w:fill="auto"/>
            <w:noWrap/>
          </w:tcPr>
          <w:p w14:paraId="62E6ADBF" w14:textId="77777777" w:rsidR="000E5948" w:rsidRPr="000E5948" w:rsidRDefault="000E5948" w:rsidP="000E5948">
            <w:pPr>
              <w:spacing w:after="0" w:line="240" w:lineRule="auto"/>
              <w:jc w:val="center"/>
              <w:rPr>
                <w:rFonts w:cs="Arial"/>
                <w:szCs w:val="22"/>
              </w:rPr>
            </w:pPr>
            <w:r w:rsidRPr="000E5948">
              <w:rPr>
                <w:rFonts w:cs="Arial"/>
                <w:szCs w:val="22"/>
              </w:rPr>
              <w:t>9.8</w:t>
            </w:r>
          </w:p>
        </w:tc>
        <w:tc>
          <w:tcPr>
            <w:tcW w:w="1296" w:type="dxa"/>
          </w:tcPr>
          <w:p w14:paraId="46A476F1" w14:textId="77777777" w:rsidR="000E5948" w:rsidRPr="000E5948" w:rsidRDefault="000E5948" w:rsidP="000E5948">
            <w:pPr>
              <w:spacing w:after="0" w:line="240" w:lineRule="auto"/>
              <w:jc w:val="center"/>
              <w:rPr>
                <w:rFonts w:cs="Arial"/>
                <w:bCs/>
                <w:szCs w:val="22"/>
              </w:rPr>
            </w:pPr>
            <w:r w:rsidRPr="000E5948">
              <w:rPr>
                <w:rFonts w:cs="Arial"/>
                <w:bCs/>
                <w:szCs w:val="22"/>
              </w:rPr>
              <w:t>14.7</w:t>
            </w:r>
          </w:p>
        </w:tc>
        <w:tc>
          <w:tcPr>
            <w:tcW w:w="1296" w:type="dxa"/>
          </w:tcPr>
          <w:p w14:paraId="2E73CD60" w14:textId="77777777" w:rsidR="000E5948" w:rsidRPr="000E5948" w:rsidRDefault="000E5948" w:rsidP="000E5948">
            <w:pPr>
              <w:spacing w:after="0" w:line="240" w:lineRule="auto"/>
              <w:jc w:val="center"/>
              <w:rPr>
                <w:rFonts w:cs="Arial"/>
                <w:bCs/>
                <w:szCs w:val="22"/>
              </w:rPr>
            </w:pPr>
            <w:r w:rsidRPr="000E5948">
              <w:rPr>
                <w:rFonts w:cs="Arial"/>
                <w:bCs/>
                <w:szCs w:val="22"/>
              </w:rPr>
              <w:t>3.4</w:t>
            </w:r>
          </w:p>
        </w:tc>
        <w:tc>
          <w:tcPr>
            <w:tcW w:w="1296" w:type="dxa"/>
          </w:tcPr>
          <w:p w14:paraId="2B9A9CD7" w14:textId="77777777" w:rsidR="000E5948" w:rsidRPr="000E5948" w:rsidRDefault="000E5948" w:rsidP="000E5948">
            <w:pPr>
              <w:spacing w:after="0" w:line="240" w:lineRule="auto"/>
              <w:jc w:val="center"/>
              <w:rPr>
                <w:rFonts w:cs="Arial"/>
                <w:bCs/>
                <w:szCs w:val="22"/>
              </w:rPr>
            </w:pPr>
            <w:r w:rsidRPr="000E5948">
              <w:rPr>
                <w:rFonts w:cs="Arial"/>
                <w:bCs/>
                <w:szCs w:val="22"/>
              </w:rPr>
              <w:t>5.0</w:t>
            </w:r>
          </w:p>
        </w:tc>
        <w:tc>
          <w:tcPr>
            <w:tcW w:w="1296" w:type="dxa"/>
          </w:tcPr>
          <w:p w14:paraId="657FAA16" w14:textId="77777777" w:rsidR="000E5948" w:rsidRPr="000E5948" w:rsidRDefault="000E5948" w:rsidP="000E5948">
            <w:pPr>
              <w:spacing w:after="0" w:line="240" w:lineRule="auto"/>
              <w:jc w:val="center"/>
              <w:rPr>
                <w:rFonts w:cs="Arial"/>
                <w:bCs/>
                <w:szCs w:val="22"/>
              </w:rPr>
            </w:pPr>
            <w:r w:rsidRPr="000E5948">
              <w:rPr>
                <w:rFonts w:cs="Arial"/>
                <w:bCs/>
                <w:szCs w:val="22"/>
              </w:rPr>
              <w:t>3.4</w:t>
            </w:r>
          </w:p>
        </w:tc>
        <w:tc>
          <w:tcPr>
            <w:tcW w:w="1296" w:type="dxa"/>
          </w:tcPr>
          <w:p w14:paraId="6DAD00DB" w14:textId="77777777" w:rsidR="000E5948" w:rsidRPr="000E5948" w:rsidRDefault="000E5948" w:rsidP="000E5948">
            <w:pPr>
              <w:spacing w:after="0" w:line="240" w:lineRule="auto"/>
              <w:jc w:val="center"/>
              <w:rPr>
                <w:rFonts w:cs="Arial"/>
                <w:bCs/>
                <w:szCs w:val="22"/>
              </w:rPr>
            </w:pPr>
            <w:r w:rsidRPr="000E5948">
              <w:rPr>
                <w:rFonts w:cs="Arial"/>
                <w:bCs/>
                <w:szCs w:val="22"/>
              </w:rPr>
              <w:t>2.2</w:t>
            </w:r>
          </w:p>
        </w:tc>
      </w:tr>
      <w:tr w:rsidR="000E5948" w:rsidRPr="005D54F4" w14:paraId="777E9DD5" w14:textId="77777777" w:rsidTr="005A38E0">
        <w:trPr>
          <w:trHeight w:val="20"/>
          <w:jc w:val="center"/>
        </w:trPr>
        <w:tc>
          <w:tcPr>
            <w:tcW w:w="0" w:type="auto"/>
            <w:shd w:val="clear" w:color="auto" w:fill="auto"/>
            <w:noWrap/>
            <w:vAlign w:val="bottom"/>
            <w:hideMark/>
          </w:tcPr>
          <w:p w14:paraId="1A87FB99" w14:textId="77777777" w:rsidR="000E5948" w:rsidRPr="000E5948" w:rsidRDefault="000E5948" w:rsidP="000E5948">
            <w:pPr>
              <w:spacing w:after="0" w:line="240" w:lineRule="auto"/>
              <w:rPr>
                <w:rFonts w:cs="Arial"/>
                <w:bCs/>
                <w:szCs w:val="22"/>
              </w:rPr>
            </w:pPr>
            <w:r w:rsidRPr="000E5948">
              <w:rPr>
                <w:rFonts w:cs="Arial"/>
                <w:bCs/>
                <w:szCs w:val="22"/>
              </w:rPr>
              <w:t>Anti-osteoporotic</w:t>
            </w:r>
          </w:p>
        </w:tc>
        <w:tc>
          <w:tcPr>
            <w:tcW w:w="1500" w:type="dxa"/>
            <w:shd w:val="clear" w:color="auto" w:fill="auto"/>
            <w:noWrap/>
          </w:tcPr>
          <w:p w14:paraId="6DCBCE7B" w14:textId="77777777" w:rsidR="000E5948" w:rsidRPr="000E5948" w:rsidRDefault="000E5948" w:rsidP="000E5948">
            <w:pPr>
              <w:spacing w:after="0" w:line="240" w:lineRule="auto"/>
              <w:jc w:val="center"/>
              <w:rPr>
                <w:rFonts w:cs="Arial"/>
                <w:szCs w:val="22"/>
              </w:rPr>
            </w:pPr>
            <w:r w:rsidRPr="000E5948">
              <w:rPr>
                <w:rFonts w:cs="Arial"/>
                <w:szCs w:val="22"/>
              </w:rPr>
              <w:t>1.9</w:t>
            </w:r>
          </w:p>
        </w:tc>
        <w:tc>
          <w:tcPr>
            <w:tcW w:w="1296" w:type="dxa"/>
          </w:tcPr>
          <w:p w14:paraId="3EBD43D6" w14:textId="77777777" w:rsidR="000E5948" w:rsidRPr="000E5948" w:rsidRDefault="000E5948" w:rsidP="000E5948">
            <w:pPr>
              <w:spacing w:after="0" w:line="240" w:lineRule="auto"/>
              <w:jc w:val="center"/>
              <w:rPr>
                <w:rFonts w:cs="Arial"/>
                <w:bCs/>
                <w:szCs w:val="22"/>
              </w:rPr>
            </w:pPr>
            <w:r w:rsidRPr="000E5948">
              <w:rPr>
                <w:rFonts w:cs="Arial"/>
                <w:bCs/>
                <w:szCs w:val="22"/>
              </w:rPr>
              <w:t>1.6</w:t>
            </w:r>
          </w:p>
        </w:tc>
        <w:tc>
          <w:tcPr>
            <w:tcW w:w="1296" w:type="dxa"/>
          </w:tcPr>
          <w:p w14:paraId="7DE04C05" w14:textId="77777777" w:rsidR="000E5948" w:rsidRPr="000E5948" w:rsidRDefault="000E5948" w:rsidP="000E5948">
            <w:pPr>
              <w:spacing w:after="0" w:line="240" w:lineRule="auto"/>
              <w:jc w:val="center"/>
              <w:rPr>
                <w:rFonts w:cs="Arial"/>
                <w:bCs/>
                <w:szCs w:val="22"/>
              </w:rPr>
            </w:pPr>
            <w:r w:rsidRPr="000E5948">
              <w:rPr>
                <w:rFonts w:cs="Arial"/>
                <w:bCs/>
                <w:szCs w:val="22"/>
              </w:rPr>
              <w:t>1.5</w:t>
            </w:r>
          </w:p>
        </w:tc>
        <w:tc>
          <w:tcPr>
            <w:tcW w:w="1296" w:type="dxa"/>
          </w:tcPr>
          <w:p w14:paraId="20D14F82" w14:textId="77777777" w:rsidR="000E5948" w:rsidRPr="000E5948" w:rsidRDefault="000E5948" w:rsidP="000E5948">
            <w:pPr>
              <w:spacing w:after="0" w:line="240" w:lineRule="auto"/>
              <w:jc w:val="center"/>
              <w:rPr>
                <w:rFonts w:cs="Arial"/>
                <w:bCs/>
                <w:szCs w:val="22"/>
              </w:rPr>
            </w:pPr>
            <w:r w:rsidRPr="000E5948">
              <w:rPr>
                <w:rFonts w:cs="Arial"/>
                <w:bCs/>
                <w:szCs w:val="22"/>
              </w:rPr>
              <w:t>0.9</w:t>
            </w:r>
          </w:p>
        </w:tc>
        <w:tc>
          <w:tcPr>
            <w:tcW w:w="1296" w:type="dxa"/>
          </w:tcPr>
          <w:p w14:paraId="18E3F317" w14:textId="77777777" w:rsidR="000E5948" w:rsidRPr="000E5948" w:rsidRDefault="000E5948" w:rsidP="000E5948">
            <w:pPr>
              <w:spacing w:after="0" w:line="240" w:lineRule="auto"/>
              <w:jc w:val="center"/>
              <w:rPr>
                <w:rFonts w:cs="Arial"/>
                <w:bCs/>
                <w:szCs w:val="22"/>
                <w:vertAlign w:val="superscript"/>
              </w:rPr>
            </w:pPr>
            <w:r w:rsidRPr="000E5948">
              <w:rPr>
                <w:rFonts w:cs="Arial"/>
                <w:szCs w:val="22"/>
              </w:rPr>
              <w:t>--</w:t>
            </w:r>
            <w:r w:rsidRPr="000E5948">
              <w:rPr>
                <w:rFonts w:cs="Arial"/>
                <w:szCs w:val="22"/>
                <w:vertAlign w:val="superscript"/>
              </w:rPr>
              <w:t>b</w:t>
            </w:r>
          </w:p>
        </w:tc>
        <w:tc>
          <w:tcPr>
            <w:tcW w:w="1296" w:type="dxa"/>
          </w:tcPr>
          <w:p w14:paraId="7BF16A0E" w14:textId="77777777" w:rsidR="000E5948" w:rsidRPr="000E5948" w:rsidRDefault="000E5948" w:rsidP="000E5948">
            <w:pPr>
              <w:spacing w:after="0" w:line="240" w:lineRule="auto"/>
              <w:jc w:val="center"/>
              <w:rPr>
                <w:rFonts w:cs="Arial"/>
                <w:bCs/>
                <w:szCs w:val="22"/>
                <w:vertAlign w:val="superscript"/>
              </w:rPr>
            </w:pPr>
            <w:r w:rsidRPr="000E5948">
              <w:rPr>
                <w:rFonts w:cs="Arial"/>
                <w:szCs w:val="22"/>
              </w:rPr>
              <w:t>--</w:t>
            </w:r>
            <w:r w:rsidRPr="000E5948">
              <w:rPr>
                <w:rFonts w:cs="Arial"/>
                <w:szCs w:val="22"/>
                <w:vertAlign w:val="superscript"/>
              </w:rPr>
              <w:t>b</w:t>
            </w:r>
          </w:p>
        </w:tc>
      </w:tr>
      <w:tr w:rsidR="000E5948" w:rsidRPr="005D54F4" w14:paraId="397583D2" w14:textId="77777777" w:rsidTr="005A38E0">
        <w:trPr>
          <w:trHeight w:val="20"/>
          <w:jc w:val="center"/>
        </w:trPr>
        <w:tc>
          <w:tcPr>
            <w:tcW w:w="0" w:type="auto"/>
            <w:shd w:val="clear" w:color="auto" w:fill="auto"/>
            <w:noWrap/>
            <w:vAlign w:val="bottom"/>
          </w:tcPr>
          <w:p w14:paraId="4F79F33B" w14:textId="77777777" w:rsidR="000E5948" w:rsidRPr="000E5948" w:rsidRDefault="000E5948" w:rsidP="000E5948">
            <w:pPr>
              <w:spacing w:after="0" w:line="240" w:lineRule="auto"/>
              <w:rPr>
                <w:rFonts w:cs="Arial"/>
                <w:bCs/>
                <w:szCs w:val="22"/>
              </w:rPr>
            </w:pPr>
            <w:r w:rsidRPr="000E5948">
              <w:rPr>
                <w:rFonts w:cs="Arial"/>
                <w:bCs/>
                <w:szCs w:val="22"/>
              </w:rPr>
              <w:t>Antiplatelet</w:t>
            </w:r>
          </w:p>
        </w:tc>
        <w:tc>
          <w:tcPr>
            <w:tcW w:w="1500" w:type="dxa"/>
            <w:shd w:val="clear" w:color="auto" w:fill="auto"/>
            <w:noWrap/>
          </w:tcPr>
          <w:p w14:paraId="14750C35" w14:textId="77777777" w:rsidR="000E5948" w:rsidRPr="000E5948" w:rsidRDefault="000E5948" w:rsidP="000E5948">
            <w:pPr>
              <w:spacing w:after="0" w:line="240" w:lineRule="auto"/>
              <w:jc w:val="center"/>
              <w:rPr>
                <w:rFonts w:cs="Arial"/>
                <w:bCs/>
                <w:szCs w:val="22"/>
              </w:rPr>
            </w:pPr>
            <w:r w:rsidRPr="000E5948">
              <w:rPr>
                <w:rFonts w:cs="Arial"/>
                <w:bCs/>
                <w:szCs w:val="22"/>
              </w:rPr>
              <w:t>3.9</w:t>
            </w:r>
          </w:p>
        </w:tc>
        <w:tc>
          <w:tcPr>
            <w:tcW w:w="1296" w:type="dxa"/>
          </w:tcPr>
          <w:p w14:paraId="696204B3" w14:textId="77777777" w:rsidR="000E5948" w:rsidRPr="000E5948" w:rsidRDefault="000E5948" w:rsidP="000E5948">
            <w:pPr>
              <w:spacing w:after="0" w:line="240" w:lineRule="auto"/>
              <w:jc w:val="center"/>
              <w:rPr>
                <w:rFonts w:cs="Arial"/>
                <w:bCs/>
                <w:szCs w:val="22"/>
              </w:rPr>
            </w:pPr>
            <w:r w:rsidRPr="000E5948">
              <w:rPr>
                <w:rFonts w:cs="Arial"/>
                <w:bCs/>
                <w:szCs w:val="22"/>
              </w:rPr>
              <w:t>3.3</w:t>
            </w:r>
          </w:p>
        </w:tc>
        <w:tc>
          <w:tcPr>
            <w:tcW w:w="1296" w:type="dxa"/>
          </w:tcPr>
          <w:p w14:paraId="705B30C0" w14:textId="77777777" w:rsidR="000E5948" w:rsidRPr="000E5948" w:rsidRDefault="000E5948" w:rsidP="000E5948">
            <w:pPr>
              <w:spacing w:after="0" w:line="240" w:lineRule="auto"/>
              <w:jc w:val="center"/>
              <w:rPr>
                <w:rFonts w:cs="Arial"/>
                <w:bCs/>
                <w:szCs w:val="22"/>
              </w:rPr>
            </w:pPr>
            <w:r w:rsidRPr="000E5948">
              <w:rPr>
                <w:rFonts w:cs="Arial"/>
                <w:bCs/>
                <w:szCs w:val="22"/>
              </w:rPr>
              <w:t>3.1</w:t>
            </w:r>
          </w:p>
        </w:tc>
        <w:tc>
          <w:tcPr>
            <w:tcW w:w="1296" w:type="dxa"/>
          </w:tcPr>
          <w:p w14:paraId="756A1AE6" w14:textId="77777777" w:rsidR="000E5948" w:rsidRPr="000E5948" w:rsidRDefault="000E5948" w:rsidP="000E5948">
            <w:pPr>
              <w:spacing w:after="0" w:line="240" w:lineRule="auto"/>
              <w:jc w:val="center"/>
              <w:rPr>
                <w:rFonts w:cs="Arial"/>
                <w:bCs/>
                <w:szCs w:val="22"/>
              </w:rPr>
            </w:pPr>
            <w:r w:rsidRPr="000E5948">
              <w:rPr>
                <w:rFonts w:cs="Arial"/>
                <w:bCs/>
                <w:szCs w:val="22"/>
              </w:rPr>
              <w:t>5.0</w:t>
            </w:r>
          </w:p>
        </w:tc>
        <w:tc>
          <w:tcPr>
            <w:tcW w:w="1296" w:type="dxa"/>
          </w:tcPr>
          <w:p w14:paraId="0296F227" w14:textId="77777777" w:rsidR="000E5948" w:rsidRPr="000E5948" w:rsidRDefault="000E5948" w:rsidP="000E5948">
            <w:pPr>
              <w:spacing w:after="0" w:line="240" w:lineRule="auto"/>
              <w:jc w:val="center"/>
              <w:rPr>
                <w:rFonts w:cs="Arial"/>
                <w:bCs/>
                <w:szCs w:val="22"/>
              </w:rPr>
            </w:pPr>
            <w:r w:rsidRPr="000E5948">
              <w:rPr>
                <w:rFonts w:cs="Arial"/>
                <w:bCs/>
                <w:szCs w:val="22"/>
              </w:rPr>
              <w:t>3.8</w:t>
            </w:r>
          </w:p>
        </w:tc>
        <w:tc>
          <w:tcPr>
            <w:tcW w:w="1296" w:type="dxa"/>
          </w:tcPr>
          <w:p w14:paraId="73D47ABC" w14:textId="77777777" w:rsidR="000E5948" w:rsidRPr="000E5948" w:rsidRDefault="000E5948" w:rsidP="000E5948">
            <w:pPr>
              <w:spacing w:after="0" w:line="240" w:lineRule="auto"/>
              <w:jc w:val="center"/>
              <w:rPr>
                <w:rFonts w:cs="Arial"/>
                <w:bCs/>
                <w:szCs w:val="22"/>
              </w:rPr>
            </w:pPr>
            <w:r w:rsidRPr="000E5948">
              <w:rPr>
                <w:rFonts w:cs="Arial"/>
                <w:bCs/>
                <w:szCs w:val="22"/>
              </w:rPr>
              <w:t>1.8</w:t>
            </w:r>
          </w:p>
        </w:tc>
      </w:tr>
      <w:tr w:rsidR="000E5948" w:rsidRPr="005D54F4" w14:paraId="3ECB1AE3" w14:textId="77777777" w:rsidTr="005A38E0">
        <w:trPr>
          <w:trHeight w:val="20"/>
          <w:jc w:val="center"/>
        </w:trPr>
        <w:tc>
          <w:tcPr>
            <w:tcW w:w="0" w:type="auto"/>
            <w:shd w:val="clear" w:color="auto" w:fill="auto"/>
            <w:noWrap/>
            <w:vAlign w:val="bottom"/>
            <w:hideMark/>
          </w:tcPr>
          <w:p w14:paraId="6C4EF411" w14:textId="77777777" w:rsidR="000E5948" w:rsidRPr="000E5948" w:rsidRDefault="000E5948" w:rsidP="000E5948">
            <w:pPr>
              <w:spacing w:after="0" w:line="240" w:lineRule="auto"/>
              <w:rPr>
                <w:rFonts w:cs="Arial"/>
                <w:bCs/>
                <w:szCs w:val="22"/>
              </w:rPr>
            </w:pPr>
            <w:r w:rsidRPr="000E5948">
              <w:rPr>
                <w:rFonts w:cs="Arial"/>
                <w:bCs/>
                <w:szCs w:val="22"/>
              </w:rPr>
              <w:t>Opioid analgesic</w:t>
            </w:r>
          </w:p>
        </w:tc>
        <w:tc>
          <w:tcPr>
            <w:tcW w:w="1500" w:type="dxa"/>
            <w:shd w:val="clear" w:color="auto" w:fill="auto"/>
            <w:noWrap/>
          </w:tcPr>
          <w:p w14:paraId="2BF615C8" w14:textId="77777777" w:rsidR="000E5948" w:rsidRPr="000E5948" w:rsidRDefault="000E5948" w:rsidP="000E5948">
            <w:pPr>
              <w:spacing w:after="0" w:line="240" w:lineRule="auto"/>
              <w:jc w:val="center"/>
              <w:rPr>
                <w:rFonts w:cs="Arial"/>
                <w:szCs w:val="22"/>
              </w:rPr>
            </w:pPr>
            <w:r w:rsidRPr="000E5948">
              <w:rPr>
                <w:rFonts w:cs="Arial"/>
                <w:szCs w:val="22"/>
              </w:rPr>
              <w:t>21.8</w:t>
            </w:r>
          </w:p>
        </w:tc>
        <w:tc>
          <w:tcPr>
            <w:tcW w:w="1296" w:type="dxa"/>
          </w:tcPr>
          <w:p w14:paraId="1AAE58D3" w14:textId="77777777" w:rsidR="000E5948" w:rsidRPr="000E5948" w:rsidRDefault="000E5948" w:rsidP="000E5948">
            <w:pPr>
              <w:spacing w:after="0" w:line="240" w:lineRule="auto"/>
              <w:jc w:val="center"/>
              <w:rPr>
                <w:rFonts w:cs="Arial"/>
                <w:szCs w:val="22"/>
              </w:rPr>
            </w:pPr>
            <w:r w:rsidRPr="000E5948">
              <w:rPr>
                <w:rFonts w:cs="Arial"/>
                <w:szCs w:val="22"/>
              </w:rPr>
              <w:t>18.6</w:t>
            </w:r>
          </w:p>
        </w:tc>
        <w:tc>
          <w:tcPr>
            <w:tcW w:w="1296" w:type="dxa"/>
          </w:tcPr>
          <w:p w14:paraId="2D924EDA" w14:textId="77777777" w:rsidR="000E5948" w:rsidRPr="000E5948" w:rsidRDefault="000E5948" w:rsidP="000E5948">
            <w:pPr>
              <w:spacing w:after="0" w:line="240" w:lineRule="auto"/>
              <w:jc w:val="center"/>
              <w:rPr>
                <w:rFonts w:cs="Arial"/>
                <w:szCs w:val="22"/>
              </w:rPr>
            </w:pPr>
            <w:r w:rsidRPr="000E5948">
              <w:rPr>
                <w:rFonts w:cs="Arial"/>
                <w:szCs w:val="22"/>
              </w:rPr>
              <w:t>12.8</w:t>
            </w:r>
          </w:p>
        </w:tc>
        <w:tc>
          <w:tcPr>
            <w:tcW w:w="1296" w:type="dxa"/>
          </w:tcPr>
          <w:p w14:paraId="60E7BD83" w14:textId="77777777" w:rsidR="000E5948" w:rsidRPr="000E5948" w:rsidRDefault="000E5948" w:rsidP="000E5948">
            <w:pPr>
              <w:spacing w:after="0" w:line="240" w:lineRule="auto"/>
              <w:jc w:val="center"/>
              <w:rPr>
                <w:rFonts w:cs="Arial"/>
                <w:szCs w:val="22"/>
              </w:rPr>
            </w:pPr>
            <w:r w:rsidRPr="000E5948">
              <w:rPr>
                <w:rFonts w:cs="Arial"/>
                <w:szCs w:val="22"/>
              </w:rPr>
              <w:t>15.2</w:t>
            </w:r>
          </w:p>
        </w:tc>
        <w:tc>
          <w:tcPr>
            <w:tcW w:w="1296" w:type="dxa"/>
          </w:tcPr>
          <w:p w14:paraId="355E2CE6" w14:textId="77777777" w:rsidR="000E5948" w:rsidRPr="000E5948" w:rsidRDefault="000E5948" w:rsidP="000E5948">
            <w:pPr>
              <w:spacing w:after="0" w:line="240" w:lineRule="auto"/>
              <w:jc w:val="center"/>
              <w:rPr>
                <w:rFonts w:cs="Arial"/>
                <w:szCs w:val="22"/>
              </w:rPr>
            </w:pPr>
            <w:r w:rsidRPr="000E5948">
              <w:rPr>
                <w:rFonts w:cs="Arial"/>
                <w:szCs w:val="22"/>
              </w:rPr>
              <w:t>10.8</w:t>
            </w:r>
          </w:p>
        </w:tc>
        <w:tc>
          <w:tcPr>
            <w:tcW w:w="1296" w:type="dxa"/>
          </w:tcPr>
          <w:p w14:paraId="78ED3304" w14:textId="77777777" w:rsidR="000E5948" w:rsidRPr="000E5948" w:rsidRDefault="000E5948" w:rsidP="000E5948">
            <w:pPr>
              <w:spacing w:after="0" w:line="240" w:lineRule="auto"/>
              <w:jc w:val="center"/>
              <w:rPr>
                <w:rFonts w:cs="Arial"/>
                <w:szCs w:val="22"/>
              </w:rPr>
            </w:pPr>
            <w:r w:rsidRPr="000E5948">
              <w:rPr>
                <w:rFonts w:cs="Arial"/>
                <w:szCs w:val="22"/>
              </w:rPr>
              <w:t>12.0</w:t>
            </w:r>
          </w:p>
        </w:tc>
      </w:tr>
      <w:tr w:rsidR="000E5948" w:rsidRPr="005D54F4" w14:paraId="43EE497E" w14:textId="77777777" w:rsidTr="005A38E0">
        <w:trPr>
          <w:trHeight w:val="20"/>
          <w:jc w:val="center"/>
        </w:trPr>
        <w:tc>
          <w:tcPr>
            <w:tcW w:w="0" w:type="auto"/>
            <w:shd w:val="clear" w:color="auto" w:fill="auto"/>
            <w:noWrap/>
            <w:vAlign w:val="bottom"/>
            <w:hideMark/>
          </w:tcPr>
          <w:p w14:paraId="10D348D0" w14:textId="77777777" w:rsidR="000E5948" w:rsidRPr="000E5948" w:rsidRDefault="000E5948" w:rsidP="000E5948">
            <w:pPr>
              <w:spacing w:after="0" w:line="240" w:lineRule="auto"/>
              <w:rPr>
                <w:rFonts w:cs="Arial"/>
                <w:bCs/>
                <w:szCs w:val="22"/>
              </w:rPr>
            </w:pPr>
            <w:r w:rsidRPr="000E5948">
              <w:rPr>
                <w:rFonts w:cs="Arial"/>
                <w:bCs/>
                <w:szCs w:val="22"/>
              </w:rPr>
              <w:t>Proton pump inhibitor</w:t>
            </w:r>
          </w:p>
        </w:tc>
        <w:tc>
          <w:tcPr>
            <w:tcW w:w="1500" w:type="dxa"/>
            <w:shd w:val="clear" w:color="auto" w:fill="auto"/>
            <w:noWrap/>
          </w:tcPr>
          <w:p w14:paraId="149D1EF1" w14:textId="77777777" w:rsidR="000E5948" w:rsidRPr="000E5948" w:rsidRDefault="000E5948" w:rsidP="000E5948">
            <w:pPr>
              <w:spacing w:after="0" w:line="240" w:lineRule="auto"/>
              <w:jc w:val="center"/>
              <w:rPr>
                <w:rFonts w:cs="Arial"/>
                <w:szCs w:val="22"/>
              </w:rPr>
            </w:pPr>
            <w:r w:rsidRPr="000E5948">
              <w:rPr>
                <w:rFonts w:cs="Arial"/>
                <w:szCs w:val="22"/>
              </w:rPr>
              <w:t>13.5</w:t>
            </w:r>
          </w:p>
        </w:tc>
        <w:tc>
          <w:tcPr>
            <w:tcW w:w="1296" w:type="dxa"/>
          </w:tcPr>
          <w:p w14:paraId="6AB8D30C" w14:textId="77777777" w:rsidR="000E5948" w:rsidRPr="000E5948" w:rsidRDefault="000E5948" w:rsidP="000E5948">
            <w:pPr>
              <w:spacing w:after="0" w:line="240" w:lineRule="auto"/>
              <w:jc w:val="center"/>
              <w:rPr>
                <w:rFonts w:cs="Arial"/>
                <w:szCs w:val="22"/>
              </w:rPr>
            </w:pPr>
            <w:r w:rsidRPr="000E5948">
              <w:rPr>
                <w:rFonts w:cs="Arial"/>
                <w:szCs w:val="22"/>
              </w:rPr>
              <w:t>10.3</w:t>
            </w:r>
          </w:p>
        </w:tc>
        <w:tc>
          <w:tcPr>
            <w:tcW w:w="1296" w:type="dxa"/>
          </w:tcPr>
          <w:p w14:paraId="4F8568D9" w14:textId="77777777" w:rsidR="000E5948" w:rsidRPr="000E5948" w:rsidRDefault="000E5948" w:rsidP="000E5948">
            <w:pPr>
              <w:spacing w:after="0" w:line="240" w:lineRule="auto"/>
              <w:jc w:val="center"/>
              <w:rPr>
                <w:rFonts w:cs="Arial"/>
                <w:szCs w:val="22"/>
              </w:rPr>
            </w:pPr>
            <w:r w:rsidRPr="000E5948">
              <w:rPr>
                <w:rFonts w:cs="Arial"/>
                <w:szCs w:val="22"/>
              </w:rPr>
              <w:t>12.2</w:t>
            </w:r>
          </w:p>
        </w:tc>
        <w:tc>
          <w:tcPr>
            <w:tcW w:w="1296" w:type="dxa"/>
          </w:tcPr>
          <w:p w14:paraId="4C141F7A" w14:textId="77777777" w:rsidR="000E5948" w:rsidRPr="000E5948" w:rsidRDefault="000E5948" w:rsidP="000E5948">
            <w:pPr>
              <w:spacing w:after="0" w:line="240" w:lineRule="auto"/>
              <w:jc w:val="center"/>
              <w:rPr>
                <w:rFonts w:cs="Arial"/>
                <w:szCs w:val="22"/>
              </w:rPr>
            </w:pPr>
            <w:r w:rsidRPr="000E5948">
              <w:rPr>
                <w:rFonts w:cs="Arial"/>
                <w:szCs w:val="22"/>
              </w:rPr>
              <w:t>13.3</w:t>
            </w:r>
          </w:p>
        </w:tc>
        <w:tc>
          <w:tcPr>
            <w:tcW w:w="1296" w:type="dxa"/>
          </w:tcPr>
          <w:p w14:paraId="3B087292" w14:textId="77777777" w:rsidR="000E5948" w:rsidRPr="000E5948" w:rsidRDefault="000E5948" w:rsidP="000E5948">
            <w:pPr>
              <w:spacing w:after="0" w:line="240" w:lineRule="auto"/>
              <w:jc w:val="center"/>
              <w:rPr>
                <w:rFonts w:cs="Arial"/>
                <w:szCs w:val="22"/>
              </w:rPr>
            </w:pPr>
            <w:r w:rsidRPr="000E5948">
              <w:rPr>
                <w:rFonts w:cs="Arial"/>
                <w:szCs w:val="22"/>
              </w:rPr>
              <w:t>6.3</w:t>
            </w:r>
          </w:p>
        </w:tc>
        <w:tc>
          <w:tcPr>
            <w:tcW w:w="1296" w:type="dxa"/>
          </w:tcPr>
          <w:p w14:paraId="4E20306B" w14:textId="77777777" w:rsidR="000E5948" w:rsidRPr="000E5948" w:rsidRDefault="000E5948" w:rsidP="000E5948">
            <w:pPr>
              <w:spacing w:after="0" w:line="240" w:lineRule="auto"/>
              <w:jc w:val="center"/>
              <w:rPr>
                <w:rFonts w:cs="Arial"/>
                <w:szCs w:val="22"/>
              </w:rPr>
            </w:pPr>
            <w:r w:rsidRPr="000E5948">
              <w:rPr>
                <w:rFonts w:cs="Arial"/>
                <w:szCs w:val="22"/>
              </w:rPr>
              <w:t>7.5</w:t>
            </w:r>
          </w:p>
        </w:tc>
      </w:tr>
      <w:tr w:rsidR="000E5948" w:rsidRPr="005D54F4" w14:paraId="5359EFC0" w14:textId="77777777" w:rsidTr="005A38E0">
        <w:trPr>
          <w:trHeight w:val="20"/>
          <w:jc w:val="center"/>
        </w:trPr>
        <w:tc>
          <w:tcPr>
            <w:tcW w:w="0" w:type="auto"/>
            <w:shd w:val="clear" w:color="auto" w:fill="FFFFFF" w:themeFill="background1"/>
            <w:noWrap/>
            <w:vAlign w:val="bottom"/>
            <w:hideMark/>
          </w:tcPr>
          <w:p w14:paraId="278651B3" w14:textId="77777777" w:rsidR="000E5948" w:rsidRPr="000E5948" w:rsidRDefault="000E5948" w:rsidP="000E5948">
            <w:pPr>
              <w:spacing w:after="0" w:line="240" w:lineRule="auto"/>
              <w:rPr>
                <w:rFonts w:cs="Arial"/>
                <w:bCs/>
                <w:szCs w:val="22"/>
              </w:rPr>
            </w:pPr>
            <w:r w:rsidRPr="000E5948">
              <w:rPr>
                <w:rFonts w:cs="Arial"/>
                <w:bCs/>
                <w:szCs w:val="22"/>
              </w:rPr>
              <w:t>Any Part D Medication</w:t>
            </w:r>
          </w:p>
        </w:tc>
        <w:tc>
          <w:tcPr>
            <w:tcW w:w="1500" w:type="dxa"/>
            <w:shd w:val="clear" w:color="auto" w:fill="FFFFFF" w:themeFill="background1"/>
            <w:noWrap/>
          </w:tcPr>
          <w:p w14:paraId="66F8FB38" w14:textId="77777777" w:rsidR="000E5948" w:rsidRPr="000E5948" w:rsidRDefault="000E5948" w:rsidP="000E5948">
            <w:pPr>
              <w:spacing w:after="0" w:line="240" w:lineRule="auto"/>
              <w:jc w:val="center"/>
              <w:rPr>
                <w:rFonts w:cs="Arial"/>
                <w:bCs/>
                <w:szCs w:val="22"/>
              </w:rPr>
            </w:pPr>
            <w:r w:rsidRPr="000E5948">
              <w:rPr>
                <w:rFonts w:cs="Arial"/>
                <w:bCs/>
                <w:szCs w:val="22"/>
              </w:rPr>
              <w:t>63.5</w:t>
            </w:r>
          </w:p>
        </w:tc>
        <w:tc>
          <w:tcPr>
            <w:tcW w:w="1296" w:type="dxa"/>
            <w:shd w:val="clear" w:color="auto" w:fill="FFFFFF" w:themeFill="background1"/>
          </w:tcPr>
          <w:p w14:paraId="78CA8036" w14:textId="77777777" w:rsidR="000E5948" w:rsidRPr="000E5948" w:rsidRDefault="000E5948" w:rsidP="000E5948">
            <w:pPr>
              <w:spacing w:after="0" w:line="240" w:lineRule="auto"/>
              <w:jc w:val="center"/>
              <w:rPr>
                <w:rFonts w:cs="Arial"/>
                <w:bCs/>
                <w:szCs w:val="22"/>
              </w:rPr>
            </w:pPr>
            <w:r w:rsidRPr="000E5948">
              <w:rPr>
                <w:rFonts w:cs="Arial"/>
                <w:bCs/>
                <w:szCs w:val="22"/>
              </w:rPr>
              <w:t>61.5</w:t>
            </w:r>
          </w:p>
        </w:tc>
        <w:tc>
          <w:tcPr>
            <w:tcW w:w="1296" w:type="dxa"/>
            <w:shd w:val="clear" w:color="auto" w:fill="FFFFFF" w:themeFill="background1"/>
          </w:tcPr>
          <w:p w14:paraId="0BA594E7" w14:textId="77777777" w:rsidR="000E5948" w:rsidRPr="000E5948" w:rsidRDefault="000E5948" w:rsidP="000E5948">
            <w:pPr>
              <w:spacing w:after="0" w:line="240" w:lineRule="auto"/>
              <w:jc w:val="center"/>
              <w:rPr>
                <w:rFonts w:cs="Arial"/>
                <w:bCs/>
                <w:szCs w:val="22"/>
              </w:rPr>
            </w:pPr>
            <w:r w:rsidRPr="000E5948">
              <w:rPr>
                <w:rFonts w:cs="Arial"/>
                <w:bCs/>
                <w:szCs w:val="22"/>
              </w:rPr>
              <w:t>48.3</w:t>
            </w:r>
          </w:p>
        </w:tc>
        <w:tc>
          <w:tcPr>
            <w:tcW w:w="1296" w:type="dxa"/>
            <w:shd w:val="clear" w:color="auto" w:fill="FFFFFF" w:themeFill="background1"/>
          </w:tcPr>
          <w:p w14:paraId="6A4E0A01" w14:textId="77777777" w:rsidR="000E5948" w:rsidRPr="000E5948" w:rsidRDefault="000E5948" w:rsidP="000E5948">
            <w:pPr>
              <w:spacing w:after="0" w:line="240" w:lineRule="auto"/>
              <w:jc w:val="center"/>
              <w:rPr>
                <w:rFonts w:cs="Arial"/>
                <w:bCs/>
                <w:szCs w:val="22"/>
              </w:rPr>
            </w:pPr>
            <w:r w:rsidRPr="000E5948">
              <w:rPr>
                <w:rFonts w:cs="Arial"/>
                <w:bCs/>
                <w:szCs w:val="22"/>
              </w:rPr>
              <w:t>54.7</w:t>
            </w:r>
          </w:p>
        </w:tc>
        <w:tc>
          <w:tcPr>
            <w:tcW w:w="1296" w:type="dxa"/>
            <w:shd w:val="clear" w:color="auto" w:fill="FFFFFF" w:themeFill="background1"/>
          </w:tcPr>
          <w:p w14:paraId="4EE2A905" w14:textId="77777777" w:rsidR="000E5948" w:rsidRPr="000E5948" w:rsidRDefault="000E5948" w:rsidP="000E5948">
            <w:pPr>
              <w:spacing w:after="0" w:line="240" w:lineRule="auto"/>
              <w:jc w:val="center"/>
              <w:rPr>
                <w:rFonts w:cs="Arial"/>
                <w:bCs/>
                <w:szCs w:val="22"/>
              </w:rPr>
            </w:pPr>
            <w:r w:rsidRPr="000E5948">
              <w:rPr>
                <w:rFonts w:cs="Arial"/>
                <w:bCs/>
                <w:szCs w:val="22"/>
              </w:rPr>
              <w:t>35.4</w:t>
            </w:r>
          </w:p>
        </w:tc>
        <w:tc>
          <w:tcPr>
            <w:tcW w:w="1296" w:type="dxa"/>
            <w:shd w:val="clear" w:color="auto" w:fill="FFFFFF" w:themeFill="background1"/>
          </w:tcPr>
          <w:p w14:paraId="687B0ACB" w14:textId="77777777" w:rsidR="000E5948" w:rsidRPr="000E5948" w:rsidRDefault="000E5948" w:rsidP="000E5948">
            <w:pPr>
              <w:spacing w:after="0" w:line="240" w:lineRule="auto"/>
              <w:jc w:val="center"/>
              <w:rPr>
                <w:rFonts w:cs="Arial"/>
                <w:bCs/>
                <w:szCs w:val="22"/>
              </w:rPr>
            </w:pPr>
            <w:r w:rsidRPr="000E5948">
              <w:rPr>
                <w:rFonts w:cs="Arial"/>
                <w:bCs/>
                <w:szCs w:val="22"/>
              </w:rPr>
              <w:t>36.0</w:t>
            </w:r>
          </w:p>
        </w:tc>
      </w:tr>
    </w:tbl>
    <w:p w14:paraId="66E9269B" w14:textId="77777777" w:rsidR="000E5948" w:rsidRDefault="000E5948" w:rsidP="00BF607E">
      <w:pPr>
        <w:spacing w:after="0" w:line="240" w:lineRule="auto"/>
        <w:ind w:left="864"/>
        <w:rPr>
          <w:sz w:val="20"/>
        </w:rPr>
      </w:pPr>
      <w:r w:rsidRPr="000E5948">
        <w:rPr>
          <w:sz w:val="20"/>
        </w:rPr>
        <w:t>AFT: adult failure to thrive; ACE: angiotensin-converting enzyme; ARB: angiotensin receptor blocker; DHP: dihydropyridine</w:t>
      </w:r>
    </w:p>
    <w:p w14:paraId="3DC3AE75" w14:textId="77777777" w:rsidR="000E5948" w:rsidRPr="000E5948" w:rsidRDefault="000E5948" w:rsidP="00BF607E">
      <w:pPr>
        <w:spacing w:after="0" w:line="240" w:lineRule="auto"/>
        <w:ind w:left="864"/>
        <w:rPr>
          <w:bCs/>
          <w:color w:val="222222"/>
          <w:sz w:val="20"/>
          <w:shd w:val="clear" w:color="auto" w:fill="FFFFFF"/>
        </w:rPr>
      </w:pPr>
    </w:p>
    <w:p w14:paraId="17088E61" w14:textId="3B131ADA" w:rsidR="000E5948" w:rsidRPr="00C35635" w:rsidRDefault="000E5948" w:rsidP="003570FF">
      <w:pPr>
        <w:spacing w:after="0" w:line="240" w:lineRule="auto"/>
        <w:ind w:left="864"/>
        <w:rPr>
          <w:sz w:val="20"/>
        </w:rPr>
      </w:pPr>
      <w:r w:rsidRPr="000E5948">
        <w:rPr>
          <w:sz w:val="20"/>
          <w:vertAlign w:val="superscript"/>
        </w:rPr>
        <w:t>a</w:t>
      </w:r>
      <w:r w:rsidRPr="000E5948">
        <w:rPr>
          <w:sz w:val="20"/>
        </w:rPr>
        <w:t xml:space="preserve">Only selected drug classes shown within therapeutic classes; results by therapeutic class include all associated drug classes </w:t>
      </w:r>
      <w:r w:rsidR="00932419">
        <w:rPr>
          <w:sz w:val="20"/>
        </w:rPr>
        <w:tab/>
        <w:t xml:space="preserve">    </w:t>
      </w:r>
      <w:r w:rsidRPr="000E5948">
        <w:rPr>
          <w:sz w:val="20"/>
        </w:rPr>
        <w:t xml:space="preserve">shown in </w:t>
      </w:r>
      <w:r>
        <w:rPr>
          <w:b/>
          <w:sz w:val="20"/>
        </w:rPr>
        <w:t xml:space="preserve">TABLE </w:t>
      </w:r>
      <w:r w:rsidR="00C35635">
        <w:rPr>
          <w:b/>
          <w:sz w:val="20"/>
        </w:rPr>
        <w:t>I</w:t>
      </w:r>
      <w:r>
        <w:rPr>
          <w:b/>
          <w:sz w:val="20"/>
        </w:rPr>
        <w:t>V</w:t>
      </w:r>
      <w:r w:rsidR="00C35635">
        <w:rPr>
          <w:sz w:val="20"/>
        </w:rPr>
        <w:t>.</w:t>
      </w:r>
    </w:p>
    <w:p w14:paraId="01905295" w14:textId="77777777" w:rsidR="003570FF" w:rsidRPr="000E5948" w:rsidRDefault="003570FF" w:rsidP="003570FF">
      <w:pPr>
        <w:spacing w:after="0" w:line="240" w:lineRule="auto"/>
        <w:ind w:left="864"/>
        <w:rPr>
          <w:sz w:val="20"/>
        </w:rPr>
      </w:pPr>
    </w:p>
    <w:p w14:paraId="550385C9" w14:textId="66F9EDBE" w:rsidR="003570FF" w:rsidRDefault="000E5948" w:rsidP="00BF607E">
      <w:pPr>
        <w:spacing w:after="0" w:line="240" w:lineRule="auto"/>
        <w:ind w:left="864"/>
        <w:rPr>
          <w:sz w:val="20"/>
        </w:rPr>
        <w:sectPr w:rsidR="003570FF" w:rsidSect="000E5948">
          <w:pgSz w:w="15840" w:h="12240" w:orient="landscape" w:code="1"/>
          <w:pgMar w:top="1440" w:right="1440" w:bottom="1440" w:left="1440" w:header="720" w:footer="432" w:gutter="0"/>
          <w:cols w:space="720"/>
          <w:docGrid w:linePitch="360"/>
        </w:sectPr>
      </w:pPr>
      <w:r w:rsidRPr="000E5948">
        <w:rPr>
          <w:sz w:val="20"/>
          <w:vertAlign w:val="superscript"/>
        </w:rPr>
        <w:t>b</w:t>
      </w:r>
      <w:r w:rsidRPr="000E5948">
        <w:rPr>
          <w:sz w:val="20"/>
        </w:rPr>
        <w:t xml:space="preserve">Cell value that allows derivation of patient counts below pre-specified threshold (directly or indirectly from remaining row/column </w:t>
      </w:r>
      <w:r w:rsidR="00932419">
        <w:rPr>
          <w:sz w:val="20"/>
        </w:rPr>
        <w:t xml:space="preserve"> </w:t>
      </w:r>
      <w:r w:rsidRPr="000E5948">
        <w:rPr>
          <w:sz w:val="20"/>
        </w:rPr>
        <w:t>values) cannot be disclosed to preserve patient confidentiality per SEE</w:t>
      </w:r>
      <w:r w:rsidR="00D34A21">
        <w:rPr>
          <w:sz w:val="20"/>
        </w:rPr>
        <w:t>R-Medicare Data user agreement</w:t>
      </w:r>
      <w:r w:rsidR="00C35635">
        <w:rPr>
          <w:sz w:val="20"/>
        </w:rPr>
        <w:t>.</w:t>
      </w:r>
    </w:p>
    <w:p w14:paraId="7B78A6F2" w14:textId="7281F40F" w:rsidR="00FC7B75" w:rsidRDefault="00FC7B75" w:rsidP="003570FF">
      <w:pPr>
        <w:ind w:firstLine="720"/>
        <w:rPr>
          <w:rFonts w:cs="Arial"/>
          <w:szCs w:val="22"/>
        </w:rPr>
      </w:pPr>
      <w:r w:rsidRPr="00725D15">
        <w:rPr>
          <w:rFonts w:cs="Arial"/>
          <w:szCs w:val="22"/>
        </w:rPr>
        <w:lastRenderedPageBreak/>
        <w:t>We observed little variation by year of hospice admission in the prevalence of Part D dispensing for the preventative drug and therapeutic classes assessed (</w:t>
      </w:r>
      <w:r w:rsidR="003570FF">
        <w:rPr>
          <w:rFonts w:cs="Arial"/>
          <w:b/>
          <w:szCs w:val="22"/>
        </w:rPr>
        <w:t>FIGURE 3</w:t>
      </w:r>
      <w:r w:rsidRPr="00725D15">
        <w:rPr>
          <w:rFonts w:cs="Arial"/>
          <w:szCs w:val="22"/>
        </w:rPr>
        <w:t>). However, the proportion of hospice patients receiving opioid analgesics through Part D decreased from 19.8% to 13.7% in those admitted for cancer and from 22.9% to 13.7% in those admitted for non-cancer causes between 2008 and 2012.</w:t>
      </w:r>
    </w:p>
    <w:p w14:paraId="606AD1A5" w14:textId="77777777" w:rsidR="00180648" w:rsidRDefault="00180648" w:rsidP="003570FF">
      <w:pPr>
        <w:ind w:firstLine="720"/>
        <w:rPr>
          <w:rFonts w:cs="Arial"/>
          <w:szCs w:val="22"/>
        </w:rPr>
      </w:pPr>
    </w:p>
    <w:p w14:paraId="7CF98A11" w14:textId="77777777" w:rsidR="00180648" w:rsidRDefault="00180648" w:rsidP="003570FF">
      <w:pPr>
        <w:ind w:firstLine="720"/>
        <w:rPr>
          <w:rFonts w:cs="Arial"/>
          <w:szCs w:val="22"/>
        </w:rPr>
      </w:pPr>
    </w:p>
    <w:p w14:paraId="0C32BA4C" w14:textId="77777777" w:rsidR="00180648" w:rsidRDefault="00180648" w:rsidP="003570FF">
      <w:pPr>
        <w:ind w:firstLine="720"/>
        <w:rPr>
          <w:rFonts w:cs="Arial"/>
          <w:szCs w:val="22"/>
        </w:rPr>
      </w:pPr>
    </w:p>
    <w:p w14:paraId="11219C80" w14:textId="77777777" w:rsidR="00180648" w:rsidRDefault="00180648" w:rsidP="003570FF">
      <w:pPr>
        <w:ind w:firstLine="720"/>
        <w:rPr>
          <w:rFonts w:cs="Arial"/>
          <w:szCs w:val="22"/>
        </w:rPr>
      </w:pPr>
    </w:p>
    <w:p w14:paraId="517D9864" w14:textId="77777777" w:rsidR="00180648" w:rsidRDefault="00180648" w:rsidP="003570FF">
      <w:pPr>
        <w:ind w:firstLine="720"/>
        <w:rPr>
          <w:rFonts w:cs="Arial"/>
          <w:szCs w:val="22"/>
        </w:rPr>
      </w:pPr>
    </w:p>
    <w:p w14:paraId="5A4C0F84" w14:textId="77777777" w:rsidR="00180648" w:rsidRDefault="00180648" w:rsidP="003570FF">
      <w:pPr>
        <w:ind w:firstLine="720"/>
        <w:rPr>
          <w:rFonts w:cs="Arial"/>
          <w:szCs w:val="22"/>
        </w:rPr>
      </w:pPr>
    </w:p>
    <w:p w14:paraId="32FC16F7" w14:textId="77777777" w:rsidR="00180648" w:rsidRDefault="00180648" w:rsidP="003570FF">
      <w:pPr>
        <w:ind w:firstLine="720"/>
        <w:rPr>
          <w:rFonts w:cs="Arial"/>
          <w:szCs w:val="22"/>
        </w:rPr>
      </w:pPr>
    </w:p>
    <w:p w14:paraId="0C09DDAC" w14:textId="77777777" w:rsidR="00180648" w:rsidRDefault="00180648" w:rsidP="003570FF">
      <w:pPr>
        <w:ind w:firstLine="720"/>
        <w:rPr>
          <w:rFonts w:cs="Arial"/>
          <w:szCs w:val="22"/>
        </w:rPr>
      </w:pPr>
    </w:p>
    <w:p w14:paraId="7189BE16" w14:textId="77777777" w:rsidR="00180648" w:rsidRDefault="00180648" w:rsidP="003570FF">
      <w:pPr>
        <w:ind w:firstLine="720"/>
        <w:rPr>
          <w:rFonts w:cs="Arial"/>
          <w:szCs w:val="22"/>
        </w:rPr>
      </w:pPr>
    </w:p>
    <w:p w14:paraId="4C4E5172" w14:textId="77777777" w:rsidR="00180648" w:rsidRDefault="00180648" w:rsidP="003570FF">
      <w:pPr>
        <w:ind w:firstLine="720"/>
        <w:rPr>
          <w:rFonts w:cs="Arial"/>
          <w:szCs w:val="22"/>
        </w:rPr>
      </w:pPr>
    </w:p>
    <w:p w14:paraId="73975B34" w14:textId="77777777" w:rsidR="00180648" w:rsidRDefault="00180648" w:rsidP="003570FF">
      <w:pPr>
        <w:ind w:firstLine="720"/>
        <w:rPr>
          <w:rFonts w:cs="Arial"/>
          <w:szCs w:val="22"/>
        </w:rPr>
      </w:pPr>
    </w:p>
    <w:p w14:paraId="1092BD19" w14:textId="77777777" w:rsidR="00180648" w:rsidRDefault="00180648" w:rsidP="003570FF">
      <w:pPr>
        <w:ind w:firstLine="720"/>
        <w:rPr>
          <w:rFonts w:cs="Arial"/>
          <w:szCs w:val="22"/>
        </w:rPr>
      </w:pPr>
    </w:p>
    <w:p w14:paraId="686D2E70" w14:textId="77777777" w:rsidR="00180648" w:rsidRDefault="00180648" w:rsidP="003570FF">
      <w:pPr>
        <w:ind w:firstLine="720"/>
        <w:rPr>
          <w:rFonts w:cs="Arial"/>
          <w:szCs w:val="22"/>
        </w:rPr>
      </w:pPr>
    </w:p>
    <w:p w14:paraId="3F9B6E08" w14:textId="77777777" w:rsidR="00180648" w:rsidRDefault="00180648" w:rsidP="003570FF">
      <w:pPr>
        <w:ind w:firstLine="720"/>
        <w:rPr>
          <w:rFonts w:cs="Arial"/>
          <w:szCs w:val="22"/>
        </w:rPr>
      </w:pPr>
    </w:p>
    <w:p w14:paraId="2395C5DD" w14:textId="77777777" w:rsidR="008A72DA" w:rsidRDefault="008A72DA" w:rsidP="003570FF">
      <w:pPr>
        <w:ind w:firstLine="720"/>
        <w:rPr>
          <w:rFonts w:cs="Arial"/>
          <w:szCs w:val="22"/>
        </w:rPr>
      </w:pPr>
    </w:p>
    <w:p w14:paraId="47D2707D" w14:textId="77777777" w:rsidR="00180648" w:rsidRDefault="00180648" w:rsidP="007D2FB4">
      <w:pPr>
        <w:rPr>
          <w:rFonts w:cs="Arial"/>
          <w:szCs w:val="22"/>
        </w:rPr>
      </w:pPr>
    </w:p>
    <w:p w14:paraId="217CE29D" w14:textId="6F32586E" w:rsidR="00180648" w:rsidRDefault="00180648" w:rsidP="00180648">
      <w:pPr>
        <w:spacing w:after="0" w:line="240" w:lineRule="auto"/>
        <w:rPr>
          <w:b/>
          <w:bCs/>
          <w:color w:val="000000"/>
        </w:rPr>
      </w:pPr>
      <w:r w:rsidRPr="00FF5389">
        <w:rPr>
          <w:b/>
          <w:bCs/>
          <w:color w:val="000000"/>
        </w:rPr>
        <w:lastRenderedPageBreak/>
        <w:t>(A)</w:t>
      </w:r>
    </w:p>
    <w:p w14:paraId="4BC1CE5A" w14:textId="31EEFB8A" w:rsidR="00180648" w:rsidRDefault="00180648" w:rsidP="00180648">
      <w:pPr>
        <w:rPr>
          <w:b/>
          <w:bCs/>
          <w:color w:val="000000"/>
        </w:rPr>
      </w:pPr>
      <w:r>
        <w:rPr>
          <w:noProof/>
        </w:rPr>
        <w:drawing>
          <wp:inline distT="0" distB="0" distL="0" distR="0" wp14:anchorId="692FA129" wp14:editId="36E97B9F">
            <wp:extent cx="5943600" cy="32194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6F4D2B" w14:textId="3834AC55" w:rsidR="00180648" w:rsidRDefault="00180648" w:rsidP="00180648">
      <w:pPr>
        <w:spacing w:after="0" w:line="240" w:lineRule="auto"/>
        <w:rPr>
          <w:b/>
          <w:bCs/>
          <w:color w:val="000000"/>
        </w:rPr>
      </w:pPr>
      <w:r>
        <w:rPr>
          <w:b/>
          <w:bCs/>
          <w:color w:val="000000"/>
        </w:rPr>
        <w:t>(B)</w:t>
      </w:r>
    </w:p>
    <w:p w14:paraId="11FE37EE" w14:textId="77777777" w:rsidR="007D2FB4" w:rsidRDefault="00180648" w:rsidP="007D2FB4">
      <w:pPr>
        <w:spacing w:after="0" w:line="240" w:lineRule="auto"/>
        <w:rPr>
          <w:b/>
          <w:bCs/>
          <w:color w:val="000000"/>
          <w:szCs w:val="22"/>
        </w:rPr>
      </w:pPr>
      <w:r>
        <w:rPr>
          <w:noProof/>
        </w:rPr>
        <w:drawing>
          <wp:inline distT="0" distB="0" distL="0" distR="0" wp14:anchorId="2389BB83" wp14:editId="300793AE">
            <wp:extent cx="5943600" cy="32099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4B5841" w14:textId="77777777" w:rsidR="007D2FB4" w:rsidRDefault="007D2FB4" w:rsidP="007D2FB4">
      <w:pPr>
        <w:spacing w:after="0" w:line="240" w:lineRule="auto"/>
        <w:rPr>
          <w:b/>
          <w:bCs/>
          <w:color w:val="000000"/>
          <w:szCs w:val="22"/>
        </w:rPr>
      </w:pPr>
    </w:p>
    <w:p w14:paraId="585032F7" w14:textId="0AFFC616" w:rsidR="00180648" w:rsidRPr="00AE2269" w:rsidRDefault="00180648" w:rsidP="00AE2269">
      <w:pPr>
        <w:pStyle w:val="Caption"/>
        <w:jc w:val="left"/>
        <w:rPr>
          <w:b/>
          <w:bCs/>
          <w:caps w:val="0"/>
          <w:color w:val="000000"/>
        </w:rPr>
      </w:pPr>
      <w:bookmarkStart w:id="88" w:name="_Toc507332050"/>
      <w:r w:rsidRPr="00AE2269">
        <w:rPr>
          <w:b/>
          <w:bCs/>
          <w:caps w:val="0"/>
          <w:color w:val="000000"/>
          <w:szCs w:val="22"/>
        </w:rPr>
        <w:t>FIGURE 3.</w:t>
      </w:r>
      <w:r w:rsidR="003E7184" w:rsidRPr="00AE2269">
        <w:rPr>
          <w:caps w:val="0"/>
        </w:rPr>
        <w:t xml:space="preserve"> </w:t>
      </w:r>
      <w:r w:rsidR="00AE2269" w:rsidRPr="00AE2269">
        <w:rPr>
          <w:caps w:val="0"/>
        </w:rPr>
        <w:t>Trends in post-hospice admission Medicare Part D dispensing of selected therapeutic and drug classes by hospice admission year (2008-2012)</w:t>
      </w:r>
      <w:r w:rsidRPr="00AE2269">
        <w:rPr>
          <w:caps w:val="0"/>
          <w:szCs w:val="22"/>
        </w:rPr>
        <w:t>. Plotted points represent the proportion of patients first admitted to hospice in the given year with at least one dispensing after admission for the indicated therapeutic or drug class of interest. Results are stratified by patients admitted with a (A) cancer, or (B) non-cancer primary hospice admission diagnosis.</w:t>
      </w:r>
      <w:bookmarkEnd w:id="88"/>
    </w:p>
    <w:p w14:paraId="04C85777" w14:textId="77777777" w:rsidR="00DB1A50" w:rsidRPr="00725D15" w:rsidRDefault="00DB1A50" w:rsidP="00DF3833">
      <w:pPr>
        <w:pStyle w:val="Style2"/>
        <w:spacing w:before="0" w:line="480" w:lineRule="auto"/>
      </w:pPr>
      <w:bookmarkStart w:id="89" w:name="_Toc507326051"/>
      <w:r w:rsidRPr="00725D15">
        <w:lastRenderedPageBreak/>
        <w:t>2.5 Discussion</w:t>
      </w:r>
      <w:bookmarkEnd w:id="89"/>
    </w:p>
    <w:p w14:paraId="5DF26E1C" w14:textId="77777777" w:rsidR="00FC7B75" w:rsidRPr="00725D15" w:rsidRDefault="00FC7B75" w:rsidP="00FC7B75">
      <w:pPr>
        <w:ind w:firstLine="720"/>
        <w:rPr>
          <w:rFonts w:cs="Arial"/>
          <w:szCs w:val="22"/>
        </w:rPr>
      </w:pPr>
      <w:r w:rsidRPr="00725D15">
        <w:rPr>
          <w:rFonts w:cs="Arial"/>
          <w:szCs w:val="22"/>
        </w:rPr>
        <w:t xml:space="preserve">We found that more than half of Medicare beneficiaries admitted to hospice for cancer or for any non-cancer cause obtained at least one medication through the Part D benefit after hospice admission. The receipt through Part D of medications not primarily aimed at symptom control near the end of life, particularly antihypertensives, was common. Overall and medication class-specific dispensing through Part D varied substantially among primary hospice admission diagnosis. Nearly one in six hospice patients received opioids though Part D, though the prevalence declined steadily over the study period. The prevalence of receiving preventative medication classes was relatively stable over time. </w:t>
      </w:r>
    </w:p>
    <w:p w14:paraId="38771D83" w14:textId="54933438" w:rsidR="00FC7B75" w:rsidRPr="00725D15" w:rsidRDefault="00FC7B75" w:rsidP="00FC7B75">
      <w:pPr>
        <w:ind w:firstLine="720"/>
        <w:rPr>
          <w:rFonts w:cs="Arial"/>
          <w:szCs w:val="22"/>
        </w:rPr>
      </w:pPr>
      <w:r w:rsidRPr="00725D15">
        <w:rPr>
          <w:rFonts w:cs="Arial"/>
          <w:szCs w:val="22"/>
        </w:rPr>
        <w:t>Previous research examining medication appropriateness in the end-of-life setting has described many medications typically used for preventing complications of chronic illness as being of limited benefit or even futile in those with limited life expectancy.</w:t>
      </w:r>
      <w:r w:rsidR="00184FF3">
        <w:rPr>
          <w:rFonts w:cs="Arial"/>
          <w:szCs w:val="22"/>
        </w:rPr>
        <w:fldChar w:fldCharType="begin"/>
      </w:r>
      <w:r w:rsidR="00EC3644">
        <w:rPr>
          <w:rFonts w:cs="Arial"/>
          <w:szCs w:val="22"/>
        </w:rPr>
        <w:instrText xml:space="preserve"> ADDIN ZOTERO_ITEM CSL_CITATION {"citationID":"VBfLbsfb","properties":{"formattedCitation":"\\super 52,57,59,104\\nosupersub{}","plainCitation":"52,57,59,104","noteIndex":0},"citationItems":[{"id":266,"uris":["http://zotero.org/users/2597747/items/E965IK6T"],"uri":["http://zotero.org/users/2597747/items/E965IK6T"],"itemData":{"id":266,"type":"article-journal","title":"Futile medication use in terminally ill cancer patients","container-title":"Supportive Care in Cancer","page":"745-748","volume":"17","issue":"6","source":"link.springer.com.proxy.cc.uic.edu","abstract":"Background Cancer patients usually take many medications. The proportion of patients with advanced cancer who are taking futile drugs is unknown. Materials and methods We retrospectively reviewed the charts of all consecutive ambulatory patients with advanced cancer and who were receiving supportive care exclusively at palliative care clinics, Princess Margaret Hospital, to gather information on futile medications used by them. Futile medications were defined as unnecessary (when no short-term benefit to patients with respect to survival, quality of life, or symptom control was anticipated) or duplicate (two or more drugs from the same pharmacological class). Summary statistics were used to describe the results. Results From November 2005 to July 2006, 82 (22%) of 372 patients were taking at least one futile medication before consultation; after initial consultation, this proportion dropped to 20% (78): 70 patients were taking unnecessary medications, while eight were on duplicate medications. The most frequent unnecessary medications used by patients were statins (56%). The most common duplicate medication involved the use of two different benzodiazepines (seven patients). Conclusion About one fifth of cancer outpatients at the end of life take futile medications, most commonly statins. Prospective and population-based studies are warranted to further evaluate the magnitude and consequences of futile medication use in oncology.","DOI":"10.1007/s00520-008-0541-y","ISSN":"0941-4355, 1433-7339","journalAbbreviation":"Support Care Cancer","language":"en","author":[{"family":"Riechelmann","given":"Rachel P."},{"family":"Krzyzanowska","given":"Monika K."},{"family":"Zimmermann","given":"Camilla"}],"issued":{"date-parts":[["2008",11,22]]}}},{"id":794,"uris":["http://zotero.org/users/2597747/items/5X4MX3IZ"],"uri":["http://zotero.org/users/2597747/items/5X4MX3IZ"],"itemData":{"id":794,"type":"article-journal","title":"Integrating Palliative Medicine into the Care of Persons with Advanced Dementia: Identifying Appropriate Medication Use","container-title":"Journal of the American Geriatrics Society","page":"1306-1311","volume":"56","issue":"7","source":"CrossRef","DOI":"10.1111/j.1532-5415.2008.01741.x","ISSN":"00028614, 15325415","shortTitle":"Integrating Palliative Medicine into the Care of Persons with Advanced Dementia","language":"en","author":[{"family":"Holmes","given":"Holly M."},{"family":"Sachs","given":"Greg A."},{"family":"Shega","given":"Joseph W."},{"family":"Hougham","given":"Gavin W."},{"family":"Cox Hayley","given":"Deon"},{"family":"Dale","given":"William"}],"issued":{"date-parts":[["2008",7]]}}},{"id":1080,"uris":["http://zotero.org/users/2597747/items/GEQ6SQPH"],"uri":["http://zotero.org/users/2597747/items/GEQ6SQPH"],"itemData":{"id":1080,"type":"article-journal","title":"The development and evaluation of an oncological palliative care deprescribing guideline: the ‘OncPal deprescribing guideline’","container-title":"Supportive Care in Cancer","page":"71-78","volume":"23","issue":"1","source":"link.springer.com.proxy.cc.uic.edu","abstract":"Purpose Current data suggests that potentially inappropriate medicines (PIMs) are common in palliative cancer patients; however, there is a lack of criteria to assist clinicians in identifying PIMs in these patients. The aims of this study were to design and validate a deprescribing guideline for palliative cancer patients and to undertake a descriptive analysis of the identified PIMs. Methods This prospective, non-interventional cohort study consisted of four major stages: developing an ‘OncPal Deprescribing Guideline’ from current evidence, the prospective recruitment of consecutive palliative cancer inpatients with an estimated &lt;6-month prognosis, the assessment of all medications to identify PIMs using both a panel of medical experts without access to the guideline as well as a Clinical Pharmacist independently using the OncPal Deprescribing Guideline and the evaluation of the guideline by testing concordance. Descriptive data on the incidence of PIMs identified were also assessed. Results A total of 61 patients were recruited. The OncPal Deprescribing Guideline matched 94 % of 617 medicines to the expert panel with a Kappa value of 0.83 [95 % CI (0.76, 0.89)] demonstrating an ‘outstanding’ concordance. Forty-three (70 %) patients were taking at least one PIM, with 21.4 % of the total medicines assessed identified as PIMs. The medication-associated cost per patient/month was AUD$26.71. Conclusion A guideline to assist in the de-escalation of inappropriate medications in palliative cancer patients was developed from current literature. The OncPal Deprescribing Guideline was successfully validated, demonstrating statistically significant concordance with an expert panel. We found that the incidence of PIMs was high in our patient group, demonstrating the potential benefits for the OncPal Deprescribing Guideline in clinical practice.","DOI":"10.1007/s00520-014-2322-0","ISSN":"0941-4355, 1433-7339","shortTitle":"The development and evaluation of an oncological palliative care deprescribing guideline","journalAbbreviation":"Support Care Cancer","language":"en","author":[{"family":"Lindsay","given":"Julian"},{"family":"Dooley","given":"Michael"},{"family":"Martin","given":"Jennifer"},{"family":"Fay","given":"Michael"},{"family":"Kearney","given":"Alison"},{"family":"Khatun","given":"Mohsina"},{"family":"Barras","given":"Michael"}],"issued":{"date-parts":[["2014",7,1]]}}},{"id":4161,"uris":["http://zotero.org/users/2597747/items/4BTLQMZK"],"uri":["http://zotero.org/users/2597747/items/4BTLQMZK"],"itemData":{"id":4161,"type":"article-journal","title":"Inappropriate prescribing of preventative medication in patients with life-limiting illness: a systematic review","container-title":"BMJ supportive &amp; palliative care","page":"113-121","volume":"7","issue":"2","source":"PubMed","abstract":"OBJECTIVES: To systematically review the literature to examine the methods used to identify inappropriate prescribing of preventative medication in patients with life-limiting illness and to detail the nature of medications prescribed.\nMETHODS: A systematic literature search of 4 databases was undertaken (MEDLINE, EMBASE, CINAHL, PsycINFO) from inception to April 2015 to identify peer-reviewed, observational studies assessing inappropriate prescribing of preventative medication in patients with life-limiting illness. Inclusion criteria were: participants had a life-limiting illness; prescribed/dispensed/using preventative medication; medication appropriateness assessed as a specific study aim or outcome.\nRESULTS: We found 19 studies meeting our eligibility criteria. The methods used to assess medication appropriateness included criteria developed for the elderly such as the Beers Criteria, and Screening Tool of Older Persons' potentially inappropriate Prescriptions (STOPP) criteria, Delphi consensus and expert clinical opinion. Lipid-regulating drugs (12 studies), antihypertensive (11 studies) and antidiabetic medications (9 studies) were the most common classes of inappropriate medication identified.\nCONCLUSIONS: Patients with life-limiting illnesses are prescribed preventative medications considered inappropriate in the context of diminished life expectancy. The way in which preventative medication appropriateness is assessed in patients with life-limiting illness varies considerably-with some methodologies utilising criteria previously developed for elderly populations. Given this lack of standardisation, improving the prescribing in this context requires an approach that is specifically designed and validated for populations with life-limiting illness.","DOI":"10.1136/bmjspcare-2015-000941","ISSN":"2045-4368","note":"PMID: 26733578","shortTitle":"Inappropriate prescribing of preventative medication in patients with life-limiting illness","journalAbbreviation":"BMJ Support Palliat Care","language":"eng","author":[{"family":"Todd","given":"Adam"},{"family":"Husband","given":"Andy"},{"family":"Andrew","given":"Inga"},{"family":"Pearson","given":"Sallie-Anne"},{"family":"Lindsey","given":"Laura"},{"family":"Holmes","given":"Holly"}],"issued":{"date-parts":[["2017",6]]}}}],"schema":"https://github.com/citation-style-language/schema/raw/master/csl-citation.json"} </w:instrText>
      </w:r>
      <w:r w:rsidR="00184FF3">
        <w:rPr>
          <w:rFonts w:cs="Arial"/>
          <w:szCs w:val="22"/>
        </w:rPr>
        <w:fldChar w:fldCharType="separate"/>
      </w:r>
      <w:r w:rsidR="00B55AC2" w:rsidRPr="00B55AC2">
        <w:rPr>
          <w:rFonts w:cs="Arial"/>
          <w:szCs w:val="24"/>
          <w:vertAlign w:val="superscript"/>
        </w:rPr>
        <w:t>52,57,59,104</w:t>
      </w:r>
      <w:r w:rsidR="00184FF3">
        <w:rPr>
          <w:rFonts w:cs="Arial"/>
          <w:szCs w:val="22"/>
        </w:rPr>
        <w:fldChar w:fldCharType="end"/>
      </w:r>
      <w:r w:rsidR="00184FF3">
        <w:rPr>
          <w:rFonts w:cs="Arial"/>
          <w:szCs w:val="22"/>
          <w:vertAlign w:val="superscript"/>
        </w:rPr>
        <w:t xml:space="preserve"> </w:t>
      </w:r>
      <w:r w:rsidRPr="00725D15">
        <w:rPr>
          <w:rFonts w:cs="Arial"/>
          <w:szCs w:val="22"/>
        </w:rPr>
        <w:t>Continuation of such medications contributes to polypharmacy in this already susceptible population, resulting in needlessly high medications costs and waste, overly complicated medication regimens, exposure to medication side effects and drug-drug interactions, lower medication adherence, and significant patient and caregiver burden.</w:t>
      </w:r>
      <w:r w:rsidR="00184FF3">
        <w:rPr>
          <w:rFonts w:cs="Arial"/>
          <w:szCs w:val="22"/>
        </w:rPr>
        <w:fldChar w:fldCharType="begin"/>
      </w:r>
      <w:r w:rsidR="00EC3644">
        <w:rPr>
          <w:rFonts w:cs="Arial"/>
          <w:szCs w:val="22"/>
        </w:rPr>
        <w:instrText xml:space="preserve"> ADDIN ZOTERO_ITEM CSL_CITATION {"citationID":"a2pkmk6rlm7","properties":{"formattedCitation":"\\super 87,88,105\\nosupersub{}","plainCitation":"87,88,105","noteIndex":0},"citationItems":[{"id":60,"uris":["http://zotero.org/users/2597747/items/7AMG4AKA"],"uri":["http://zotero.org/users/2597747/items/7AMG4AKA"],"itemData":{"id":60,"type":"article-journal","title":"Rational Prescribing for Patients With a Reduced Life Expectancy","container-title":"Clinical Pharmacology &amp; Therapeutics","page":"103-107","volume":"85","issue":"1","source":"Wiley Online Library","abstract":"Optimal prescribing for patients who are in late life and have multiple comorbid illnesses remains unclear despite the increasing recognition that chronic diseases should be managed differently in the setting of reduced life expectancy.1 As new diseases are diagnosed and chronic comorbidities worsen with advancing age, more and more medications are added in accordance with disease-specific clinical practice guidelines. The result is often a complex drug regimen that is difficult to manage.2 This occurs regardless of the appreciation that the ongoing benefits and risks of chronic treatments are uncertain as diseases become life-defining or life-limiting.3 Clinical Pharmacology &amp; Therapeutics (2008); 85, 1, 103–107 doi:10.1038/clpt.2008.211","DOI":"10.1038/clpt.2008.211","ISSN":"1532-6535","journalAbbreviation":"Clinical Pharmacology &amp; Therapeutics","language":"en","author":[{"family":"Holmes","given":"Hm"}],"issued":{"date-parts":[["2009",1,1]]}}},{"id":1068,"uris":["http://zotero.org/users/2597747/items/8QZ8JP9J"],"uri":["http://zotero.org/users/2597747/items/8QZ8JP9J"],"itemData":{"id":1068,"type":"article-journal","title":"Routine deprescribing of chronic medications to combat polypharmacy","container-title":"Therapeutic Advances in Drug Safety","page":"212-233","volume":"6","issue":"6","source":"PubMed Central","abstract":"The positive benefit–risk ratio of most drugs is decreasing in correlation to very old age, the extent of comorbidity, dementia, frailty and limited life expectancy (VOCODFLEX). First, we review the extent of inappropriate medication use and polypharmacy (IMUP) globally and highlight its negative medical, nursing, social and economic consequences. Second, we expose the main clinical/practical and perceptual obstacles that combine to create the negative vicious circle that eventually makes us feel frustrated and hopeless in treating VOCODFLEX in general, and in our ‘war against IMUP’ in particular. Third, we summarize the main international approaches/methods suggested and tried in different countries in an attempt to improve the ominous clinical and economic outcomes of IMUP; these include a variety of clinical, pharmacological, computer-assisted and educational programs. Lastly, we suggest a new comprehensive perception for providing good medical practice to VOCODFLEX in the 21st century. This includes new principles for research, education and clinical practice guidelines completely different from the ‘single disease model’ research and clinical rules we were raised upon and somehow ‘fanatically’ adopted in the 20th century. This new perception, based on palliative, geriatric and ethical principle, may provide fresh tools for treating VOCODFLEX in general and reducing IMUP in particular.","DOI":"10.1177/2042098615613984","ISSN":"2042-0986","note":"PMID: 26668713\nPMCID: PMC4667766","journalAbbreviation":"Ther Adv Drug Saf","author":[{"family":"Garfinkel","given":"Doron"},{"family":"Ilhan","given":"Birkan"},{"family":"Bahat","given":"Gulistan"}],"issued":{"date-parts":[["2015",12]]}}},{"id":2405,"uris":["http://zotero.org/users/2597747/items/3QR9SBI7"],"uri":["http://zotero.org/users/2597747/items/3QR9SBI7"],"itemData":{"id":2405,"type":"article-journal","title":"Polypharmacy in Patients With Advanced Cancer and Pain: A European Cross-Sectional Study of 2282 Patients","container-title":"Journal of Pain and Symptom Management","page":"1145-1159","volume":"48","issue":"6","source":"ScienceDirect","abstract":"Context\nPatients with advanced cancer need multiple drugs to control symptoms and to treat cancer and concomitant diseases. At the same time, the goal of treatment changes as life expectancy becomes limited. This results in a risk for polypharmacy, maintained use of unneeded drugs, and drug-drug interactions (DDIs).\nObjectives\nThe aim of the study was to analyze the use of medications and to identify unneeded drugs, and drugs and drug combinations with a risk for DDIs in a cohort of advanced cancer pain patients, defined by a need for a World Health Organization analgesic ladder Step III opioid.\nMethods\nAll drugs taken within a study day by cancer patients receiving opioids for moderate or severe pain (Step III opioids) were analyzed. Nonopioids and adjuvants were analyzed for their use across countries. Unneeded medications and drugs and drug combinations with a risk for pharmacodynamic and pharmacokinetic DDIs were identified on the basis of published literature and electronic resources.\nResults\nIn total, 2282 patients from 17 centers in 11 European countries were included. They received a mean of 7.8 drugs (range 1–20). Over one-quarter used 10 or more medications. The drugs and drug classes most frequently coadministered with opioids were proton pump inhibitors, laxatives, corticosteroids, paracetamol (acetaminophen), nonsteroidal anti-inflammatory drugs, metoclopramide, benzodiazepines, anticoagulants, antibiotics, anticonvulsants, diuretics, and antidepressants. The use of nonopioids and essential adjuvants varied across countries. Approximately 45% of patients received unnecessary or potentially unnecessary drugs, and about 7% were given duplicate or antagonizing agents. Exposures to DDIs were frequent and increased the risk of sedation, gastric ulcerations, bleedings, and neuropsychiatric and cardiac complications. Many patients were exposed to pharmacokinetic DDIs involving cytochrome P450, including about 58% who used a Step III opioid CYP3A4 (izoenzyme of cytochrome P450) substrate, and more than 10% who were given major CYP3A4 inhibitors or inducers.\nConclusion\nPatients with cancer treated with a World Health Organization Step III opioid use a high number of drugs. Nonopioid analgesics and corticosteroids are frequently used, but different patterns of use between countries were found. Many patients receive unneeded drugs and are at risk of serious DDIs. These findings demonstrate that drug therapy in these patients needs to be evaluated continuously.","DOI":"10.1016/j.jpainsymman.2014.03.008","ISSN":"0885-3924","shortTitle":"Polypharmacy in Patients With Advanced Cancer and Pain","journalAbbreviation":"Journal of Pain and Symptom Management","author":[{"family":"Kotlinska-Lemieszek","given":"Aleksandra"},{"family":"Paulsen","given":"Ørnulf"},{"family":"Kaasa","given":"Stein"},{"family":"Klepstad","given":"Pål"}],"issued":{"date-parts":[["2014",12]]}}}],"schema":"https://github.com/citation-style-language/schema/raw/master/csl-citation.json"} </w:instrText>
      </w:r>
      <w:r w:rsidR="00184FF3">
        <w:rPr>
          <w:rFonts w:cs="Arial"/>
          <w:szCs w:val="22"/>
        </w:rPr>
        <w:fldChar w:fldCharType="separate"/>
      </w:r>
      <w:r w:rsidR="00B55AC2" w:rsidRPr="00B55AC2">
        <w:rPr>
          <w:rFonts w:cs="Arial"/>
          <w:szCs w:val="24"/>
          <w:vertAlign w:val="superscript"/>
        </w:rPr>
        <w:t>87,88,105</w:t>
      </w:r>
      <w:r w:rsidR="00184FF3">
        <w:rPr>
          <w:rFonts w:cs="Arial"/>
          <w:szCs w:val="22"/>
        </w:rPr>
        <w:fldChar w:fldCharType="end"/>
      </w:r>
      <w:r w:rsidRPr="00725D15">
        <w:rPr>
          <w:rFonts w:cs="Arial"/>
          <w:szCs w:val="22"/>
        </w:rPr>
        <w:t xml:space="preserve"> A lack of consensus guidelines and limited outcomes data supporting drug discontinuation have been frequently cited as contributing factors to inappropriate prescribing at the end of life, though recent research efforts have begun to bridge this evidence gap.</w:t>
      </w:r>
      <w:r w:rsidR="00184FF3">
        <w:rPr>
          <w:rFonts w:cs="Arial"/>
          <w:szCs w:val="22"/>
        </w:rPr>
        <w:fldChar w:fldCharType="begin"/>
      </w:r>
      <w:r w:rsidR="00EC3644">
        <w:rPr>
          <w:rFonts w:cs="Arial"/>
          <w:szCs w:val="22"/>
        </w:rPr>
        <w:instrText xml:space="preserve"> ADDIN ZOTERO_ITEM CSL_CITATION {"citationID":"a172kj01rud","properties":{"formattedCitation":"\\super 45,106,107\\nosupersub{}","plainCitation":"45,106,107","noteIndex":0},"citationItems":[{"id":958,"uris":["http://zotero.org/users/2597747/items/I7MH25J4"],"uri":["http://zotero.org/users/2597747/items/I7MH25J4"],"itemData":{"id":958,"type":"article-journal","title":"Preventive medication use among persons with limited life expectancy","container-title":"Progress in Palliative Care","page":"15-21","volume":"19","issue":"1","source":"PubMed Central","abstract":"Persons with limited life expectancy (LLE) – less than 1 year – are significant consumers of health care, are at increased risk of polypharmacy and adverse drug events, and have dynamic health statuses. Therefore, medication use among this population must be appropriate and regularly evaluated. The objective of this review is to assess the current state of knowledge and clinical practice presented in the literature regarding preventive medication use among persons with LLE. We searched Medline, Embase, and CINAHL using Medical Subject Headings. Broad searches were first conducted using the terms ‘terminal care or therapy’ or ‘advanced disease’ and ‘polypharmacy’ or ‘inappropriate medication’ or ‘preventive medicine’, followed by more specific searches using the terms ‘statins’ or ‘anti-hypertensives’ or ‘bisphosphonates’ or ‘laxatives’ and ‘terminal care’. Frameworks to assess appropriate versus inappropriate medications for persons with LLE, and the prevalence of potentially inappropriate medication use among this population, are presented. A considerable proportion of individuals with a known terminal condition continue to take chronic disease preventive medications until death despite questionable benefit. The addition of palliative preventive medications is advised. There is an indication that as death approaches the shift from a curative to palliative goal of care translates into a shift in medication use. This literature review is a first step towards improving medication use and decreasing polypharmacy in persons at the end of life. There is a need to develop consensus criteria to assess appropriate versus inappropriate medication use, specifically for individuals at the end of life.","DOI":"10.1179/174329111X576698","ISSN":"0969-9260","note":"PMID: 21731193\nPMCID: PMC3118532","journalAbbreviation":"Prog Palliat Care","author":[{"family":"Maddison","given":"André R"},{"family":"Fisher","given":"Judith"},{"family":"Johnston","given":"Grace"}],"issued":{"date-parts":[["2011",1]]}}},{"id":258,"uris":["http://zotero.org/users/2597747/items/6HWE5WVM"],"uri":["http://zotero.org/users/2597747/items/6HWE5WVM"],"itemData":{"id":258,"type":"article-journal","title":"Recommendations to support deprescribing medications late in life","container-title":"International Journal of Clinical Pharmacy","page":"678-681","volume":"37","issue":"5","source":"PubMed","abstract":"It is widely acknowledged that patients-particularly those late in life-are frequently exposed to the harms of medication. To minimize these harms, several frameworks have been developed by which prescribing can be optimized. In the context of diminishing life expectancy, these frameworks can be used to reduce medications that are no longer necessary, but appear to fall short of actual guidelines that incorporate a consideration of stopping medications. In this commentary, we present recommendations that could be incorporated into prescribing processes for all healthcare professionals and, ultimately, used to support the rationalization or deprescribing of medication in diminished life expectancy. We frame these recommendations in the same context as guidance for the initiation and discontinuation of implantable cardiac devices and argue that the two processes-with regards to decision-making-should be the same. We present our recommendations with preventive medication use in mind, and use statin therapy as an illustrative example.","DOI":"10.1007/s11096-015-0148-6","ISSN":"2210-7711","note":"PMID: 26078120\nPMCID: PMC4682203","journalAbbreviation":"Int J Clin Pharm","language":"eng","author":[{"family":"Todd","given":"Adam"},{"family":"Holmes","given":"Holly M."}],"issued":{"date-parts":[["2015",10]]}}},{"id":4163,"uris":["http://zotero.org/users/2597747/items/6RCGZ9ZL"],"uri":["http://zotero.org/users/2597747/items/6RCGZ9ZL"],"itemData":{"id":4163,"type":"article-journal","title":"What are priorities for deprescribing for elderly patients? Capturing the voice of practitioners: a modified delphi process","container-title":"PloS One","page":"e0122246","volume":"10","issue":"4","source":"PubMed","abstract":"Polypharmacy and inappropriate medication use among older adults contribute to adverse drug reactions, falls, cognitive impairment, noncompliance, hospitalization and mortality. While deprescribing - tapering, reducing or stopping a medication - is feasible and relatively safe, clinicians find it difficult to carry out. Deprescribing guidelines would facilitate this process. The aim of this paper is to identify and prioritize medication classes where evidence-based deprescribing guidelines would be of benefit to clinicians. A modified Delphi approach included a literature review to identify potentially inappropriate medications for the elderly, an expert panel to develop survey content and three survey rounds to seek consensus on priorities. Panel participants included three pharmacists, two family physicians and one social scientist. Sixty-five Canadian geriatrics experts (36 pharmacists, 19 physicians and 10 nurse practitioners) participated in the survey. Twenty-nine drugs/drug classes were included in the first survey with 14 reaching the required (≥ 70%) level of consensus, and 2 new drug classes added from qualitative comments. Fifty-three participants completed round two, and 47 participants completed round three. The final five priorities were benzodiazepines, atypical antipsychotics, statins, tricyclic antidepressants, and proton pump inhibitors; nine other drug classes were also identified as being in need of evidence-based deprescribing guidelines. The Delphi consensus process identified five priority drug classes for which expert clinicians felt guidance is needed for deprescribing. The classes of drugs that emerged strongly from the rankings dealt with mental health, cardiovascular, gastroenterological, and neurological conditions. The results suggest that deprescribing and overtreatment occurs through the full spectrum of primary care, and that evidence-based deprescribing guidelines are a priority in the care of the elderly.","DOI":"10.1371/journal.pone.0122246","ISSN":"1932-6203","note":"PMID: 25849568\nPMCID: PMC4388504","shortTitle":"What are priorities for deprescribing for elderly patients?","journalAbbreviation":"PLoS ONE","language":"eng","author":[{"family":"Farrell","given":"Barbara"},{"family":"Tsang","given":"Corey"},{"family":"Raman-Wilms","given":"Lalitha"},{"family":"Irving","given":"Hannah"},{"family":"Conklin","given":"James"},{"family":"Pottie","given":"Kevin"}],"issued":{"date-parts":[["2015"]]}}}],"schema":"https://github.com/citation-style-language/schema/raw/master/csl-citation.json"} </w:instrText>
      </w:r>
      <w:r w:rsidR="00184FF3">
        <w:rPr>
          <w:rFonts w:cs="Arial"/>
          <w:szCs w:val="22"/>
        </w:rPr>
        <w:fldChar w:fldCharType="separate"/>
      </w:r>
      <w:r w:rsidR="00B55AC2" w:rsidRPr="00B55AC2">
        <w:rPr>
          <w:rFonts w:cs="Arial"/>
          <w:szCs w:val="24"/>
          <w:vertAlign w:val="superscript"/>
        </w:rPr>
        <w:t>45,106,107</w:t>
      </w:r>
      <w:r w:rsidR="00184FF3">
        <w:rPr>
          <w:rFonts w:cs="Arial"/>
          <w:szCs w:val="22"/>
        </w:rPr>
        <w:fldChar w:fldCharType="end"/>
      </w:r>
      <w:r w:rsidRPr="00725D15">
        <w:rPr>
          <w:rFonts w:cs="Arial"/>
          <w:szCs w:val="22"/>
        </w:rPr>
        <w:t xml:space="preserve"> Kutner and colleagues conducted a randomized, controlled trial demonstrating that statin discontinuation is safe in terminally-ill patients and may even modestly improve quality of life.</w:t>
      </w:r>
      <w:r w:rsidR="00244D4C">
        <w:rPr>
          <w:rFonts w:cs="Arial"/>
          <w:szCs w:val="22"/>
        </w:rPr>
        <w:fldChar w:fldCharType="begin"/>
      </w:r>
      <w:r w:rsidR="00EC3644">
        <w:rPr>
          <w:rFonts w:cs="Arial"/>
          <w:szCs w:val="22"/>
        </w:rPr>
        <w:instrText xml:space="preserve"> ADDIN ZOTERO_ITEM CSL_CITATION {"citationID":"ailb6hr4se","properties":{"formattedCitation":"\\super 108\\nosupersub{}","plainCitation":"108","noteIndex":0},"citationItems":[{"id":354,"uris":["http://zotero.org/users/2597747/items/5MZCQ2JR"],"uri":["http://zotero.org/users/2597747/items/5MZCQ2JR"],"itemData":{"id":354,"type":"article-journal","title":"Safety and Benefit of Discontinuing Statin Therapy in the Setting of Advanced, Life-Limiting Illness","container-title":"JAMA internal medicine","page":"691-700","volume":"175","issue":"5","source":"PubMed Central","abstract":"IMPORTANCE\nFor patients with limited prognosis, some medication risks may outweigh the benefits, particularly when benefits take years to accrue; statins are one example. Data are lacking regarding the risks and benefits of discontinuing statin therapy for patients with limited life expectancy.\n\nOBJECTIVE\nTo evaluate the safety, clinical, and cost impact of discontinuing statin medications for patients in the palliative care setting.\n\nDESIGN, SETTING, AND PARTICIPANTS\nThis was a multicenter, parallel-group, unblinded, pragmatic clinical trial. Eligibility included adults with an estimated life expectancy of between 1 month and 1 year, statin therapy for 3 months or more for primary or secondary prevention of cardiovascular disease, recent deterioration in functional status, and no recent active cardiovascular disease. Participants were randomized to either discontinue or continue statin therapy and were monitored monthly for up to 1 year. The study was conducted from June 3, 2011, to May 2, 2013. All analyses were performed using an intent-to-treat approach.\n\nINTERVENTIONS\nStatin therapy was withdrawn from eligible patients who were randomized to the discontinuation group. Patients in the continuation group continued to receive statins.\n\nMAIN OUTCOMES AND MEASURES\nOutcomes included death within 60 days (primary outcome), survival, cardiovascular events, performance status, quality of life (QOL), symptoms, number of nonstatin medications, and cost savings.\n\nRESULTS\nA total of 381 patients were enrolled; 189 of these were randomized to discontinue statins, and 192 were randomized to continue therapy. Mean (SD) age was 74.1 (11.6) years, 22.0% of the participants were cognitively impaired, and 48.8% had cancer. The proportion of participants in the discontinuation vs continuation groups who died within 60 days was not significantly different (23.8% vs 20.3%; 90% CI, −3.5% to 10.5%; P = .36) and did not meet the noninferiority end point. Total QOL was better for the group discontinuing statin therapy (mean McGill QOL score, 7.11 vs 6.85; P = .04). Few participants experienced cardiovascular events (13 in the discontinuation group vs 11 in the continuation group). Mean cost savings were $3.37 per day and $716 per patient.\n\nCONCLUSIONS AND RELEVANCE\nThis pragmatic trial suggests that stopping statin medication therapy is safe and may be associated with benefits including improved QOL, use of fewer nonstatin medications, and a corresponding reduction in medication costs. Thoughtful patient-provider discussions regarding the uncertain benefit and potential decrement in QOL associated with statin continuation in this setting are warranted.\n\nTRIAL REGISTRATION\nclinicaltrials.gov Identifier: NCT01415934","DOI":"10.1001/jamainternmed.2015.0289","ISSN":"2168-6106","note":"PMID: 25798575\nPMCID: PMC4618294","journalAbbreviation":"JAMA Intern Med","author":[{"family":"Kutner","given":"Jean S."},{"family":"Blatchford","given":"Patrick J."},{"family":"Taylor","given":"Don H."},{"family":"Ritchie","given":"Christine S."},{"family":"Bull","given":"Janet H."},{"family":"Fairclough","given":"Diane L."},{"family":"Hanson","given":"Laura C."},{"family":"LeBlanc","given":"Thomas W."},{"family":"Samsa","given":"Greg P."},{"family":"Wolf","given":"Steven"},{"family":"Aziz","given":"Noreen M."},{"family":"Currow","given":"David C."},{"family":"Ferrell","given":"Betty"},{"family":"Wagner-Johnston","given":"Nina"},{"family":"Zafar","given":"S. Yousuf"},{"family":"Cleary","given":"James F."},{"family":"Dev","given":"Sandesh"},{"family":"Goode","given":"Patricia S."},{"family":"Kamal","given":"Arif H."},{"family":"Kassner","given":"Cordt"},{"family":"Kvale","given":"Elizabeth A."},{"family":"McCallum","given":"Janelle G."},{"family":"Ogunseitan","given":"Adeboye B."},{"family":"Pantilat","given":"Steven Z."},{"family":"Portenoy","given":"Russell K."},{"family":"Prince-Paul","given":"Maryjo"},{"family":"Sloan","given":"Jeff A."},{"family":"Swetz","given":"Keith M."},{"family":"Von Gunten","given":"Charles F."},{"family":"Abernethy","given":"Amy P."}],"issued":{"date-parts":[["2015",5]]}}}],"schema":"https://github.com/citation-style-language/schema/raw/master/csl-citation.json"} </w:instrText>
      </w:r>
      <w:r w:rsidR="00244D4C">
        <w:rPr>
          <w:rFonts w:cs="Arial"/>
          <w:szCs w:val="22"/>
        </w:rPr>
        <w:fldChar w:fldCharType="separate"/>
      </w:r>
      <w:r w:rsidR="00B55AC2" w:rsidRPr="00B55AC2">
        <w:rPr>
          <w:rFonts w:cs="Arial"/>
          <w:szCs w:val="24"/>
          <w:vertAlign w:val="superscript"/>
        </w:rPr>
        <w:t>108</w:t>
      </w:r>
      <w:r w:rsidR="00244D4C">
        <w:rPr>
          <w:rFonts w:cs="Arial"/>
          <w:szCs w:val="22"/>
        </w:rPr>
        <w:fldChar w:fldCharType="end"/>
      </w:r>
      <w:r w:rsidRPr="00725D15">
        <w:rPr>
          <w:rFonts w:cs="Arial"/>
          <w:szCs w:val="22"/>
        </w:rPr>
        <w:t xml:space="preserve"> The recently developed </w:t>
      </w:r>
      <w:r w:rsidR="00106DE7" w:rsidRPr="00106DE7">
        <w:rPr>
          <w:rFonts w:cs="Arial"/>
          <w:szCs w:val="22"/>
        </w:rPr>
        <w:t xml:space="preserve">Screening Tool of Older Persons Prescriptions in Frail adults with limited life expectancy </w:t>
      </w:r>
      <w:r w:rsidR="00106DE7">
        <w:rPr>
          <w:rFonts w:cs="Arial"/>
          <w:szCs w:val="22"/>
        </w:rPr>
        <w:t>(</w:t>
      </w:r>
      <w:r w:rsidRPr="00725D15">
        <w:rPr>
          <w:rFonts w:cs="Arial"/>
          <w:szCs w:val="22"/>
        </w:rPr>
        <w:t>STOPPFrail</w:t>
      </w:r>
      <w:r w:rsidR="00106DE7">
        <w:rPr>
          <w:rFonts w:cs="Arial"/>
          <w:szCs w:val="22"/>
        </w:rPr>
        <w:t>)</w:t>
      </w:r>
      <w:r w:rsidRPr="00725D15">
        <w:rPr>
          <w:rFonts w:cs="Arial"/>
          <w:szCs w:val="22"/>
        </w:rPr>
        <w:t xml:space="preserve"> consensus criteria provide the first set of broadly applicable recommendations for deprescribing specific medications in frail older adults with limited life expectancy.</w:t>
      </w:r>
      <w:r w:rsidR="00244D4C">
        <w:rPr>
          <w:rFonts w:cs="Arial"/>
          <w:szCs w:val="22"/>
        </w:rPr>
        <w:fldChar w:fldCharType="begin"/>
      </w:r>
      <w:r w:rsidR="00EC3644">
        <w:rPr>
          <w:rFonts w:cs="Arial"/>
          <w:szCs w:val="22"/>
        </w:rPr>
        <w:instrText xml:space="preserve"> ADDIN ZOTERO_ITEM CSL_CITATION {"citationID":"a290fa2k3r6","properties":{"formattedCitation":"\\super 103\\nosupersub{}","plainCitation":"103","noteIndex":0},"citationItems":[{"id":4020,"uris":["http://zotero.org/users/2597747/items/ZGIQV9AG"],"uri":["http://zotero.org/users/2597747/items/ZGIQV9AG"],"itemData":{"id":4020,"type":"article-journal","title":"STOPPFrail (Screening Tool of Older Persons Prescriptions in Frail adults with limited life expectancy): consensus validation","container-title":"Age and Ageing","page":"600-607","volume":"46","issue":"4","source":"PubMed","abstract":"Objective: to validate STOPPFrail, a list of explicit criteria for potentially inappropriate medication (PIM) use in frail older adults with limited life expectancy.\nDesign: a Delphi consensus survey of an expert panel comprising academic geriatricians, clinical pharmacologists, palliative care physicians, old age psychiatrists, general practitioners and clinical pharmacists.\nSetting: Ireland.\nSubjects: seventeen panellists.\nMethods: STOPPFrail criteria were initially created by the authors based on clinical experience and literature appraisal. Criteria were organised according to the physiological system; each criterion accompanied by an explanation. Using Delphi consensus methodology, panellists ranked their agreement with each criterion on a 5-point Likert scale and provided written feedback. Criteria with a median Likert response of 4/5 (agree/strongly agree) and a 25th centile of ≥4 were included in the final list.\nResults: all panellists completed three Delphi rounds. Thirty criteria were proposed, 27 were accepted. The first two criteria suggest deprescribing medications without indication or where compliance is poor. The remaining 25 criteria include lipid-lowering therapies, alpha-blockers for hypertension, anti-platelets, neuroleptics, memantine, proton-pump inhibitors, H2-receptor antagonists, anti-spasmodic agents, theophylline, leukotriene antagonists, calcium supplements, bone anti-resorptive therapy, selective oestrogen receptor modulators, non-steroidal anti-inflammatories, corticosteroids, 5-alpha-reductase inhibitors, alpha-1-selective blockers, muscarinic antagonists, oral diabetic agents, ACE-inhibitors, angiotensin receptor blockers, systemic oestrogens, multivitamins, nutritional supplements and prophylactic antibiotics. Consensus could not be reached on the inclusion of acetylcholinesterase inhibitors. Full consensus was reached on the exclusion of anticoagulants and antidepressants from the list.\nConclusion: STOPPFrail comprises 27 criteria relating to medications that are potentially inappropriate in frail older patients with limited life expectancy. STOPPFrail may assist physicians in deprescribing medications in these patients.","DOI":"10.1093/ageing/afx005","ISSN":"1468-2834","note":"PMID: 28119312","shortTitle":"STOPPFrail (Screening Tool of Older Persons Prescriptions in Frail adults with limited life expectancy)","journalAbbreviation":"Age Ageing","language":"eng","author":[{"family":"Lavan","given":"Amanda Hanora"},{"family":"Gallagher","given":"Paul"},{"family":"Parsons","given":"Carole"},{"family":"O'Mahony","given":"Denis"}],"issued":{"date-parts":[["2017",7,1]]}}}],"schema":"https://github.com/citation-style-language/schema/raw/master/csl-citation.json"} </w:instrText>
      </w:r>
      <w:r w:rsidR="00244D4C">
        <w:rPr>
          <w:rFonts w:cs="Arial"/>
          <w:szCs w:val="22"/>
        </w:rPr>
        <w:fldChar w:fldCharType="separate"/>
      </w:r>
      <w:r w:rsidR="00B55AC2" w:rsidRPr="00B55AC2">
        <w:rPr>
          <w:rFonts w:cs="Arial"/>
          <w:szCs w:val="24"/>
          <w:vertAlign w:val="superscript"/>
        </w:rPr>
        <w:t>103</w:t>
      </w:r>
      <w:r w:rsidR="00244D4C">
        <w:rPr>
          <w:rFonts w:cs="Arial"/>
          <w:szCs w:val="22"/>
        </w:rPr>
        <w:fldChar w:fldCharType="end"/>
      </w:r>
      <w:r w:rsidRPr="00725D15">
        <w:rPr>
          <w:rFonts w:cs="Arial"/>
          <w:szCs w:val="22"/>
        </w:rPr>
        <w:t xml:space="preserve"> Whether the frequent receipt of preventative medications observed in our study is driven by clinical uncertainty, lack of </w:t>
      </w:r>
      <w:r w:rsidRPr="00725D15">
        <w:rPr>
          <w:rFonts w:cs="Arial"/>
          <w:szCs w:val="22"/>
        </w:rPr>
        <w:lastRenderedPageBreak/>
        <w:t xml:space="preserve">provider education, patient/family treatment preferences, poor communication and care coordination, administrative issues, or some combination of factors is currently unclear and deserves further study.  </w:t>
      </w:r>
    </w:p>
    <w:p w14:paraId="4CB3EF4C" w14:textId="111CF761" w:rsidR="00FC7B75" w:rsidRPr="00725D15" w:rsidRDefault="00FC7B75" w:rsidP="00FC7B75">
      <w:pPr>
        <w:ind w:firstLine="720"/>
        <w:rPr>
          <w:rFonts w:cs="Arial"/>
          <w:szCs w:val="22"/>
        </w:rPr>
      </w:pPr>
      <w:r w:rsidRPr="00725D15">
        <w:rPr>
          <w:rFonts w:cs="Arial"/>
          <w:szCs w:val="22"/>
        </w:rPr>
        <w:t>The prevalence of receiving opioid analgesics over the period of our study is similar to estimates from a previous CMS analysis, which found that 14.9% of hospice beneficiaries enrolled in Part D in 2010 received analgesics through the Part D benefit.</w:t>
      </w:r>
      <w:r w:rsidR="00244D4C">
        <w:rPr>
          <w:rFonts w:cs="Arial"/>
          <w:szCs w:val="22"/>
        </w:rPr>
        <w:fldChar w:fldCharType="begin"/>
      </w:r>
      <w:r w:rsidR="00DB32BA">
        <w:rPr>
          <w:rFonts w:cs="Arial"/>
          <w:szCs w:val="22"/>
        </w:rPr>
        <w:instrText xml:space="preserve"> ADDIN ZOTERO_ITEM CSL_CITATION {"citationID":"ac1penk25e","properties":{"formattedCitation":"\\super 17\\nosupersub{}","plainCitation":"17","noteIndex":0},"citationItems":[{"id":3281,"uris":["http://zotero.org/users/2597747/items/QXQK3EQW"],"uri":["http://zotero.org/users/2597747/items/QXQK3EQW"],"itemData":{"id":3281,"type":"report","title":"Part D Payment for Drugs for Beneficiaries Enrolled in Hospice—Request for Comments [Memorandum]","publisher":"Centers for Medicare and Medicaid Services","publisher-place":"Baltimore, MD","event-place":"Baltimore, MD","author":[{"family":"Tudor","given":"CG"},{"family":"Wilson","given":"L"},{"family":"Majestic","given":"M"}],"issued":{"date-parts":[["2013",12,6]]}}}],"schema":"https://github.com/citation-style-language/schema/raw/master/csl-citation.json"} </w:instrText>
      </w:r>
      <w:r w:rsidR="00244D4C">
        <w:rPr>
          <w:rFonts w:cs="Arial"/>
          <w:szCs w:val="22"/>
        </w:rPr>
        <w:fldChar w:fldCharType="separate"/>
      </w:r>
      <w:r w:rsidR="00B55AC2" w:rsidRPr="00B55AC2">
        <w:rPr>
          <w:rFonts w:cs="Arial"/>
          <w:szCs w:val="24"/>
          <w:vertAlign w:val="superscript"/>
        </w:rPr>
        <w:t>17</w:t>
      </w:r>
      <w:r w:rsidR="00244D4C">
        <w:rPr>
          <w:rFonts w:cs="Arial"/>
          <w:szCs w:val="22"/>
        </w:rPr>
        <w:fldChar w:fldCharType="end"/>
      </w:r>
      <w:r w:rsidRPr="00725D15">
        <w:rPr>
          <w:rFonts w:cs="Arial"/>
          <w:szCs w:val="22"/>
        </w:rPr>
        <w:t xml:space="preserve"> A 2012 report from the Department of Health and Human Services addressed this issue, stating that Medicare may be paying twice for medications related to the palliation of a hospice patient’s terminal illness, once through the hospice benefit’s per diem payment and again through Part D.</w:t>
      </w:r>
      <w:r w:rsidR="00244D4C">
        <w:rPr>
          <w:rFonts w:cs="Arial"/>
          <w:szCs w:val="22"/>
        </w:rPr>
        <w:fldChar w:fldCharType="begin"/>
      </w:r>
      <w:r w:rsidR="00EC3644">
        <w:rPr>
          <w:rFonts w:cs="Arial"/>
          <w:szCs w:val="22"/>
        </w:rPr>
        <w:instrText xml:space="preserve"> ADDIN ZOTERO_ITEM CSL_CITATION {"citationID":"aq7jmh8vsd","properties":{"formattedCitation":"\\super 109\\nosupersub{}","plainCitation":"109","noteIndex":0},"citationItems":[{"id":2495,"uris":["http://zotero.org/users/2597747/items/78MZ3K42"],"uri":["http://zotero.org/users/2597747/items/78MZ3K42"],"itemData":{"id":2495,"type":"report","title":"Medicare Could Be Paying Twice for Prescription Drugs for Beneficiaries in Hospice (OIG Report A-06-10-00059)","publisher":"Department of Health and Human Services","URL":"https://oig.hhs.gov/oas/reports/region6/61000059.pdf","number":"A-06-10-00059","author":[{"family":"Levinson","given":"Daniel R"}],"issued":{"date-parts":[["2012"]]}}}],"schema":"https://github.com/citation-style-language/schema/raw/master/csl-citation.json"} </w:instrText>
      </w:r>
      <w:r w:rsidR="00244D4C">
        <w:rPr>
          <w:rFonts w:cs="Arial"/>
          <w:szCs w:val="22"/>
        </w:rPr>
        <w:fldChar w:fldCharType="separate"/>
      </w:r>
      <w:r w:rsidR="00B55AC2" w:rsidRPr="00B55AC2">
        <w:rPr>
          <w:rFonts w:cs="Arial"/>
          <w:szCs w:val="24"/>
          <w:vertAlign w:val="superscript"/>
        </w:rPr>
        <w:t>109</w:t>
      </w:r>
      <w:r w:rsidR="00244D4C">
        <w:rPr>
          <w:rFonts w:cs="Arial"/>
          <w:szCs w:val="22"/>
        </w:rPr>
        <w:fldChar w:fldCharType="end"/>
      </w:r>
      <w:r w:rsidRPr="00725D15">
        <w:rPr>
          <w:rFonts w:cs="Arial"/>
          <w:szCs w:val="22"/>
          <w:vertAlign w:val="superscript"/>
        </w:rPr>
        <w:t xml:space="preserve"> </w:t>
      </w:r>
      <w:r w:rsidRPr="00725D15">
        <w:rPr>
          <w:rFonts w:cs="Arial"/>
          <w:szCs w:val="22"/>
        </w:rPr>
        <w:t>In 2014, CMS released guidance strongly encouraging Part D plan sponsors to place prior authorization requirements on four classes of prescription drugs almost always covered by Medicare’s hospice benefit: analgesics, antiemetics, laxatives, and anxiolytics.</w:t>
      </w:r>
      <w:r w:rsidR="00244D4C">
        <w:rPr>
          <w:rFonts w:cs="Arial"/>
          <w:szCs w:val="22"/>
        </w:rPr>
        <w:fldChar w:fldCharType="begin"/>
      </w:r>
      <w:r w:rsidR="00EC3644">
        <w:rPr>
          <w:rFonts w:cs="Arial"/>
          <w:szCs w:val="22"/>
        </w:rPr>
        <w:instrText xml:space="preserve"> ADDIN ZOTERO_ITEM CSL_CITATION {"citationID":"a11640db607","properties":{"formattedCitation":"\\super 110\\nosupersub{}","plainCitation":"110","noteIndex":0},"citationItems":[{"id":3934,"uris":["http://zotero.org/users/2597747/items/JMWR7NXV"],"uri":["http://zotero.org/users/2597747/items/JMWR7NXV"],"itemData":{"id":3934,"type":"report","title":"Part D Payment for Drugs for Beneficiaries Enrolled in Medicare Hospice [Memorandum]","publisher":"Centers for Medicare and Medicaid Services","publisher-place":"Baltimore, MD","event-place":"Baltimore, MD","author":[{"family":"Larrick","given":"AK"},{"family":"Wilson","given":"L"}],"issued":{"date-parts":[["2014",7,18]]}}}],"schema":"https://github.com/citation-style-language/schema/raw/master/csl-citation.json"} </w:instrText>
      </w:r>
      <w:r w:rsidR="00244D4C">
        <w:rPr>
          <w:rFonts w:cs="Arial"/>
          <w:szCs w:val="22"/>
        </w:rPr>
        <w:fldChar w:fldCharType="separate"/>
      </w:r>
      <w:r w:rsidR="00B55AC2" w:rsidRPr="00B55AC2">
        <w:rPr>
          <w:rFonts w:cs="Arial"/>
          <w:szCs w:val="24"/>
          <w:vertAlign w:val="superscript"/>
        </w:rPr>
        <w:t>110</w:t>
      </w:r>
      <w:r w:rsidR="00244D4C">
        <w:rPr>
          <w:rFonts w:cs="Arial"/>
          <w:szCs w:val="22"/>
        </w:rPr>
        <w:fldChar w:fldCharType="end"/>
      </w:r>
      <w:r w:rsidRPr="00725D15">
        <w:rPr>
          <w:rFonts w:cs="Arial"/>
          <w:szCs w:val="22"/>
          <w:vertAlign w:val="superscript"/>
        </w:rPr>
        <w:t xml:space="preserve"> </w:t>
      </w:r>
      <w:r w:rsidRPr="00725D15">
        <w:rPr>
          <w:rFonts w:cs="Arial"/>
          <w:szCs w:val="22"/>
        </w:rPr>
        <w:t>Between 2013 and 2016, CMS reported that the prevalence of Part D utilization among hospice patients for drugs in these four categories decreased by more than 75%, from 15.8% to 3.6%, with no negative impact on patient satisfaction.</w:t>
      </w:r>
      <w:r w:rsidR="00244D4C">
        <w:rPr>
          <w:rFonts w:cs="Arial"/>
          <w:szCs w:val="22"/>
        </w:rPr>
        <w:fldChar w:fldCharType="begin"/>
      </w:r>
      <w:r w:rsidR="00EC3644">
        <w:rPr>
          <w:rFonts w:cs="Arial"/>
          <w:szCs w:val="22"/>
        </w:rPr>
        <w:instrText xml:space="preserve"> ADDIN ZOTERO_ITEM CSL_CITATION {"citationID":"a1v3bmkvvgu","properties":{"formattedCitation":"\\super 96\\nosupersub{}","plainCitation":"96","noteIndex":0},"citationItems":[{"id":3903,"uris":["http://zotero.org/users/2597747/items/Q5ICD8CT"],"uri":["http://zotero.org/users/2597747/items/Q5ICD8CT"],"itemData":{"id":3903,"type":"report","title":"Update on Part D Payment Responsibility for Drugs for Beneficiaries Enrolled in Medicare Hospice [Memorandum]","publisher":"Centers for Medicare and Medicaid Services","publisher-place":"Baltimore, MD","event-place":"Baltimore, MD","author":[{"family":"Chavez-Valdez","given":"AL"},{"family":"Wilson","given":"L"}],"issued":{"date-parts":[["2016",11,15]]},"accessed":{"date-parts":[["2017",8,1]]}}}],"schema":"https://github.com/citation-style-language/schema/raw/master/csl-citation.json"} </w:instrText>
      </w:r>
      <w:r w:rsidR="00244D4C">
        <w:rPr>
          <w:rFonts w:cs="Arial"/>
          <w:szCs w:val="22"/>
        </w:rPr>
        <w:fldChar w:fldCharType="separate"/>
      </w:r>
      <w:r w:rsidR="00B55AC2" w:rsidRPr="00B55AC2">
        <w:rPr>
          <w:rFonts w:cs="Arial"/>
          <w:szCs w:val="24"/>
          <w:vertAlign w:val="superscript"/>
        </w:rPr>
        <w:t>96</w:t>
      </w:r>
      <w:r w:rsidR="00244D4C">
        <w:rPr>
          <w:rFonts w:cs="Arial"/>
          <w:szCs w:val="22"/>
        </w:rPr>
        <w:fldChar w:fldCharType="end"/>
      </w:r>
      <w:r w:rsidR="00244D4C">
        <w:rPr>
          <w:rFonts w:cs="Arial"/>
          <w:szCs w:val="22"/>
        </w:rPr>
        <w:t xml:space="preserve"> </w:t>
      </w:r>
      <w:r w:rsidRPr="00725D15">
        <w:rPr>
          <w:rFonts w:cs="Arial"/>
          <w:szCs w:val="22"/>
        </w:rPr>
        <w:t>Thus, for the medications most commonly designated to be provided by hospice, the problem of inappropriate billing to beneficiaries’ Part D plans appears to have largely been eliminated. It is unknown whether this is also true for diagnosis-specific palliative therapies without prior authorization requirements. Among the top 25 medications dispensed through Part D stratified by primary admission diagnosis, we noted multiple bronchodilator medications in patients admitted for lung disease and several cardiac medications which may provide significant symptomatic benefit (e.g., ACE inhibitors and loop diuretics) in those admitted for terminal heart disease.</w:t>
      </w:r>
    </w:p>
    <w:p w14:paraId="2DF0261B" w14:textId="4AA18A1B" w:rsidR="00FC7B75" w:rsidRPr="00725D15" w:rsidRDefault="00FC7B75" w:rsidP="00FC7B75">
      <w:pPr>
        <w:ind w:firstLine="360"/>
        <w:rPr>
          <w:rFonts w:cs="Arial"/>
          <w:szCs w:val="22"/>
        </w:rPr>
      </w:pPr>
      <w:r w:rsidRPr="00725D15">
        <w:rPr>
          <w:rFonts w:cs="Arial"/>
          <w:szCs w:val="22"/>
        </w:rPr>
        <w:t xml:space="preserve"> </w:t>
      </w:r>
      <w:r w:rsidRPr="00725D15">
        <w:rPr>
          <w:rFonts w:cs="Arial"/>
          <w:szCs w:val="22"/>
        </w:rPr>
        <w:tab/>
        <w:t xml:space="preserve">Patients admitted to hospice for dementia and debility/failure to thrive exhibited substantially higher utilization of the Part D benefit compared to patients admitted for cancer, stroke, or organ failure-related illnesses. The reasons for this are unclear. Previous studies have </w:t>
      </w:r>
      <w:r w:rsidRPr="00725D15">
        <w:rPr>
          <w:rFonts w:cs="Arial"/>
          <w:szCs w:val="22"/>
        </w:rPr>
        <w:lastRenderedPageBreak/>
        <w:t>demonstrated that hospice patients admitted for dementia and debility are significantly more likely to have longer hospice stays compared to those with other terminal admission diagnoses.</w:t>
      </w:r>
      <w:r w:rsidR="0083700C">
        <w:rPr>
          <w:rFonts w:cs="Arial"/>
          <w:szCs w:val="22"/>
        </w:rPr>
        <w:fldChar w:fldCharType="begin"/>
      </w:r>
      <w:r w:rsidR="00EC3644">
        <w:rPr>
          <w:rFonts w:cs="Arial"/>
          <w:szCs w:val="22"/>
        </w:rPr>
        <w:instrText xml:space="preserve"> ADDIN ZOTERO_ITEM CSL_CITATION {"citationID":"a14549jacv1","properties":{"formattedCitation":"\\super 111\\uc0\\u8211{}113\\nosupersub{}","plainCitation":"111–113","noteIndex":0},"citationItems":[{"id":3959,"uris":["http://zotero.org/users/2597747/items/65VUD34J"],"uri":["http://zotero.org/users/2597747/items/65VUD34J"],"itemData":{"id":3959,"type":"article-journal","title":"Hospice Care for Patients with Dementia","container-title":"Journal of Pain and Symptom Management","page":"7-16","volume":"34","issue":"1","source":"ScienceDirect","abstract":"Dementia is a leading cause of death in the USA. Although guidelines exist to determine hospice eligibility for dementia, only a small percentage of patients dying with this condition receive hospice care. Hospice recipients with dementia have not been well characterized, and little is known about the quality of care they receive. The Family Evaluation of Hospice Care (FEHC) survey was adopted by the National Hospice and Palliative Care Organization (NHPCO) in 2003 as a standard benchmarking tool. The FEHC collects data from bereaved families regarding the quality of hospice care. An online repository of 2005 FEHC data was used to describe hospice recipients over 65 years of age who died with dementia and to examine their families' evaluation of hospice care. Decedents with cancer and chronic terminal conditions were also analyzed for comparison purposes. A total of 77,123 surveys submitted by 796 hospices nationwide met the study's eligibility criteria. Decedent diagnoses were as follows: dementia, n=8,686 (11.3%); cancer, n=35,693 (46.3%); and other chronic diseases, n=32,744 (42.4%). Decedents with dementia were more likely to be &gt;85 years, female, and have length of stays &gt;180 days. Evaluation of care in all FEHC domains did not significantly differ between groups. Approximately three-quarters of bereaved family members of decedents in all groups perceived the overall quality of care as excellent; however, opportunities to improve care were also identified. These data suggest that the evaluation of hospice care for older patients is generally high, and does not vary with respect to terminal diagnoses.","DOI":"10.1016/j.jpainsymman.2007.01.003","ISSN":"0885-3924","journalAbbreviation":"Journal of Pain and Symptom Management","author":[{"family":"Mitchell","given":"Susan L."},{"family":"Kiely","given":"Dan K."},{"family":"Miller","given":"Susan C."},{"family":"Connor","given":"Stephen R."},{"family":"Spence","given":"Carol"},{"family":"Teno","given":"Joan M."}],"issued":{"date-parts":[["2007",7,1]]}}},{"id":3955,"uris":["http://zotero.org/users/2597747/items/NFVDMMQF"],"uri":["http://zotero.org/users/2597747/items/NFVDMMQF"],"itemData":{"id":3955,"type":"article-journal","title":"Patients Surviving Six Months in Hospice Care: Who Are They?","container-title":"Journal of Palliative Medicine","page":"899-905","volume":"17","issue":"8","source":"online.liebertpub.com.proxy.cc.uic.edu (Atypon)","abstract":"Background: On January 1, 2011, the Centers for Medicare and Medicaid Services (CMS) began requiring U.S. hospices to conduct a “face-to-face” (F2F) assessment of eligibility for continued hospice care with patients entering their third certification period (180 days after initial enrollment). Understanding which patient populations require F2F assessment is important for evaluating the impact of the CMS regulation and gauging the appropriateness of the 6-month prognosis criteria for different patient groups. Methods: Retrospective program records were obtained for patients enrolled in a large hospice 6 months prior to implementation of the CMS regulation (N=375). Patients who remained in hospice and received a F2F (n=140) were compared to patients who were no longer in hospice (n=235) on demographics, terminal condition (categorized as debility/dementia, cancer, or other), presence of serious comorbidity, length of stay, setting of care prior to admission, and hospice outcome using bivariate statistics. Predictors of F2F recertification were examined using a multivariable logistic regression model controlling for demographics, setting of care prior to admission, comorbidity, and primary terminal diagnosis. Results: At the bivariate level, patients who received an F2F were older (p&lt;0.001), and more likely to have lived in a facility care setting prior to hospice admission (p&lt;0.001) than their non-F2F counterparts. Findings from the logistic regression analysis indicate that initial setting of care (odds ratio [OR] for inpatient versus home=0.20; p=0.01), presence of serious comorbidity (OR=2.84; p&lt;0.001), and primary diagnosis (OR for debility/dementia versus cancer=3.35; p&lt;0.001) were significant predictors of F2F recertification. Conclusions: Unlike hospice patients with cancer, patients with a primary diagnosis of dementia or debility are more likely to remain in hospice care beyond 6 months and require F2F recertification. Still, these patients need the services provided by hospice care and may be limited by the 6-month recertification criteria.","DOI":"10.1089/jpm.2013.0512","ISSN":"1096-6218","shortTitle":"Patients Surviving Six Months in Hospice Care","journalAbbreviation":"Journal of Palliative Medicine","author":[{"family":"Rothenberg","given":"Lindsay R."},{"family":"Doberman","given":"Danielle"},{"family":"Simon","given":"Lin E."},{"family":"Gryczynski","given":"Jan"},{"family":"Cordts","given":"Grace"}],"issued":{"date-parts":[["2014",6,16]]}}},{"id":3961,"uris":["http://zotero.org/users/2597747/items/P5NQKI58"],"uri":["http://zotero.org/users/2597747/items/P5NQKI58"],"itemData":{"id":3961,"type":"report","title":"Medicare Hospice Care: A Comparison of Beneficiaries in Nursing Facilities and Beneficiaries in Other Settings (OIG Report OEI-02-06-00220)","publisher":"Department of Health and Human Services","URL":"https://oig.hhs.gov/oei/reports/oei-02-06-00220.pdf","author":[{"family":"Levinson","given":"DR"}],"issued":{"date-parts":[["2007"]]}}}],"schema":"https://github.com/citation-style-language/schema/raw/master/csl-citation.json"} </w:instrText>
      </w:r>
      <w:r w:rsidR="0083700C">
        <w:rPr>
          <w:rFonts w:cs="Arial"/>
          <w:szCs w:val="22"/>
        </w:rPr>
        <w:fldChar w:fldCharType="separate"/>
      </w:r>
      <w:r w:rsidR="00B55AC2" w:rsidRPr="00B55AC2">
        <w:rPr>
          <w:rFonts w:cs="Arial"/>
          <w:szCs w:val="24"/>
          <w:vertAlign w:val="superscript"/>
        </w:rPr>
        <w:t>111–113</w:t>
      </w:r>
      <w:r w:rsidR="0083700C">
        <w:rPr>
          <w:rFonts w:cs="Arial"/>
          <w:szCs w:val="22"/>
        </w:rPr>
        <w:fldChar w:fldCharType="end"/>
      </w:r>
      <w:r w:rsidRPr="00725D15">
        <w:rPr>
          <w:rFonts w:cs="Arial"/>
          <w:szCs w:val="22"/>
        </w:rPr>
        <w:t xml:space="preserve"> We found that a primary hospice admission diagnosis of dementia or debility/failure to thrive was associated with a mean hospice stay of 76 days, compared to 44 days for cancer, 54 days for heart disease, 57 days for lung disease, 31 days for ischemic stroke, and 22 days for renal disease (data not shown). The prevalence of Part D dispensing within the admission diagnosis groups, tended to increase with increasing group length of stay. It is plausible that compared to patients with short hospice stays, those with longer stays may have simply survived long enough to be eligible for continued refills of medications used prior to admission. Further, hospice patients with dementia and debility diagnoses are more than twice as likely to reside in nursing facilities compared to other settings.</w:t>
      </w:r>
      <w:r w:rsidR="0083700C">
        <w:rPr>
          <w:rFonts w:cs="Arial"/>
          <w:szCs w:val="22"/>
        </w:rPr>
        <w:fldChar w:fldCharType="begin"/>
      </w:r>
      <w:r w:rsidR="00EC3644">
        <w:rPr>
          <w:rFonts w:cs="Arial"/>
          <w:szCs w:val="22"/>
        </w:rPr>
        <w:instrText xml:space="preserve"> ADDIN ZOTERO_ITEM CSL_CITATION {"citationID":"a1if9dm0pte","properties":{"formattedCitation":"\\super 113\\nosupersub{}","plainCitation":"113","noteIndex":0},"citationItems":[{"id":3961,"uris":["http://zotero.org/users/2597747/items/P5NQKI58"],"uri":["http://zotero.org/users/2597747/items/P5NQKI58"],"itemData":{"id":3961,"type":"report","title":"Medicare Hospice Care: A Comparison of Beneficiaries in Nursing Facilities and Beneficiaries in Other Settings (OIG Report OEI-02-06-00220)","publisher":"Department of Health and Human Services","URL":"https://oig.hhs.gov/oei/reports/oei-02-06-00220.pdf","author":[{"family":"Levinson","given":"DR"}],"issued":{"date-parts":[["2007"]]}}}],"schema":"https://github.com/citation-style-language/schema/raw/master/csl-citation.json"} </w:instrText>
      </w:r>
      <w:r w:rsidR="0083700C">
        <w:rPr>
          <w:rFonts w:cs="Arial"/>
          <w:szCs w:val="22"/>
        </w:rPr>
        <w:fldChar w:fldCharType="separate"/>
      </w:r>
      <w:r w:rsidR="00B55AC2" w:rsidRPr="00B55AC2">
        <w:rPr>
          <w:rFonts w:cs="Arial"/>
          <w:szCs w:val="24"/>
          <w:vertAlign w:val="superscript"/>
        </w:rPr>
        <w:t>113</w:t>
      </w:r>
      <w:r w:rsidR="0083700C">
        <w:rPr>
          <w:rFonts w:cs="Arial"/>
          <w:szCs w:val="22"/>
        </w:rPr>
        <w:fldChar w:fldCharType="end"/>
      </w:r>
      <w:r w:rsidRPr="00725D15">
        <w:rPr>
          <w:rFonts w:cs="Arial"/>
          <w:szCs w:val="22"/>
        </w:rPr>
        <w:t xml:space="preserve"> These facilities are often serviced by long-term care pharmacies which frequently use automatic medication refill and delivery processes for the patients they serve. As hospice admission to a nursing facility often does not represent a change in physical location for many of these patients, routine refills of preventative medications may continue to be processed through Part D by the long-term care pharmacy unless explicit orders are received from a prescriber discontinuing the medication(s).</w:t>
      </w:r>
    </w:p>
    <w:p w14:paraId="70F29812" w14:textId="17114723" w:rsidR="00FC7B75" w:rsidRPr="00725D15" w:rsidRDefault="00FC7B75" w:rsidP="00FC7B75">
      <w:pPr>
        <w:ind w:firstLine="720"/>
        <w:rPr>
          <w:rFonts w:cs="Arial"/>
          <w:szCs w:val="22"/>
        </w:rPr>
      </w:pPr>
      <w:r w:rsidRPr="00725D15">
        <w:rPr>
          <w:rFonts w:cs="Arial"/>
          <w:szCs w:val="22"/>
        </w:rPr>
        <w:t>The utilization of the Part D prescription drug benefit in over half of hospice patients highlights the importance of comprehensively reviewing each patient’s medication regimen at hospice admission, including an assessment of medication appropriateness in the context of the patient’s terminal illness. A framework for discontinuing medications for patients late in life based on life expectancy, time to benefit of the medication, goals of care, and medication treatment targets could be used to reduce medicines deemed unnecessary in light of terminal illness.</w:t>
      </w:r>
      <w:r w:rsidR="0083700C">
        <w:rPr>
          <w:rFonts w:cs="Arial"/>
          <w:szCs w:val="22"/>
        </w:rPr>
        <w:fldChar w:fldCharType="begin"/>
      </w:r>
      <w:r w:rsidR="00EC3644">
        <w:rPr>
          <w:rFonts w:cs="Arial"/>
          <w:szCs w:val="22"/>
        </w:rPr>
        <w:instrText xml:space="preserve"> ADDIN ZOTERO_ITEM CSL_CITATION {"citationID":"a141ndeqcii","properties":{"formattedCitation":"\\super 49,102\\nosupersub{}","plainCitation":"49,102","noteIndex":0},"citationItems":[{"id":575,"uris":["http://zotero.org/users/2597747/items/JD6EB6VZ"],"uri":["http://zotero.org/users/2597747/items/JD6EB6VZ"],"itemData":{"id":575,"type":"article-journal","title":"Patients with advanced lung cancer: is there scope to discontinue inappropriate medication?","container-title":"International Journal of Clinical Pharmacy","page":"181-184","volume":"35","issue":"2","source":"link.springer.com.proxy.cc.uic.edu","abstract":"Background Polypharmacy—taking five or medications per day—is common in lung cancer patients. This patient group is prescribed medication to control acute symptoms associated with cancer and also to prevent or treat other long-term conditions. These medications increase the pill burden for the patient and also the probability of developing a drug-related toxicity. Objective To assess the prevalence of inappropriate medication in patients taking erlotinib for the treatment of advanced non-small cell lung cancer. Method This was a multicentre study across three sites in the North of England. Medication histories for patients receiving erlotinib were retrospectively extracted from medical notes and assessed by the clinical team (a consultant pharmacist, nurse specialist and clinical oncologist) to determine if the medication was appropriate or inappropriate. The clinical team considered the following factors when deciding if the medication was appropriate or inappropriate: remaining life expectancy of the patient, time until benefit of the treatment, goals of care and treatment targets. Results Among the 20 patients assessed, 19 (95 %) according to the clinical team were taking medications that were inappropriate. The mean number of medications the patients were taking was 8 (range 1–16) and the most common class of medication used were drugs affecting the Central Nervous System. In addition, there were 11 patients (55 %) who were taking erlotinib in combination with a proton pump inhibitor (PPI)—a clinically significant drug interaction that impairs the absorption of erlotinib. Conclusions Patients taking erlotinib for the treatment of advanced non-small cell lung cancer take many inappropriate medications for the treatment or prevention of long-term conditions. These patients should have their medications reviewed in the context of their original therapeutic goals.","DOI":"10.1007/s11096-012-9731-2","ISSN":"2210-7703, 2210-7711","shortTitle":"Patients with advanced lung cancer","journalAbbreviation":"Int J Clin Pharm","language":"en","author":[{"family":"Todd","given":"Adam"},{"family":"Williamson","given":"Steve"},{"family":"Husband","given":"Andy"},{"family":"Baqir","given":"Wasim"},{"family":"Mahony","given":"Mairead"}],"issued":{"date-parts":[["2012",12,11]]}}},{"id":212,"uris":["http://zotero.org/users/2597747/items/HGWGX7CP"],"uri":["http://zotero.org/users/2597747/items/HGWGX7CP"],"itemData":{"id":212,"type":"article-journal","title":"Reconsidering medication appropriateness for patients late in life","container-title":"Archives of Internal Medicine","page":"605-609","volume":"166","issue":"6","source":"Silverchair","abstract":"Providing guideline-adherent care for many medical conditions increasingly means the addition of more medications to reach disease-specific targets.1 When might it be best to withhold or discontinue medications that are otherwise appropriate on the basis of guidelines? Receiving facsimiles from the pharmacy serving a local nursing home encouraging us to prescribe statins for residents there symbolizes the issues. Most of these patients had a limited life expectancy, were older than 90 years, or had advanced dementia. Similar situations occur in patients with functional impairments, frailty, or diseases like emphysema, congestive heart failure, or coronary artery disease in their advanced stages, for whom starting or continuing many recommended drugs does not seem the best way to optimize care.","DOI":"10.1001/archinte.166.6.605","ISSN":"0003-9926","journalAbbreviation":"Arch Intern Med","author":[{"literal":"Holmes HM"},{"literal":"Hayley D"},{"literal":"Alexander G"},{"literal":"Sachs GA"}],"issued":{"date-parts":[["2006",3,27]]}}}],"schema":"https://github.com/citation-style-language/schema/raw/master/csl-citation.json"} </w:instrText>
      </w:r>
      <w:r w:rsidR="0083700C">
        <w:rPr>
          <w:rFonts w:cs="Arial"/>
          <w:szCs w:val="22"/>
        </w:rPr>
        <w:fldChar w:fldCharType="separate"/>
      </w:r>
      <w:r w:rsidR="00B55AC2" w:rsidRPr="00B55AC2">
        <w:rPr>
          <w:rFonts w:cs="Arial"/>
          <w:szCs w:val="24"/>
          <w:vertAlign w:val="superscript"/>
        </w:rPr>
        <w:t>49,102</w:t>
      </w:r>
      <w:r w:rsidR="0083700C">
        <w:rPr>
          <w:rFonts w:cs="Arial"/>
          <w:szCs w:val="22"/>
        </w:rPr>
        <w:fldChar w:fldCharType="end"/>
      </w:r>
      <w:r w:rsidRPr="00725D15">
        <w:rPr>
          <w:rFonts w:cs="Arial"/>
          <w:szCs w:val="22"/>
        </w:rPr>
        <w:t xml:space="preserve"> A mutual understanding of treatment goals among patients and families and the hospice care team upon hospice admission is critical to ensuring smooth care transition and expectations for medical care during the hospice stay. Clinical pharmacists with training in </w:t>
      </w:r>
      <w:r w:rsidRPr="00725D15">
        <w:rPr>
          <w:rFonts w:cs="Arial"/>
          <w:szCs w:val="22"/>
        </w:rPr>
        <w:lastRenderedPageBreak/>
        <w:t>geriatrics and palliative care may be an especially valuable resource in this setting, as their ability to manage complex medication regimens has been shown to positively influence patient outcomes and prevent drug-related problems in terminally-ill patients.</w:t>
      </w:r>
      <w:r w:rsidR="0083700C">
        <w:rPr>
          <w:rFonts w:cs="Arial"/>
          <w:szCs w:val="22"/>
        </w:rPr>
        <w:fldChar w:fldCharType="begin"/>
      </w:r>
      <w:r w:rsidR="00EC3644">
        <w:rPr>
          <w:rFonts w:cs="Arial"/>
          <w:szCs w:val="22"/>
        </w:rPr>
        <w:instrText xml:space="preserve"> ADDIN ZOTERO_ITEM CSL_CITATION {"citationID":"a89677gcj0","properties":{"formattedCitation":"\\super 114,115\\nosupersub{}","plainCitation":"114,115","noteIndex":0},"citationItems":[{"id":3666,"uris":["http://zotero.org/users/2597747/items/QJSF8ESV"],"uri":["http://zotero.org/users/2597747/items/QJSF8ESV"],"itemData":{"id":3666,"type":"article-journal","title":"Impact of pharmacist intervention on clinical outcomes in the palliative care setting","container-title":"The American Journal of Hospice &amp; Palliative Care","page":"316-320","volume":"28","issue":"5","source":"PubMed","abstract":"BACKGROUND: Although accepted as an integral part of the interdisciplinary team, pharmacist value in palliative care has predominantly been evaluated by subjective methods. This study was conducted to identify factors that impact physician acceptance of the pharmacist's recommendation and to determine whether acceptance is a significant predictor of clinical outcome.\nMETHODS: As a mandated in-house quality assurance project at Niagara Hospice, Inc, 2 clinical pharmacists tracked each request for pharmacotherapeutic intervention over a 4-month period (April-July 2009). Through retrospective examination of clinical notes, each intervention was reviewed to determine age, gender, death date, presenting symptom, recommending pharmacist, recommendation type, recommendation status (accepted vs declined), and clinical outcome (achieved vs not achieved).\nRESULTS: Overall, 89.4% of recommendations were accepted, and 79.9% of patients achieved the desired clinical outcome. With the exception of delirium as a presenting symptom (75% accepted vs 90.8% all other symptoms accepted; P = .02), no significant associations were identified between any variable and recommendation acceptance. Multivariate analysis revealed acceptance of the pharmacist's recommendation (OR, 19.0; 95% CI, 7.10-50.93; P &lt; .001), the recommending pharmacist (resident, OR, 2.46; 95% CI, 1.18-5.12; P = .02), and closer proximity to death (day 0-30, OR, 2.79; 95% CI, 1.16-6.70; P = .02) to be significant predictors of achieving the desired clinical outcome.\nCONCLUSION: None of the included variables significantly influenced the physician's decision to accept or decline the pharmacist's recommendation. Acceptance of the pharmacist's recommendation was significantly associated with the strongest predictor of the patient achieving the desired clinical outcome.","DOI":"10.1177/1049909110391080","ISSN":"1938-2715","note":"PMID: 21115471","journalAbbreviation":"Am J Hosp Palliat Care","language":"eng","author":[{"family":"Wilson","given":"Shelley"},{"family":"Wahler","given":"Robert"},{"family":"Brown","given":"Jack"},{"family":"Doloresco","given":"Fred"},{"family":"Monte","given":"Scott V."}],"issued":{"date-parts":[["2011",8]]}}},{"id":3664,"uris":["http://zotero.org/users/2597747/items/6MHHUAGM"],"uri":["http://zotero.org/users/2597747/items/6MHHUAGM"],"itemData":{"id":3664,"type":"article-journal","title":"Outcomes of recommendations by hospice pharmacists","container-title":"American journal of health systems pharmacy","page":"2235-2239","volume":"63","issue":"22","source":"PubMed","abstract":"PURPOSE: The value of pharmaceutical care recommendations made by consultant pharmacists and the outcomes of these recommendations were studied.\nMETHODS: The study was conducted at three hospice programs, and the investigators were consultant pharmacists who shared the responsibility of providing drug therapy recommendations to the three programs. A literature search was conducted to determine if any tools had been developed to evaluate recommendations made by pharmacists in clinical practice settings. One tool was identified and adapted for use in a hospice clinical setting. Drug-related problems (DRPs) (n = 98), clinical interventions (n = 87), and outcomes data were collected by two hospice consultant pharmacists and evaluated by a panel of experts using the assessment tool.\nRESULTS: Ninety-eight interventions were collected and evaluated. Eighty-seven of the 98 interventions were classified as clinical interventions with specific therapeutic goals established. Of these 87 interventions, 73 (84%) were accepted by the prescriber and 56 (77%) out of the 73 helped achieve the therapeutic goals. An additional 6 (8%) interventions partially achieved the therapeutic goals. Over 75% of all of the pharmacists' recommendations achieved their intended therapeutic effect, which resulted in better management of the patients' physical symptoms. None of the accepted recommendations resulted in the patient coming to harm or having an adverse effect. Overall agreement between raters for severity and value was moderately high, 60-70% and 63-80%, respectively. Kappa scores were low.\nCONCLUSION: Hospice-based clinical pharmacists influenced patient outcomes positively by identifying DRPs and recommending appropriate drug therapy.","DOI":"10.2146/ajhp060143","ISSN":"1079-2082","note":"PMID: 17090744","journalAbbreviation":"Am J Health Syst Pharm","language":"eng","author":[{"family":"Lee","given":"Jerome"},{"family":"McPherson","given":"Mary Lynn"}],"issued":{"date-parts":[["2006",11,15]]}}}],"schema":"https://github.com/citation-style-language/schema/raw/master/csl-citation.json"} </w:instrText>
      </w:r>
      <w:r w:rsidR="0083700C">
        <w:rPr>
          <w:rFonts w:cs="Arial"/>
          <w:szCs w:val="22"/>
        </w:rPr>
        <w:fldChar w:fldCharType="separate"/>
      </w:r>
      <w:r w:rsidR="00B55AC2" w:rsidRPr="00B55AC2">
        <w:rPr>
          <w:rFonts w:cs="Arial"/>
          <w:szCs w:val="24"/>
          <w:vertAlign w:val="superscript"/>
        </w:rPr>
        <w:t>114,115</w:t>
      </w:r>
      <w:r w:rsidR="0083700C">
        <w:rPr>
          <w:rFonts w:cs="Arial"/>
          <w:szCs w:val="22"/>
        </w:rPr>
        <w:fldChar w:fldCharType="end"/>
      </w:r>
    </w:p>
    <w:p w14:paraId="25C0E892" w14:textId="0760A9CF" w:rsidR="00FC7B75" w:rsidRPr="00725D15" w:rsidRDefault="00FC7B75" w:rsidP="00FC7B75">
      <w:pPr>
        <w:ind w:firstLine="720"/>
        <w:rPr>
          <w:rFonts w:cs="Arial"/>
          <w:szCs w:val="22"/>
        </w:rPr>
      </w:pPr>
      <w:r w:rsidRPr="00725D15">
        <w:rPr>
          <w:rFonts w:cs="Arial"/>
          <w:szCs w:val="22"/>
        </w:rPr>
        <w:t>Several limitations of our study should be noted. Our intent was to broadly describe the medications that older Medicare fee-for-service hospice patients received through Medicare Part D. The results of our study may not be generalizable to hospice patients enrolled in other health plan types (e.g., Medicare Advantage) or those without Part D prescription coverage. Beginning in October 2014, CMS no longer allowed debility, adult failure to thrive, and certain dementias (e.g., senile, vascular, and unspecified dementias) to be listed as a patient’s primary hospice admission diagnoses.</w:t>
      </w:r>
      <w:r w:rsidR="0083700C">
        <w:rPr>
          <w:rFonts w:cs="Arial"/>
          <w:szCs w:val="22"/>
        </w:rPr>
        <w:fldChar w:fldCharType="begin"/>
      </w:r>
      <w:r w:rsidR="00EC3644">
        <w:rPr>
          <w:rFonts w:cs="Arial"/>
          <w:szCs w:val="22"/>
        </w:rPr>
        <w:instrText xml:space="preserve"> ADDIN ZOTERO_ITEM CSL_CITATION {"citationID":"a1g2g6lrfg8","properties":{"formattedCitation":"\\super 116\\nosupersub{}","plainCitation":"116","noteIndex":0},"citationItems":[{"id":4042,"uris":["http://zotero.org/users/2597747/items/HJSQU2U4"],"uri":["http://zotero.org/users/2597747/items/HJSQU2U4"],"itemData":{"id":4042,"type":"report","title":"Hospice Manual Update for Diagnosis Reporting and Filing Hospice Notice of Election (NOE) and Termination or Revocation of Election.","publisher":"Centers for Medicare and Medicaid Services","URL":"https://www.cms.gov/Outreach-and-Education/Medicare-Learning-Network-MLN/MLNMattersArticles/downloads/MM8877.pdf","number":"MM8877 Revised","author":[{"family":"","given":"MLM Matters"}],"issued":{"date-parts":[["2014"]]}}}],"schema":"https://github.com/citation-style-language/schema/raw/master/csl-citation.json"} </w:instrText>
      </w:r>
      <w:r w:rsidR="0083700C">
        <w:rPr>
          <w:rFonts w:cs="Arial"/>
          <w:szCs w:val="22"/>
        </w:rPr>
        <w:fldChar w:fldCharType="separate"/>
      </w:r>
      <w:r w:rsidR="00B55AC2" w:rsidRPr="00B55AC2">
        <w:rPr>
          <w:rFonts w:cs="Arial"/>
          <w:szCs w:val="24"/>
          <w:vertAlign w:val="superscript"/>
        </w:rPr>
        <w:t>116</w:t>
      </w:r>
      <w:r w:rsidR="0083700C">
        <w:rPr>
          <w:rFonts w:cs="Arial"/>
          <w:szCs w:val="22"/>
        </w:rPr>
        <w:fldChar w:fldCharType="end"/>
      </w:r>
      <w:r w:rsidRPr="00725D15">
        <w:rPr>
          <w:rFonts w:cs="Arial"/>
          <w:szCs w:val="22"/>
        </w:rPr>
        <w:t xml:space="preserve"> The observed results for these patient groups may thus be less applicable today. While the utilized data source is nationally representative, we did not attempt to account for confounding factors that may explain the observed differences across admission diagnosis cohorts.</w:t>
      </w:r>
    </w:p>
    <w:p w14:paraId="0275A024" w14:textId="6C1BE447" w:rsidR="00FC7B75" w:rsidRPr="00725D15" w:rsidRDefault="00FC7B75" w:rsidP="00234258">
      <w:pPr>
        <w:ind w:firstLine="720"/>
        <w:rPr>
          <w:rFonts w:cs="Arial"/>
          <w:szCs w:val="22"/>
        </w:rPr>
      </w:pPr>
      <w:r w:rsidRPr="00725D15">
        <w:rPr>
          <w:rFonts w:cs="Arial"/>
          <w:szCs w:val="22"/>
        </w:rPr>
        <w:t xml:space="preserve"> We also did not attempt to assess appropriateness of the medications dispensed based on indication. For example, the use of certain antihypertensives in patients with terminal congestive heart failure may confer a symptomatic benefit, and thus be reasonable to continue after hospice admission. However, in such a scenario, we would anticipate that the medication is provided by hospice, and not through the Part D benefit. Medicare Part D claims do not allow a determination of whether medications dispensed are actually taken by the patient, though Part D dispensing in the hospice population is problematic on its own from a policy and systems perspective. Finally, we did not assess the proportion of pre-hospice admission users of a particular medication class who subsequently continued the medication after admission, which may serve as a proxy for hospice provider deprescribing. Further research is needed to contextualize the observed Part D utilization patterns and determine the magnitude and determinants of non-palliative, preventative medication continuation after admission to hospice. </w:t>
      </w:r>
    </w:p>
    <w:p w14:paraId="14D01180" w14:textId="162FFB8E" w:rsidR="00DB1A50" w:rsidRPr="00725D15" w:rsidRDefault="00DB1A50" w:rsidP="00DF3833">
      <w:pPr>
        <w:pStyle w:val="Style2"/>
        <w:spacing w:before="0" w:line="480" w:lineRule="auto"/>
      </w:pPr>
      <w:bookmarkStart w:id="90" w:name="_Toc507326052"/>
      <w:r w:rsidRPr="00725D15">
        <w:lastRenderedPageBreak/>
        <w:t>2.6 Conclusion</w:t>
      </w:r>
      <w:bookmarkEnd w:id="90"/>
    </w:p>
    <w:p w14:paraId="176BCA76" w14:textId="77777777" w:rsidR="00FC7B75" w:rsidRPr="00725D15" w:rsidRDefault="00FC7B75" w:rsidP="00FC7B75">
      <w:pPr>
        <w:ind w:firstLine="720"/>
        <w:rPr>
          <w:rFonts w:cs="Arial"/>
          <w:szCs w:val="22"/>
        </w:rPr>
      </w:pPr>
      <w:r w:rsidRPr="00725D15">
        <w:rPr>
          <w:rFonts w:cs="Arial"/>
          <w:szCs w:val="22"/>
        </w:rPr>
        <w:t>In summary, we assessed the medications obtained through Medicare Part D in patients admitted to hospice and found that more than half of patients continued to receive Part D medications after admission. Preventative medications with potentially limited benefit were regularly dispensed through Part D and utilization varied widely by primary hospice admission diagnosis. The clinical and economic implications of potential misuse or overprescribing in dying patients are non-trivial. A more critical evaluation of each patient’s medication list and subsequent deprescribing of those treatments which may not be relevant in the context of terminal illness is needed. Identification of patient, provider, and healthcare system-related contributors to non-palliative medication use may help to improve medication-related quality of care in this vulnerable population.</w:t>
      </w:r>
    </w:p>
    <w:p w14:paraId="7EB5BD22" w14:textId="77777777" w:rsidR="00FC7B75" w:rsidRDefault="00FC7B75" w:rsidP="00FC7B75">
      <w:pPr>
        <w:rPr>
          <w:rFonts w:cs="Arial"/>
          <w:szCs w:val="22"/>
        </w:rPr>
      </w:pPr>
    </w:p>
    <w:p w14:paraId="079B4769" w14:textId="77777777" w:rsidR="00155ED6" w:rsidRDefault="00155ED6" w:rsidP="00FC7B75">
      <w:pPr>
        <w:rPr>
          <w:rFonts w:cs="Arial"/>
          <w:szCs w:val="22"/>
        </w:rPr>
      </w:pPr>
    </w:p>
    <w:p w14:paraId="39421041" w14:textId="77777777" w:rsidR="00155ED6" w:rsidRDefault="00155ED6" w:rsidP="00FC7B75">
      <w:pPr>
        <w:rPr>
          <w:rFonts w:cs="Arial"/>
          <w:szCs w:val="22"/>
        </w:rPr>
      </w:pPr>
    </w:p>
    <w:p w14:paraId="367669C7" w14:textId="77777777" w:rsidR="00155ED6" w:rsidRDefault="00155ED6" w:rsidP="00FC7B75">
      <w:pPr>
        <w:rPr>
          <w:rFonts w:cs="Arial"/>
          <w:szCs w:val="22"/>
        </w:rPr>
      </w:pPr>
    </w:p>
    <w:p w14:paraId="77C4BACD" w14:textId="77777777" w:rsidR="00155ED6" w:rsidRDefault="00155ED6" w:rsidP="00FC7B75">
      <w:pPr>
        <w:rPr>
          <w:rFonts w:cs="Arial"/>
          <w:szCs w:val="22"/>
        </w:rPr>
      </w:pPr>
    </w:p>
    <w:p w14:paraId="513F3D90" w14:textId="77777777" w:rsidR="00155ED6" w:rsidRDefault="00155ED6" w:rsidP="00FC7B75">
      <w:pPr>
        <w:rPr>
          <w:rFonts w:cs="Arial"/>
          <w:szCs w:val="22"/>
        </w:rPr>
      </w:pPr>
    </w:p>
    <w:p w14:paraId="0D3C27DB" w14:textId="77777777" w:rsidR="00DF3833" w:rsidRPr="00155ED6" w:rsidRDefault="00DF3833" w:rsidP="00155ED6"/>
    <w:p w14:paraId="462D057F" w14:textId="77777777" w:rsidR="00155ED6" w:rsidRDefault="00155ED6" w:rsidP="00155ED6"/>
    <w:p w14:paraId="5BD0BAD5" w14:textId="77777777" w:rsidR="006F0FEB" w:rsidRDefault="006F0FEB" w:rsidP="00155ED6"/>
    <w:p w14:paraId="37B32DCB" w14:textId="77777777" w:rsidR="006F0FEB" w:rsidRDefault="006F0FEB" w:rsidP="00155ED6"/>
    <w:p w14:paraId="59BD21FD" w14:textId="77777777" w:rsidR="006F0FEB" w:rsidRPr="00155ED6" w:rsidRDefault="006F0FEB" w:rsidP="00155ED6"/>
    <w:p w14:paraId="57D1B38E" w14:textId="77777777" w:rsidR="00DB1A50" w:rsidRPr="00725D15" w:rsidRDefault="00DB1A50" w:rsidP="00DF3833">
      <w:pPr>
        <w:pStyle w:val="Style1"/>
        <w:spacing w:before="0" w:line="480" w:lineRule="auto"/>
        <w:jc w:val="center"/>
      </w:pPr>
      <w:bookmarkStart w:id="91" w:name="_Toc507326053"/>
      <w:r w:rsidRPr="00725D15">
        <w:lastRenderedPageBreak/>
        <w:t>III.</w:t>
      </w:r>
      <w:r w:rsidRPr="00725D15">
        <w:rPr>
          <w:caps/>
        </w:rPr>
        <w:t xml:space="preserve"> Continuation of Medications with Limited Benefit in Older Hospice Patients</w:t>
      </w:r>
      <w:bookmarkEnd w:id="91"/>
    </w:p>
    <w:p w14:paraId="22E234DD" w14:textId="77777777" w:rsidR="00B856C9" w:rsidRPr="00725D15" w:rsidRDefault="00DB1A50" w:rsidP="00DF3833">
      <w:pPr>
        <w:pStyle w:val="Style2"/>
        <w:spacing w:before="0" w:line="480" w:lineRule="auto"/>
      </w:pPr>
      <w:bookmarkStart w:id="92" w:name="_Toc507326054"/>
      <w:r w:rsidRPr="00725D15">
        <w:t>3.1 Preface</w:t>
      </w:r>
      <w:bookmarkEnd w:id="92"/>
    </w:p>
    <w:p w14:paraId="03C2F22B" w14:textId="75D5DB00" w:rsidR="00D739E7" w:rsidRPr="00725D15" w:rsidRDefault="00D739E7" w:rsidP="00234258">
      <w:pPr>
        <w:ind w:firstLine="720"/>
        <w:rPr>
          <w:rFonts w:cs="Arial"/>
          <w:szCs w:val="22"/>
        </w:rPr>
      </w:pPr>
      <w:r w:rsidRPr="00725D15">
        <w:rPr>
          <w:rFonts w:cs="Arial"/>
          <w:szCs w:val="22"/>
        </w:rPr>
        <w:t xml:space="preserve">This chapter addresses Aim 2 of the dissertation. It is being considered for publication in the </w:t>
      </w:r>
      <w:r w:rsidRPr="00725D15">
        <w:rPr>
          <w:rFonts w:cs="Arial"/>
          <w:i/>
          <w:szCs w:val="22"/>
        </w:rPr>
        <w:t>Journal of the American Medical Association</w:t>
      </w:r>
      <w:r w:rsidRPr="00725D15">
        <w:rPr>
          <w:rFonts w:cs="Arial"/>
          <w:szCs w:val="22"/>
        </w:rPr>
        <w:t xml:space="preserve"> as an article titled “Continuation of Medications with Limited Benefit in Older Hospice Patients”. The submitted version is presented here. </w:t>
      </w:r>
    </w:p>
    <w:p w14:paraId="5B12D9CD" w14:textId="77777777" w:rsidR="00DB1A50" w:rsidRPr="00725D15" w:rsidRDefault="00DB1A50" w:rsidP="00DF3833">
      <w:pPr>
        <w:pStyle w:val="Style2"/>
        <w:spacing w:before="0" w:line="480" w:lineRule="auto"/>
      </w:pPr>
      <w:bookmarkStart w:id="93" w:name="_Toc507326055"/>
      <w:r w:rsidRPr="00725D15">
        <w:t>3.2 Introduction</w:t>
      </w:r>
      <w:bookmarkEnd w:id="93"/>
    </w:p>
    <w:p w14:paraId="6B290A16" w14:textId="2198FABD" w:rsidR="00234258" w:rsidRPr="00725D15" w:rsidRDefault="00234258" w:rsidP="00234258">
      <w:pPr>
        <w:ind w:firstLine="720"/>
        <w:rPr>
          <w:rFonts w:cs="Arial"/>
          <w:szCs w:val="22"/>
        </w:rPr>
      </w:pPr>
      <w:r w:rsidRPr="00725D15">
        <w:rPr>
          <w:rFonts w:cs="Arial"/>
          <w:szCs w:val="22"/>
        </w:rPr>
        <w:t>Hospice utilization has increased dramatically in recent years such that nearly half of all deaths in the United States now occur under hospice care.</w:t>
      </w:r>
      <w:bookmarkStart w:id="94" w:name="ZOTERO_BREF_wEaWOrttuSqd"/>
      <w:r w:rsidR="00ED0D20">
        <w:rPr>
          <w:rFonts w:cs="Arial"/>
          <w:szCs w:val="22"/>
        </w:rPr>
        <w:fldChar w:fldCharType="begin"/>
      </w:r>
      <w:r w:rsidR="00EC3644">
        <w:rPr>
          <w:rFonts w:cs="Arial"/>
          <w:szCs w:val="22"/>
        </w:rPr>
        <w:instrText xml:space="preserve"> ADDIN ZOTERO_ITEM CSL_CITATION {"citationID":"ahh3egv2ea","properties":{"formattedCitation":"\\super 2,94\\nosupersub{}","plainCitation":"2,94","noteIndex":0},"citationItems":[{"id":2652,"uris":["http://zotero.org/users/2597747/items/G6VPA5U7"],"uri":["http://zotero.org/users/2597747/items/G6VPA5U7"],"itemData":{"id":2652,"type":"article","title":"NHPCO Facts and Figures: Hospice Care in America. Alexandria, VA: National Hospice and Palliative Care Organization.","URL":"https://www.nhpco.org/sites/default/files/public/Statistics_Research/2015_Facts_Figures.pdf","issued":{"date-parts":[["2015"]]}}},{"id":3940,"uris":["http://zotero.org/users/2597747/items/MPSNTQBI"],"uri":["http://zotero.org/users/2597747/items/MPSNTQBI"],"itemData":{"id":3940,"type":"article-journal","title":"Deaths: Final Data for 2014","container-title":"National Vital Statistics Reports","page":"1-122","volume":"65","issue":"4","source":"PubMed","abstract":"Objectives-This report presents final 2014 data on U.S. deaths, death rates, life expectancy, infant mortality, and trends, by selected characteristics such as age, sex, Hispanic origin, race, state of residence, and cause of death.","ISSN":"1551-8922","note":"PMID: 27378572","shortTitle":"Deaths","journalAbbreviation":"Natl Vital Stat Rep","language":"eng","author":[{"family":"Kochanek","given":"Kenneth D."},{"family":"Murphy","given":"Sherry L."},{"family":"Xu","given":"Jiaquan"},{"family":"Tejada-Vera","given":"Betzaida"}],"issued":{"date-parts":[["2016",6]]}}}],"schema":"https://github.com/citation-style-language/schema/raw/master/csl-citation.json"} </w:instrText>
      </w:r>
      <w:r w:rsidR="00ED0D20">
        <w:rPr>
          <w:rFonts w:cs="Arial"/>
          <w:szCs w:val="22"/>
        </w:rPr>
        <w:fldChar w:fldCharType="separate"/>
      </w:r>
      <w:r w:rsidR="00B55AC2" w:rsidRPr="00B55AC2">
        <w:rPr>
          <w:rFonts w:cs="Arial"/>
          <w:szCs w:val="24"/>
          <w:vertAlign w:val="superscript"/>
        </w:rPr>
        <w:t>2,94</w:t>
      </w:r>
      <w:r w:rsidR="00ED0D20">
        <w:rPr>
          <w:rFonts w:cs="Arial"/>
          <w:szCs w:val="22"/>
        </w:rPr>
        <w:fldChar w:fldCharType="end"/>
      </w:r>
      <w:bookmarkEnd w:id="94"/>
      <w:r w:rsidRPr="00725D15">
        <w:rPr>
          <w:rFonts w:cs="Arial"/>
          <w:szCs w:val="22"/>
        </w:rPr>
        <w:t xml:space="preserve"> The Medicare Hospice Benefit, administered under Part A and covering &gt;85% of all hospice patients nationwide, provides per diem payments to hospice programs to cover all treatment for the palliation of the patient’s terminal illness and related conditions, including medications. Medications for conditions unrelated to the patient’s terminal illness are typically not provided by hospice but may be obtained through the Medicare Part D Prescription Drug Benefit. Medicare has stated that the use of medications through the Part D benefit by hospice patients should be minimal.</w:t>
      </w:r>
      <w:bookmarkStart w:id="95" w:name="ZOTERO_BREF_amEQF1e3Voby"/>
      <w:r w:rsidR="00ED0D20">
        <w:rPr>
          <w:rFonts w:cs="Arial"/>
          <w:szCs w:val="22"/>
        </w:rPr>
        <w:fldChar w:fldCharType="begin"/>
      </w:r>
      <w:r w:rsidR="00DB32BA">
        <w:rPr>
          <w:rFonts w:cs="Arial"/>
          <w:szCs w:val="22"/>
        </w:rPr>
        <w:instrText xml:space="preserve"> ADDIN ZOTERO_ITEM CSL_CITATION {"citationID":"aa0iu0i5vt","properties":{"formattedCitation":"\\super 17\\nosupersub{}","plainCitation":"17","noteIndex":0},"citationItems":[{"id":3281,"uris":["http://zotero.org/users/2597747/items/QXQK3EQW"],"uri":["http://zotero.org/users/2597747/items/QXQK3EQW"],"itemData":{"id":3281,"type":"report","title":"Part D Payment for Drugs for Beneficiaries Enrolled in Hospice—Request for Comments [Memorandum]","publisher":"Centers for Medicare and Medicaid Services","publisher-place":"Baltimore, MD","event-place":"Baltimore, MD","author":[{"family":"Tudor","given":"CG"},{"family":"Wilson","given":"L"},{"family":"Majestic","given":"M"}],"issued":{"date-parts":[["2013",12,6]]}}}],"schema":"https://github.com/citation-style-language/schema/raw/master/csl-citation.json"} </w:instrText>
      </w:r>
      <w:r w:rsidR="00ED0D20">
        <w:rPr>
          <w:rFonts w:cs="Arial"/>
          <w:szCs w:val="22"/>
        </w:rPr>
        <w:fldChar w:fldCharType="separate"/>
      </w:r>
      <w:r w:rsidR="00B55AC2" w:rsidRPr="00B55AC2">
        <w:rPr>
          <w:rFonts w:cs="Arial"/>
          <w:szCs w:val="24"/>
          <w:vertAlign w:val="superscript"/>
        </w:rPr>
        <w:t>17</w:t>
      </w:r>
      <w:r w:rsidR="00ED0D20">
        <w:rPr>
          <w:rFonts w:cs="Arial"/>
          <w:szCs w:val="22"/>
        </w:rPr>
        <w:fldChar w:fldCharType="end"/>
      </w:r>
      <w:bookmarkEnd w:id="95"/>
      <w:r w:rsidRPr="00725D15">
        <w:rPr>
          <w:rFonts w:cs="Arial"/>
          <w:szCs w:val="22"/>
        </w:rPr>
        <w:t xml:space="preserve"> However, recent reports have shown that overall Part D use among hospice patients is common, costing Medicare approximately $340 million annually.</w:t>
      </w:r>
      <w:bookmarkStart w:id="96" w:name="ZOTERO_BREF_OPYMj0gk6krh"/>
      <w:r w:rsidR="00ED0D20">
        <w:rPr>
          <w:rFonts w:cs="Arial"/>
          <w:szCs w:val="22"/>
        </w:rPr>
        <w:fldChar w:fldCharType="begin"/>
      </w:r>
      <w:r w:rsidR="00EC3644">
        <w:rPr>
          <w:rFonts w:cs="Arial"/>
          <w:szCs w:val="22"/>
        </w:rPr>
        <w:instrText xml:space="preserve"> ADDIN ZOTERO_ITEM CSL_CITATION {"citationID":"a12mi3qcmj8","properties":{"formattedCitation":"\\super 5,96\\nosupersub{}","plainCitation":"5,96","noteIndex":0},"citationItems":[{"id":3903,"uris":["http://zotero.org/users/2597747/items/Q5ICD8CT"],"uri":["http://zotero.org/users/2597747/items/Q5ICD8CT"],"itemData":{"id":3903,"type":"report","title":"Update on Part D Payment Responsibility for Drugs for Beneficiaries Enrolled in Medicare Hospice [Memorandum]","publisher":"Centers for Medicare and Medicaid Services","publisher-place":"Baltimore, MD","event-place":"Baltimore, MD","author":[{"family":"Chavez-Valdez","given":"AL"},{"family":"Wilson","given":"L"}],"issued":{"date-parts":[["2016",11,15]]},"accessed":{"date-parts":[["2017",8,1]]}}},{"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00ED0D20">
        <w:rPr>
          <w:rFonts w:cs="Arial"/>
          <w:szCs w:val="22"/>
        </w:rPr>
        <w:fldChar w:fldCharType="separate"/>
      </w:r>
      <w:r w:rsidR="00B55AC2" w:rsidRPr="00B55AC2">
        <w:rPr>
          <w:rFonts w:cs="Arial"/>
          <w:szCs w:val="24"/>
          <w:vertAlign w:val="superscript"/>
        </w:rPr>
        <w:t>5,96</w:t>
      </w:r>
      <w:r w:rsidR="00ED0D20">
        <w:rPr>
          <w:rFonts w:cs="Arial"/>
          <w:szCs w:val="22"/>
        </w:rPr>
        <w:fldChar w:fldCharType="end"/>
      </w:r>
      <w:bookmarkEnd w:id="96"/>
    </w:p>
    <w:p w14:paraId="2074D446" w14:textId="4981C656" w:rsidR="00234258" w:rsidRPr="00725D15" w:rsidRDefault="00234258" w:rsidP="00234258">
      <w:pPr>
        <w:ind w:firstLine="720"/>
        <w:rPr>
          <w:rFonts w:cs="Arial"/>
          <w:szCs w:val="22"/>
        </w:rPr>
      </w:pPr>
      <w:r w:rsidRPr="00725D15">
        <w:rPr>
          <w:rFonts w:cs="Arial"/>
          <w:szCs w:val="22"/>
        </w:rPr>
        <w:t>As hospice’s central focus is on providing comfort care and support measures, medications that do not deliver pain relief, provide symptom control, or improve or maintain quality of life may be largely unnecessary. Prior research has demonstrated that hospice patients use, on average, 10-16 medications during their stay, including medications which may not be directed at relieving symptoms or improving quality of life.</w:t>
      </w:r>
      <w:bookmarkStart w:id="97" w:name="ZOTERO_BREF_w6NOXhX0WiN0"/>
      <w:r w:rsidR="00ED0D20">
        <w:rPr>
          <w:rFonts w:cs="Arial"/>
          <w:szCs w:val="22"/>
        </w:rPr>
        <w:fldChar w:fldCharType="begin"/>
      </w:r>
      <w:r w:rsidR="008A1035">
        <w:rPr>
          <w:rFonts w:cs="Arial"/>
          <w:szCs w:val="22"/>
        </w:rPr>
        <w:instrText xml:space="preserve"> ADDIN ZOTERO_ITEM CSL_CITATION {"citationID":"ap2kptg207","properties":{"formattedCitation":"\\super 21\\uc0\\u8211{}23\\nosupersub{}","plainCitation":"21–23","noteIndex":0},"citationItems":[{"id":351,"uris":["http://zotero.org/users/2597747/items/8326S43N"],"uri":["http://zotero.org/users/2597747/items/8326S43N"],"itemData":{"id":351,"type":"article-journal","title":"Medications That Older Adults in Hospice Care in the United States Take, 2007","container-title":"Journal of the American Geriatrics Society","page":"2282-2289","volume":"63","issue":"11","source":"Wiley Online Library","abstract":"Objectives\n\nTo describe medications that older adults in hospice with cancer, dementia, debility, heart disease, and lung disease take during the last week of life.\n\n\nDesign\n\nRetrospective cross-sectional study.\n\n\nSetting\n\nNationally representative sample of 695 U.S. hospices in the 2007 National Home and Hospice Care Survey.\n\n\nParticipants\n\nIndividuals aged 65 and older with a primary diagnosis of cancer (49%), dementia (12%), debility (14%), heart disease (16%), or lung disease (10%) who received end-of-life care during their last week of life (N = 2,623).\n\n\nMeasurements\n\nMedication data were obtained from hospice staff, who were asked, “What are the names of all the medications and drugs the patient was taking 7 days prior to and on the day of his or her death while in hospice? Please include any standing, routine, or PRN medications.”\n\n\nResults\n\nThe unweighted survey response rate was 71%. The average number of medications taken was 10.2. The most common therapeutic classes were analgesics (98%); antiemetic and antivertigo medications (78%); anxiolytics, sedatives, and hypnotics (76%); anticonvulsants (71%); and laxatives (53%). Approximately one-quarter of the individuals took proton pump inhibitors, anticoagulants, and antidepressants, and fewer than 20% took antacids and antibiotics. A smaller percentage of individuals with dementia and debility than of those with cancer took opioid analgesics. Individuals with heart disease were more likely than individuals in the other clinical cohorts to take diuretics, and those with lung disease were more likely than those in the other clinical cohorts to take bronchodilators. A higher percentage of individuals with dementia and with debility than with cancer and lung disease took antidepressants.\n\n\nConclusion\n\nPeople continue to receive disease-focused therapies at the end of life rather than therapies exclusively for palliation of symptoms, suggesting that treatments may vary according to the person's primary diagnosis.","DOI":"10.1111/jgs.13795","ISSN":"1532-5415","journalAbbreviation":"J Am Geriatr Soc","language":"en","author":[{"family":"Dwyer","given":"Lisa L."},{"family":"Lau","given":"Denys T."},{"family":"Shega","given":"Joseph W."}],"issued":{"date-parts":[["2015",11,1]]}}},{"id":241,"uris":["http://zotero.org/users/2597747/items/J8JVATI3"],"uri":["http://zotero.org/users/2597747/items/J8JVATI3"],"itemData":{"id":241,"type":"article-journal","title":"Commonly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M."}],"issued":{"date-parts":[["2014",3]]}}},{"id":253,"uris":["http://zotero.org/users/2597747/items/D5ZTTA6H"],"uri":["http://zotero.org/users/2597747/items/D5ZTTA6H"],"itemData":{"id":253,"type":"article-journal","title":"Prescribing practices in hospice patients with adult failure to thrive or debility","container-title":"Progress in palliative care","page":"69-74","volume":"22","issue":"2","source":"PubMed Central","abstract":"Objectives\nDespite being a common admitting diagnosis, there is very little published literature on medication management in hospice patients admitted with a diagnosis of failure to thrive or debility. The purpose of this study was to describe medication prescribing practices in hospice patients with either of these primary diagnoses by characterizing prescribed medications by name and by pharmaceutical class, and determining whether the patient or the hospice organization provided each medication.\n\nMethods\nA retrospective review of a patient information database compiled by a national hospice organization was conducted. Patients were included in this retrospective study if they were admitted to hospice care with a primary diagnosis of failure to thrive or debility, and if they were admitted on or after 1 January 2010, and discharged by death on or before 31 December 2010.\n\nResults\nOverall 293 patients and 6181 medication entries were evaluated. The most commonly prescribed drugs were acetaminophen, lorazepam, morphine, atropine, prochlorperazine, haloperidol, docusate, aspirin, and bisacodyl. The most commonly prescribed pharmacological classes were opioid and non-opioid analgesics, anxiolytics, anticholinergics, antihypertensives, laxatives, antidepressants, and supplements. The hospice organization provided over 90% of prescriptions for analgesics, antipsychotics, anticholinergics, and anxiolytics, and these medications were discontinued before death in less than 5% of patients.\n\nConclusion\nRecognized clinical components of failure to thrive syndrome include cognitive impairment, malnutrition, and depression. The hospice organization provided 80% of antidepressants, but infrequently provided appetite stimulants and drugs treating dementia. The most commonly provided drugs were those used for symptoms associated with most end-stage diseases.","DOI":"10.1179/1743291X13Y.0000000068","ISSN":"0969-9260","note":"PMID: 24904199\nPMCID: PMC4041741","journalAbbreviation":"Prog Palliat Care","author":[{"family":"Sera","given":"Leah"},{"family":"Holmes","given":"Holly M."},{"family":"McPherson","given":"Mary Lynn"}],"issued":{"date-parts":[["2014",4,1]]}}}],"schema":"https://github.com/citation-style-language/schema/raw/master/csl-citation.json"} </w:instrText>
      </w:r>
      <w:r w:rsidR="00ED0D20">
        <w:rPr>
          <w:rFonts w:cs="Arial"/>
          <w:szCs w:val="22"/>
        </w:rPr>
        <w:fldChar w:fldCharType="separate"/>
      </w:r>
      <w:r w:rsidR="00B55AC2" w:rsidRPr="00B55AC2">
        <w:rPr>
          <w:rFonts w:cs="Arial"/>
          <w:szCs w:val="24"/>
          <w:vertAlign w:val="superscript"/>
        </w:rPr>
        <w:t>21–23</w:t>
      </w:r>
      <w:r w:rsidR="00ED0D20">
        <w:rPr>
          <w:rFonts w:cs="Arial"/>
          <w:szCs w:val="22"/>
        </w:rPr>
        <w:fldChar w:fldCharType="end"/>
      </w:r>
      <w:bookmarkEnd w:id="97"/>
      <w:r w:rsidRPr="00725D15">
        <w:rPr>
          <w:rFonts w:cs="Arial"/>
          <w:szCs w:val="22"/>
        </w:rPr>
        <w:t xml:space="preserve"> These studies also note differences in medication use between patients admitted to hospice for cancer versus those admitted for non-cancer causes. This may be due to the more rapid and predictable pattern of </w:t>
      </w:r>
      <w:r w:rsidRPr="00725D15">
        <w:rPr>
          <w:rFonts w:cs="Arial"/>
          <w:szCs w:val="22"/>
        </w:rPr>
        <w:lastRenderedPageBreak/>
        <w:t>decline in hospice patients with terminal cancer compared to other non-cancer terminal illnesses, impacting clinicians’ ability to predict survival and in turn affecting health care delivery and medication treatment decisions.</w:t>
      </w:r>
      <w:bookmarkStart w:id="98" w:name="ZOTERO_BREF_pCowHwJESXtF"/>
      <w:r w:rsidR="00ED0D20">
        <w:rPr>
          <w:rFonts w:cs="Arial"/>
          <w:szCs w:val="22"/>
        </w:rPr>
        <w:fldChar w:fldCharType="begin"/>
      </w:r>
      <w:r w:rsidR="00EC3644">
        <w:rPr>
          <w:rFonts w:cs="Arial"/>
          <w:szCs w:val="22"/>
        </w:rPr>
        <w:instrText xml:space="preserve"> ADDIN ZOTERO_ITEM CSL_CITATION {"citationID":"ach7g0pgdp","properties":{"formattedCitation":"\\super 117,118\\nosupersub{}","plainCitation":"117,118","noteIndex":0},"citationItems":[{"id":760,"uris":["http://zotero.org/users/2597747/items/GE268Q8T"],"uri":["http://zotero.org/users/2597747/items/GE268Q8T"],"itemData":{"id":760,"type":"article-journal","title":"Patterns of functional decline at the end of life","container-title":"JAMA","page":"2387-2392","volume":"289","issue":"18","source":"Silverchair","abstract":"Context Clinicians have observed various patterns of functional decline at the\nend of life, but few empirical data have tested these patterns in large populations.Objective To determine if functional decline differs among 4 types of illness\ntrajectories: sudden death, cancer death, death from organ failure, and frailty.Design, Setting, and Participants Cohort analysis of data from 4 US regions in the prospective, longitudinal\nEstablished Populations for Epidemiologic Studies of the Elderly (EPESE) study.\nOf the 14 456 participants aged 65 years or older who provided interviews\nat baseline (1981-1987), 4871 died during the first 6 years of follow-up;\n4190 (86%) of these provided interviews within 1 year before dying. These\ndecedents were evenly distributed in 12 cohorts based on the number of months\nbetween the final interview and death.Main Outcome Measures Self- or proxy-reported physical function (performance of 7 activities\nof daily living [ADLs]) within 1 year prior to death; predicted ADL dependency\nprior to death.Results Mean function declined across the 12 cohorts, simulating individual\ndecline in the final year of life. Sudden death decedents were highly functional\neven in the last month before death (mean [95% confidence interval {CI}] numbers\nof ADL dependencies: 0.69 [0.19-1.19] at 12 months before death vs 1.22 [0.59-1.85]\nat the final month of life, P = .20); cancer decedents\nwere highly functional early in their final year but markedly more disabled\n3 months prior to death (0.77 [0.30-1.24] vs 4.09 [3.37-4.81], P&lt;.001); organ failure decedents experienced a fluctuating pattern\nof decline, with substantially poorer function during the last 3 months before\ndeath (2.10 [1.49-2.70] vs 3.66 [2.94-4.38], P&lt;.001);\nand frail decedents were relatively more disabled in the final year and especially\ndependent during the last month (2.92 [2.24-3.60] vs 5.84 [5.33-6.35], P&lt;.001). After controlling for age, sex, race, education,\nmarital status, interval between final interview and death, and other demographic\ndifferences, frail decedents were more than 8 times more likely than sudden\ndeath decedents to be ADL dependent (OR, 8.32 [95% CI, 6.46-10.73); cancer\ndecedents, one and a half times more likely (OR, 1.57 [95% CI, 1.25-1.96]);\nand organ failure decedents, 3 times more likely (OR, 3.00 [95% CI, 2.39-3.77]).Conclusions Trajectories of functional decline at the end of life are quite variable.\nDifferentiating among expected trajectories and related needs would help shape\ntailored strategies and better programs of care prior to death.","DOI":"10.1001/jama.289.18.2387","ISSN":"0098-7484","journalAbbreviation":"JAMA","author":[{"literal":"Lunney JR"},{"literal":"Lynn J"},{"literal":"Foley DJ"},{"literal":"Lipson S"},{"literal":"Guralnik JM"}],"issued":{"date-parts":[["2003",5,14]]}}},{"id":1349,"uris":["http://zotero.org/users/2597747/items/ADIQABG4"],"uri":["http://zotero.org/users/2597747/items/ADIQABG4"],"itemData":{"id":1349,"type":"article-journal","title":"Patterns of Functional Decline in Hospice: What Can Patients and Families Expect?","container-title":"Journal of the American Geriatrics Society","page":"413-417","volume":"61","issue":"3","source":"PubMed Central","abstract":"Objectives\nTo describe the trajectory of patients’ functional decline after they are referred to hospice.\n\nDesign\nElectronic health record-based retrospective cohort study.\n\nSetting\nThree hospice programs in the southeast, northeast and Midwest US.\n\nParticipants\nHospice patients.\n\nMain outcome measures\nPalliative Performance Scale (PPS) scores measured at intervals between hospice enrollment and death, on a scale from 10–100.\n\nResults\nOf 8,669 decedents, there was an average 13.8-point decline in PPS scores. After adjusting for baseline PPS scores and length of stay in hospice, three distinct trajectories were identified, each of which was composed of two diagnoses whose rates of decline had 95% confidence intervals that overlapped. The most rapid decline was observed for patients with cancer (adjusted decline of 8.44 points/week; 95% CI 8.03–8.82) and stroke (7.67; 7.08–8.29). A significantly slower decline was observed in patients with pulmonary disease (5.02; 4.24–5.75) and cardiac disease (4.53; 4.05–5.05). Patients with debility (1.86; 0.95–2.78) and dementia (1.98; 1.01–2.89) had the slowest decline. In an inverse probability-weighted sample of patients who had a PPS score recorded in the last day of life (n=1,959; 22.6%), 35.9% had PPS scores of at least 40, indicating some oral intake, variable mental status, limited self-care, and an ability to get out of bed for at least part of the day.\n\nConclusion\nAlthough functional status generally declines among hospice patients, this decline is heterogeneous. Some patients retain some physical and cognitive function on up until the last day of life.","DOI":"10.1111/jgs.12144","ISSN":"0002-8614","note":"PMID: 23347201\nPMCID: PMC3602304","shortTitle":"Patterns of Functional Decline in Hospice","journalAbbreviation":"J Am Geriatr Soc","author":[{"family":"Harris","given":"Pamela"},{"family":"Wong","given":"Esther"},{"family":"Farrington","given":"Sue"},{"family":"Craig","given":"Teresa R."},{"family":"Harrold","given":"Joan K."},{"family":"Oldanie","given":"Betty"},{"family":"Teno","given":"Joan M."},{"family":"Casarett","given":"David J."}],"issued":{"date-parts":[["2013",3]]}}}],"schema":"https://github.com/citation-style-language/schema/raw/master/csl-citation.json"} </w:instrText>
      </w:r>
      <w:r w:rsidR="00ED0D20">
        <w:rPr>
          <w:rFonts w:cs="Arial"/>
          <w:szCs w:val="22"/>
        </w:rPr>
        <w:fldChar w:fldCharType="separate"/>
      </w:r>
      <w:r w:rsidR="00B55AC2" w:rsidRPr="00B55AC2">
        <w:rPr>
          <w:rFonts w:cs="Arial"/>
          <w:szCs w:val="24"/>
          <w:vertAlign w:val="superscript"/>
        </w:rPr>
        <w:t>117,118</w:t>
      </w:r>
      <w:r w:rsidR="00ED0D20">
        <w:rPr>
          <w:rFonts w:cs="Arial"/>
          <w:szCs w:val="22"/>
        </w:rPr>
        <w:fldChar w:fldCharType="end"/>
      </w:r>
      <w:bookmarkEnd w:id="98"/>
      <w:r w:rsidRPr="00725D15">
        <w:rPr>
          <w:rFonts w:cs="Arial"/>
          <w:szCs w:val="22"/>
        </w:rPr>
        <w:t xml:space="preserve"> For medications aimed at preventing or slowing the development of chronic disease sequelae with little impact on symptoms or quality of life in the short term, there may be significant discord between remaining life expectancy and the medication’s time until benefit.</w:t>
      </w:r>
      <w:bookmarkStart w:id="99" w:name="ZOTERO_BREF_ty0yeFGEWajL"/>
      <w:r w:rsidR="00ED0D20">
        <w:rPr>
          <w:rFonts w:cs="Arial"/>
          <w:szCs w:val="22"/>
        </w:rPr>
        <w:fldChar w:fldCharType="begin"/>
      </w:r>
      <w:r w:rsidR="00EC3644">
        <w:rPr>
          <w:rFonts w:cs="Arial"/>
          <w:szCs w:val="22"/>
        </w:rPr>
        <w:instrText xml:space="preserve"> ADDIN ZOTERO_ITEM CSL_CITATION {"citationID":"37gMQ4aN","properties":{"formattedCitation":"\\super 49,119\\nosupersub{}","plainCitation":"49,119","noteIndex":0},"citationItems":[{"id":212,"uris":["http://zotero.org/users/2597747/items/HGWGX7CP"],"uri":["http://zotero.org/users/2597747/items/HGWGX7CP"],"itemData":{"id":212,"type":"article-journal","title":"Reconsidering medication appropriateness for patients late in life","container-title":"Archives of Internal Medicine","page":"605-609","volume":"166","issue":"6","source":"Silverchair","abstract":"Providing guideline-adherent care for many medical conditions increasingly means the addition of more medications to reach disease-specific targets.1 When might it be best to withhold or discontinue medications that are otherwise appropriate on the basis of guidelines? Receiving facsimiles from the pharmacy serving a local nursing home encouraging us to prescribe statins for residents there symbolizes the issues. Most of these patients had a limited life expectancy, were older than 90 years, or had advanced dementia. Similar situations occur in patients with functional impairments, frailty, or diseases like emphysema, congestive heart failure, or coronary artery disease in their advanced stages, for whom starting or continuing many recommended drugs does not seem the best way to optimize care.","DOI":"10.1001/archinte.166.6.605","ISSN":"0003-9926","journalAbbreviation":"Arch Intern Med","author":[{"literal":"Holmes HM"},{"literal":"Hayley D"},{"literal":"Alexander G"},{"literal":"Sachs GA"}],"issued":{"date-parts":[["2006",3,27]]}}},{"id":937,"uris":["http://zotero.org/users/2597747/items/CFHUUPIE"],"uri":["http://zotero.org/users/2597747/items/CFHUUPIE"],"itemData":{"id":937,"type":"article-journal","title":"Incorporating lag time to benefit into prevention decisions for older adults","container-title":"JAMA","page":"2609-2610","volume":"310","issue":"24","source":"PubMed","DOI":"10.1001/jama.2013.282612","ISSN":"1538-3598","note":"PMID: 24322396\nPMCID: PMC4049260","journalAbbreviation":"JAMA","language":"eng","author":[{"family":"Lee","given":"Sei J."},{"family":"Leipzig","given":"Rosanne M."},{"family":"Walter","given":"Louise C."}],"issued":{"date-parts":[["2013",12,25]]}}}],"schema":"https://github.com/citation-style-language/schema/raw/master/csl-citation.json"} </w:instrText>
      </w:r>
      <w:r w:rsidR="00ED0D20">
        <w:rPr>
          <w:rFonts w:cs="Arial"/>
          <w:szCs w:val="22"/>
        </w:rPr>
        <w:fldChar w:fldCharType="separate"/>
      </w:r>
      <w:r w:rsidR="00B55AC2" w:rsidRPr="00B55AC2">
        <w:rPr>
          <w:rFonts w:cs="Arial"/>
          <w:szCs w:val="24"/>
          <w:vertAlign w:val="superscript"/>
        </w:rPr>
        <w:t>49,119</w:t>
      </w:r>
      <w:r w:rsidR="00ED0D20">
        <w:rPr>
          <w:rFonts w:cs="Arial"/>
          <w:szCs w:val="22"/>
        </w:rPr>
        <w:fldChar w:fldCharType="end"/>
      </w:r>
      <w:bookmarkEnd w:id="99"/>
      <w:r w:rsidRPr="00725D15">
        <w:rPr>
          <w:rFonts w:cs="Arial"/>
          <w:szCs w:val="22"/>
        </w:rPr>
        <w:t xml:space="preserve"> Continued use in this already vulnerable population increases the risk of medication side effects and drug-drug interactions, and can lead to increased patient and healthcare system costs, unnecessarily complex drug regimens, and substantial patient and caregiver burden.</w:t>
      </w:r>
      <w:bookmarkStart w:id="100" w:name="ZOTERO_BREF_GfhmHLE1nUP5"/>
      <w:r w:rsidR="00ED0D20">
        <w:rPr>
          <w:rFonts w:cs="Arial"/>
          <w:szCs w:val="22"/>
        </w:rPr>
        <w:fldChar w:fldCharType="begin"/>
      </w:r>
      <w:r w:rsidR="00EC3644">
        <w:rPr>
          <w:rFonts w:cs="Arial"/>
          <w:szCs w:val="22"/>
        </w:rPr>
        <w:instrText xml:space="preserve"> ADDIN ZOTERO_ITEM CSL_CITATION {"citationID":"a5t4hs0vll","properties":{"formattedCitation":"\\super 45,71,87\\nosupersub{}","plainCitation":"45,71,87","noteIndex":0},"citationItems":[{"id":60,"uris":["http://zotero.org/users/2597747/items/7AMG4AKA"],"uri":["http://zotero.org/users/2597747/items/7AMG4AKA"],"itemData":{"id":60,"type":"article-journal","title":"Rational Prescribing for Patients With a Reduced Life Expectancy","container-title":"Clinical Pharmacology &amp; Therapeutics","page":"103-107","volume":"85","issue":"1","source":"Wiley Online Library","abstract":"Optimal prescribing for patients who are in late life and have multiple comorbid illnesses remains unclear despite the increasing recognition that chronic diseases should be managed differently in the setting of reduced life expectancy.1 As new diseases are diagnosed and chronic comorbidities worsen with advancing age, more and more medications are added in accordance with disease-specific clinical practice guidelines. The result is often a complex drug regimen that is difficult to manage.2 This occurs regardless of the appreciation that the ongoing benefits and risks of chronic treatments are uncertain as diseases become life-defining or life-limiting.3 Clinical Pharmacology &amp; Therapeutics (2008); 85, 1, 103–107 doi:10.1038/clpt.2008.211","DOI":"10.1038/clpt.2008.211","ISSN":"1532-6535","journalAbbreviation":"Clinical Pharmacology &amp; Therapeutics","language":"en","author":[{"family":"Holmes","given":"Hm"}],"issued":{"date-parts":[["2009",1,1]]}}},{"id":3,"uris":["http://zotero.org/users/2597747/items/AP5M7CIV"],"uri":["http://zotero.org/users/2597747/items/AP5M7CIV"],"itemData":{"id":3,"type":"article-journal","title":"Prioritizing and stopping prescription medicines","container-title":"Canadian Medical Association Journal","page":"1083-1084","volume":"174","issue":"8","source":"PubMed Central","DOI":"10.1503/cmaj.050837","ISSN":"0820-3946","note":"PMID: 16606954\nPMCID: PMC1421477","journalAbbreviation":"CMAJ","author":[{"family":"Alexander","given":"G. Caleb"},{"family":"Sayla","given":"Maliha A."},{"family":"Holmes","given":"Holly M."},{"family":"Sachs","given":"Greg A."}],"issued":{"date-parts":[["2006",4,11]]}}},{"id":958,"uris":["http://zotero.org/users/2597747/items/I7MH25J4"],"uri":["http://zotero.org/users/2597747/items/I7MH25J4"],"itemData":{"id":958,"type":"article-journal","title":"Preventive medication use among persons with limited life expectancy","container-title":"Progress in Palliative Care","page":"15-21","volume":"19","issue":"1","source":"PubMed Central","abstract":"Persons with limited life expectancy (LLE) – less than 1 year – are significant consumers of health care, are at increased risk of polypharmacy and adverse drug events, and have dynamic health statuses. Therefore, medication use among this population must be appropriate and regularly evaluated. The objective of this review is to assess the current state of knowledge and clinical practice presented in the literature regarding preventive medication use among persons with LLE. We searched Medline, Embase, and CINAHL using Medical Subject Headings. Broad searches were first conducted using the terms ‘terminal care or therapy’ or ‘advanced disease’ and ‘polypharmacy’ or ‘inappropriate medication’ or ‘preventive medicine’, followed by more specific searches using the terms ‘statins’ or ‘anti-hypertensives’ or ‘bisphosphonates’ or ‘laxatives’ and ‘terminal care’. Frameworks to assess appropriate versus inappropriate medications for persons with LLE, and the prevalence of potentially inappropriate medication use among this population, are presented. A considerable proportion of individuals with a known terminal condition continue to take chronic disease preventive medications until death despite questionable benefit. The addition of palliative preventive medications is advised. There is an indication that as death approaches the shift from a curative to palliative goal of care translates into a shift in medication use. This literature review is a first step towards improving medication use and decreasing polypharmacy in persons at the end of life. There is a need to develop consensus criteria to assess appropriate versus inappropriate medication use, specifically for individuals at the end of life.","DOI":"10.1179/174329111X576698","ISSN":"0969-9260","note":"PMID: 21731193\nPMCID: PMC3118532","journalAbbreviation":"Prog Palliat Care","author":[{"family":"Maddison","given":"André R"},{"family":"Fisher","given":"Judith"},{"family":"Johnston","given":"Grace"}],"issued":{"date-parts":[["2011",1]]}}}],"schema":"https://github.com/citation-style-language/schema/raw/master/csl-citation.json"} </w:instrText>
      </w:r>
      <w:r w:rsidR="00ED0D20">
        <w:rPr>
          <w:rFonts w:cs="Arial"/>
          <w:szCs w:val="22"/>
        </w:rPr>
        <w:fldChar w:fldCharType="separate"/>
      </w:r>
      <w:r w:rsidR="00B55AC2" w:rsidRPr="00B55AC2">
        <w:rPr>
          <w:rFonts w:cs="Arial"/>
          <w:szCs w:val="24"/>
          <w:vertAlign w:val="superscript"/>
        </w:rPr>
        <w:t>45,71,87</w:t>
      </w:r>
      <w:r w:rsidR="00ED0D20">
        <w:rPr>
          <w:rFonts w:cs="Arial"/>
          <w:szCs w:val="22"/>
        </w:rPr>
        <w:fldChar w:fldCharType="end"/>
      </w:r>
      <w:bookmarkEnd w:id="100"/>
      <w:r w:rsidRPr="00725D15">
        <w:rPr>
          <w:rFonts w:cs="Arial"/>
          <w:szCs w:val="22"/>
        </w:rPr>
        <w:t xml:space="preserve"> </w:t>
      </w:r>
    </w:p>
    <w:p w14:paraId="07753D45" w14:textId="4BA43DD5" w:rsidR="00234258" w:rsidRPr="00725D15" w:rsidRDefault="00234258" w:rsidP="00234258">
      <w:pPr>
        <w:ind w:firstLine="720"/>
        <w:rPr>
          <w:rFonts w:cs="Arial"/>
          <w:szCs w:val="22"/>
        </w:rPr>
      </w:pPr>
      <w:r w:rsidRPr="00725D15">
        <w:rPr>
          <w:rFonts w:cs="Arial"/>
          <w:szCs w:val="22"/>
        </w:rPr>
        <w:t>We aimed to describe the prevalence of continuing preventative medications with limited benefit after hospice admission and identify factors associated with continuation in older Medicare beneficiaries admitted to hospice for cancer and non-cancer causes.</w:t>
      </w:r>
    </w:p>
    <w:p w14:paraId="7D3A6D4D" w14:textId="77777777" w:rsidR="00DB1A50" w:rsidRPr="00725D15" w:rsidRDefault="00DB1A50" w:rsidP="00DF3833">
      <w:pPr>
        <w:pStyle w:val="Style2"/>
        <w:spacing w:before="0" w:line="480" w:lineRule="auto"/>
      </w:pPr>
      <w:bookmarkStart w:id="101" w:name="_Toc507326056"/>
      <w:r w:rsidRPr="00725D15">
        <w:t>3.3 Methods</w:t>
      </w:r>
      <w:bookmarkEnd w:id="101"/>
    </w:p>
    <w:p w14:paraId="45802F63" w14:textId="77777777" w:rsidR="00DB1A50" w:rsidRPr="00725D15" w:rsidRDefault="00DB1A50" w:rsidP="00DF3833">
      <w:pPr>
        <w:pStyle w:val="Style3"/>
      </w:pPr>
      <w:bookmarkStart w:id="102" w:name="_Toc507326057"/>
      <w:r w:rsidRPr="00725D15">
        <w:t>3.3.1 Data Source and Study Population</w:t>
      </w:r>
      <w:bookmarkEnd w:id="102"/>
    </w:p>
    <w:p w14:paraId="37C1ED41" w14:textId="30030357" w:rsidR="00A22226" w:rsidRPr="00725D15" w:rsidRDefault="00A22226" w:rsidP="00A22226">
      <w:pPr>
        <w:ind w:firstLine="720"/>
        <w:rPr>
          <w:rFonts w:cs="Arial"/>
          <w:szCs w:val="22"/>
        </w:rPr>
      </w:pPr>
      <w:r w:rsidRPr="00725D15">
        <w:rPr>
          <w:rFonts w:cs="Arial"/>
          <w:szCs w:val="22"/>
        </w:rPr>
        <w:t xml:space="preserve">We used the nationally representative </w:t>
      </w:r>
      <w:r w:rsidR="00592035">
        <w:rPr>
          <w:rFonts w:cs="Arial"/>
          <w:szCs w:val="22"/>
        </w:rPr>
        <w:t>SEER</w:t>
      </w:r>
      <w:r w:rsidRPr="00725D15">
        <w:rPr>
          <w:rFonts w:cs="Arial"/>
          <w:szCs w:val="22"/>
        </w:rPr>
        <w:t>-</w:t>
      </w:r>
      <w:r w:rsidRPr="00725D15" w:rsidDel="00B9744C">
        <w:rPr>
          <w:rFonts w:cs="Arial"/>
          <w:szCs w:val="22"/>
        </w:rPr>
        <w:t>Medicare linked database</w:t>
      </w:r>
      <w:r w:rsidRPr="00725D15">
        <w:rPr>
          <w:rFonts w:cs="Arial"/>
          <w:szCs w:val="22"/>
        </w:rPr>
        <w:t xml:space="preserve"> and</w:t>
      </w:r>
      <w:r w:rsidRPr="00725D15" w:rsidDel="00B9744C">
        <w:rPr>
          <w:rFonts w:cs="Arial"/>
          <w:szCs w:val="22"/>
        </w:rPr>
        <w:t xml:space="preserve"> </w:t>
      </w:r>
      <w:r w:rsidRPr="00725D15">
        <w:rPr>
          <w:rFonts w:cs="Arial"/>
          <w:szCs w:val="22"/>
        </w:rPr>
        <w:t xml:space="preserve">a random 5% non-cancer sample of Medicare beneficiaries residing in the SEER registry regions to identify individuals who enrolled and subsequently died in hospice between January 1, 2008 and December 31, 2013. Comprehensive, de-identified administrative claims were available for fee-for-service Medicare beneficiaries from January 1, 2007 to December 31, 2013. Data were available on sociodemographic characteristics, Medicare and hospice enrollment, healthcare utilization, diagnoses and procedures, vital status, and Medicare Part D prescription dispensing. </w:t>
      </w:r>
    </w:p>
    <w:p w14:paraId="47CDD222" w14:textId="3EA59FFB" w:rsidR="006F0FEB" w:rsidRPr="00725D15" w:rsidRDefault="00A22226" w:rsidP="00A22226">
      <w:pPr>
        <w:rPr>
          <w:rFonts w:cs="Arial"/>
          <w:szCs w:val="22"/>
        </w:rPr>
      </w:pPr>
      <w:r w:rsidRPr="00725D15">
        <w:rPr>
          <w:rFonts w:cs="Arial"/>
          <w:szCs w:val="22"/>
        </w:rPr>
        <w:tab/>
        <w:t xml:space="preserve">Patients aged less than 66 years at hospice admission and those not continuously enrolled in Medicare Parts A, B and D from one year prior to hospice entry through the date of death were excluded. We also excluded patients with any enrollment in a Medicare Advantage </w:t>
      </w:r>
      <w:r w:rsidRPr="00725D15">
        <w:rPr>
          <w:rFonts w:cs="Arial"/>
          <w:szCs w:val="22"/>
        </w:rPr>
        <w:lastRenderedPageBreak/>
        <w:t>plan. Patients were required to have at least one Part D claim in the year prior to admission and no hospice enrollment gaps (i.e., discharges) after initial admission lasting greater than 30 days.</w:t>
      </w:r>
    </w:p>
    <w:p w14:paraId="356957BA" w14:textId="4769F4D2" w:rsidR="00A22226" w:rsidRPr="00725D15" w:rsidRDefault="00A22226" w:rsidP="00A22226">
      <w:pPr>
        <w:ind w:firstLine="720"/>
        <w:rPr>
          <w:rFonts w:cs="Arial"/>
          <w:szCs w:val="22"/>
        </w:rPr>
      </w:pPr>
      <w:r w:rsidRPr="00725D15">
        <w:rPr>
          <w:rFonts w:cs="Arial"/>
          <w:szCs w:val="22"/>
        </w:rPr>
        <w:t xml:space="preserve">The primary </w:t>
      </w:r>
      <w:r w:rsidR="000F299D">
        <w:rPr>
          <w:rFonts w:cs="Arial"/>
          <w:iCs/>
          <w:szCs w:val="22"/>
        </w:rPr>
        <w:t xml:space="preserve">ICD-9 </w:t>
      </w:r>
      <w:r w:rsidRPr="00725D15">
        <w:rPr>
          <w:rFonts w:cs="Arial"/>
          <w:szCs w:val="22"/>
        </w:rPr>
        <w:t>diagnostic code on the initial hospice claim was used to classify patients as a cancer or non-cancer admission. Patients admitted to hospice for cancer were identified from a SEER registry-derived cohort of patients diagnosed with a first primary lung, colorectal, breast, pancreatic cancer or lymphoma. These cancer sites have been reported as the five most prevalent cancer-related hospice admission diagnoses among Medicare beneficiaries.</w:t>
      </w:r>
      <w:bookmarkStart w:id="103" w:name="ZOTERO_BREF_ph3OLqvX33eI"/>
      <w:r w:rsidR="00592035">
        <w:rPr>
          <w:rFonts w:cs="Arial"/>
          <w:szCs w:val="22"/>
        </w:rPr>
        <w:fldChar w:fldCharType="begin"/>
      </w:r>
      <w:r w:rsidR="00EC3644">
        <w:rPr>
          <w:rFonts w:cs="Arial"/>
          <w:szCs w:val="22"/>
        </w:rPr>
        <w:instrText xml:space="preserve"> ADDIN ZOTERO_ITEM CSL_CITATION {"citationID":"a1id3sm7brt","properties":{"formattedCitation":"\\super 101\\nosupersub{}","plainCitation":"101","noteIndex":0},"citationItems":[{"id":3444,"uris":["http://zotero.org/users/2597747/items/UVT72JFU"],"uri":["http://zotero.org/users/2597747/items/UVT72JFU"],"itemData":{"id":3444,"type":"report","title":"Medicare Hospice Data Trends: 1998-2009 [Data File]. 2012. Available from: https://www.cms.gov/Medicare/Medicare-Fee-for-Service-Payment/Hospice/Medicare_Hospice_Data.html","abstract":"This page will house Medicare Hospice Data trends.","author":[{"family":"","given":"Centers for Medicare and Medicaid Services"}]}}],"schema":"https://github.com/citation-style-language/schema/raw/master/csl-citation.json"} </w:instrText>
      </w:r>
      <w:r w:rsidR="00592035">
        <w:rPr>
          <w:rFonts w:cs="Arial"/>
          <w:szCs w:val="22"/>
        </w:rPr>
        <w:fldChar w:fldCharType="separate"/>
      </w:r>
      <w:r w:rsidR="00B55AC2" w:rsidRPr="00B55AC2">
        <w:rPr>
          <w:rFonts w:cs="Arial"/>
          <w:szCs w:val="24"/>
          <w:vertAlign w:val="superscript"/>
        </w:rPr>
        <w:t>101</w:t>
      </w:r>
      <w:r w:rsidR="00592035">
        <w:rPr>
          <w:rFonts w:cs="Arial"/>
          <w:szCs w:val="22"/>
        </w:rPr>
        <w:fldChar w:fldCharType="end"/>
      </w:r>
      <w:bookmarkEnd w:id="103"/>
      <w:r w:rsidRPr="00725D15">
        <w:rPr>
          <w:rFonts w:cs="Arial"/>
          <w:szCs w:val="22"/>
        </w:rPr>
        <w:t xml:space="preserve"> Patients admitted to hospice for a non-cancer cause were identified from the random 5% non-cancer sample in addition to those in the SEER registry-based cohort who ultimately entered hospice for a non-cancer cause.</w:t>
      </w:r>
    </w:p>
    <w:p w14:paraId="61A6D216" w14:textId="77777777" w:rsidR="00DB1A50" w:rsidRPr="00725D15" w:rsidRDefault="004A3C4D" w:rsidP="00DF3833">
      <w:pPr>
        <w:pStyle w:val="Style3"/>
      </w:pPr>
      <w:bookmarkStart w:id="104" w:name="_Toc507326058"/>
      <w:r w:rsidRPr="00725D15">
        <w:t>3.3.2 Preventative Medications with Limited Benefit Definition</w:t>
      </w:r>
      <w:bookmarkEnd w:id="104"/>
    </w:p>
    <w:p w14:paraId="7223A22D" w14:textId="148DF5A3" w:rsidR="007D2FB4" w:rsidRDefault="00A22226" w:rsidP="006F0FEB">
      <w:pPr>
        <w:ind w:firstLine="720"/>
        <w:rPr>
          <w:rFonts w:cs="Arial"/>
          <w:szCs w:val="22"/>
        </w:rPr>
      </w:pPr>
      <w:r w:rsidRPr="00725D15">
        <w:rPr>
          <w:rFonts w:cs="Arial"/>
          <w:szCs w:val="22"/>
        </w:rPr>
        <w:t>Preventative medication classes considered to be of limited benefit in the end-of-life population were identified via literature review, including primary research studies, review articles, and expert opinion pieces.</w:t>
      </w:r>
      <w:r w:rsidR="00592035">
        <w:rPr>
          <w:rFonts w:cs="Arial"/>
          <w:szCs w:val="22"/>
        </w:rPr>
        <w:fldChar w:fldCharType="begin"/>
      </w:r>
      <w:r w:rsidR="00EC3644">
        <w:rPr>
          <w:rFonts w:cs="Arial"/>
          <w:szCs w:val="22"/>
        </w:rPr>
        <w:instrText xml:space="preserve"> ADDIN ZOTERO_ITEM CSL_CITATION {"citationID":"XffJCdW0","properties":{"formattedCitation":"\\super 41,52,56,57,59\\uc0\\u8211{}61,63,65,66,103,104\\nosupersub{}","plainCitation":"41,52,56,57,59–61,63,65,66,103,104","noteIndex":0},"citationItems":[{"id":947,"uris":["http://zotero.org/users/2597747/items/WEERGWMN"],"uri":["http://zotero.org/users/2597747/items/WEERGWMN"],"itemData":{"id":947,"type":"article-journal","title":"Use of unnecessary medications by patients with advanced cancer: cross-sectional survey","container-title":"Supportive Care in Cancer","page":"1313-1318","volume":"19","issue":"9","source":"link.springer.com.proxy.cc.uic.edu","abstract":"Background Cancer patients at the end of life take numerous medications. However, it has not been assessed what proportion of patients take unnecessary medications and which patients are at risk for doing so. Methods Cross-sectional survey of medications utilized by terminally ill ambulatory cancer patients, with the aim of identifying medications considered unnecessary as per explicit criteria. The criteria took into account whether drugs could benefit patients with terminal cancer. Results Among 87 patients, 21 (24%, 95% confidence interval [CI] 15.6–34.5%) were taking at least one unnecessary medication, the most common being gastric protectors. In multivariable analyses, patients with Charlson Comobidity Index ≤ 1 (OR: 4.49, CI95% 1.32–15.26; p = 0.01) or whose medication list had not been reconciled by physicians (OR: 6.38, CI95% 1.21–33.40; p = 0.02) were more likely to use an unnecessary medication. Conclusion Patients with advanced cancer take many medications considered unnecessary. Medication reconciliation should be performed routinely for these patients.","DOI":"10.1007/s00520-010-0947-1","ISSN":"0941-4355, 1433-7339","shortTitle":"Use of unnecessary medications by patients with advanced cancer","journalAbbreviation":"Support Care Cancer","language":"en","author":[{"family":"Fede","given":"Angelo"},{"family":"Miranda","given":"Michele"},{"family":"Antonangelo","given":"Daniella"},{"family":"Trevizan","given":"Ligia"},{"family":"Schaffhausser","given":"Henrique"},{"family":"Hamermesz","given":"Bruno"},{"family":"Zimmermann","given":"Camile"},{"family":"Giglio","given":"Auro Del"},{"family":"Riechelmann","given":"Rachel P."}],"issued":{"date-parts":[["2010",7,21]]}}},{"id":266,"uris":["http://zotero.org/users/2597747/items/E965IK6T"],"uri":["http://zotero.org/users/2597747/items/E965IK6T"],"itemData":{"id":266,"type":"article-journal","title":"Futile medication use in terminally ill cancer patients","container-title":"Supportive Care in Cancer","page":"745-748","volume":"17","issue":"6","source":"link.springer.com.proxy.cc.uic.edu","abstract":"Background Cancer patients usually take many medications. The proportion of patients with advanced cancer who are taking futile drugs is unknown. Materials and methods We retrospectively reviewed the charts of all consecutive ambulatory patients with advanced cancer and who were receiving supportive care exclusively at palliative care clinics, Princess Margaret Hospital, to gather information on futile medications used by them. Futile medications were defined as unnecessary (when no short-term benefit to patients with respect to survival, quality of life, or symptom control was anticipated) or duplicate (two or more drugs from the same pharmacological class). Summary statistics were used to describe the results. Results From November 2005 to July 2006, 82 (22%) of 372 patients were taking at least one futile medication before consultation; after initial consultation, this proportion dropped to 20% (78): 70 patients were taking unnecessary medications, while eight were on duplicate medications. The most frequent unnecessary medications used by patients were statins (56%). The most common duplicate medication involved the use of two different benzodiazepines (seven patients). Conclusion About one fifth of cancer outpatients at the end of life take futile medications, most commonly statins. Prospective and population-based studies are warranted to further evaluate the magnitude and consequences of futile medication use in oncology.","DOI":"10.1007/s00520-008-0541-y","ISSN":"0941-4355, 1433-7339","journalAbbreviation":"Support Care Cancer","language":"en","author":[{"family":"Riechelmann","given":"Rachel P."},{"family":"Krzyzanowska","given":"Monika K."},{"family":"Zimmermann","given":"Camilla"}],"issued":{"date-parts":[["2008",11,22]]}}},{"id":2121,"uris":["http://zotero.org/users/2597747/items/48QSB3DF"],"uri":["http://zotero.org/users/2597747/items/48QSB3DF"],"itemData":{"id":2121,"type":"article-journal","title":"Blood pressure evaluation and review of antihypertensive medication in patients with life limiting illness","container-title":"International Journal of Clinical Pharmacy","page":"1-4","source":"link.springer.com.proxy.cc.uic.edu","abstract":"Background Patients with life limiting illness commonly have multiple co-morbidities that require the use of complex, costly pharmacotherapy. One such example is using medications to treat hypertension in life limiting illness. Objective To: (1) assess the prevalence of previously documented hypertension and associated blood pressure in a cohort of patients with life limiting illness; and, (2) assess the appropriateness of antihypertensive medication in this patient group. Method This was a single centre study at a tertiary, specialist palliative care centre in Northern England. Electronic medical notes were reviewed and data were extracted. Antihypertensive medication was assessed for appropriateness using a conceptual framework. Results A total number of 54 patients were included in the study. Twenty six (48.1 %) had previously documented hypertension: the mean blood pressure of which was 122/65 mmHg (SD 17.0/10.5), while for the normotensive patients it was 122/73 mmHg (SD 21.0/11.6). Of the 26 patients using antihypertensive medication, 25 were assessed as using the medication inappropriately. Conclusions The blood pressure for patients with previously documented hypertension who access specialist palliative care day services is commonly below the NICE target threshold. The majority of these patients are prescribed antihypertensive medications inappropriately.","DOI":"10.1007/s11096-016-0327-0","ISSN":"2210-7703, 2210-7711","journalAbbreviation":"Int J Clin Pharm","language":"en","author":[{"family":"Dewhurst","given":"Felicity"},{"family":"Baker","given":"Lisa"},{"family":"Andrew","given":"Inga"},{"family":"Todd","given":"Adam"}],"issued":{"date-parts":[["2016",6,24]]}}},{"id":794,"uris":["http://zotero.org/users/2597747/items/5X4MX3IZ"],"uri":["http://zotero.org/users/2597747/items/5X4MX3IZ"],"itemData":{"id":794,"type":"article-journal","title":"Integrating Palliative Medicine into the Care of Persons with Advanced Dementia: Identifying Appropriate Medication Use","container-title":"Journal of the American Geriatrics Society","page":"1306-1311","volume":"56","issue":"7","source":"CrossRef","DOI":"10.1111/j.1532-5415.2008.01741.x","ISSN":"00028614, 15325415","shortTitle":"Integrating Palliative Medicine into the Care of Persons with Advanced Dementia","language":"en","author":[{"family":"Holmes","given":"Holly M."},{"family":"Sachs","given":"Greg A."},{"family":"Shega","given":"Joseph W."},{"family":"Hougham","given":"Gavin W."},{"family":"Cox Hayley","given":"Deon"},{"family":"Dale","given":"William"}],"issued":{"date-parts":[["2008",7]]}}},{"id":1080,"uris":["http://zotero.org/users/2597747/items/GEQ6SQPH"],"uri":["http://zotero.org/users/2597747/items/GEQ6SQPH"],"itemData":{"id":1080,"type":"article-journal","title":"The development and evaluation of an oncological palliative care deprescribing guideline: the ‘OncPal deprescribing guideline’","container-title":"Supportive Care in Cancer","page":"71-78","volume":"23","issue":"1","source":"link.springer.com.proxy.cc.uic.edu","abstract":"Purpose Current data suggests that potentially inappropriate medicines (PIMs) are common in palliative cancer patients; however, there is a lack of criteria to assist clinicians in identifying PIMs in these patients. The aims of this study were to design and validate a deprescribing guideline for palliative cancer patients and to undertake a descriptive analysis of the identified PIMs. Methods This prospective, non-interventional cohort study consisted of four major stages: developing an ‘OncPal Deprescribing Guideline’ from current evidence, the prospective recruitment of consecutive palliative cancer inpatients with an estimated &lt;6-month prognosis, the assessment of all medications to identify PIMs using both a panel of medical experts without access to the guideline as well as a Clinical Pharmacist independently using the OncPal Deprescribing Guideline and the evaluation of the guideline by testing concordance. Descriptive data on the incidence of PIMs identified were also assessed. Results A total of 61 patients were recruited. The OncPal Deprescribing Guideline matched 94 % of 617 medicines to the expert panel with a Kappa value of 0.83 [95 % CI (0.76, 0.89)] demonstrating an ‘outstanding’ concordance. Forty-three (70 %) patients were taking at least one PIM, with 21.4 % of the total medicines assessed identified as PIMs. The medication-associated cost per patient/month was AUD$26.71. Conclusion A guideline to assist in the de-escalation of inappropriate medications in palliative cancer patients was developed from current literature. The OncPal Deprescribing Guideline was successfully validated, demonstrating statistically significant concordance with an expert panel. We found that the incidence of PIMs was high in our patient group, demonstrating the potential benefits for the OncPal Deprescribing Guideline in clinical practice.","DOI":"10.1007/s00520-014-2322-0","ISSN":"0941-4355, 1433-7339","shortTitle":"The development and evaluation of an oncological palliative care deprescribing guideline","journalAbbreviation":"Support Care Cancer","language":"en","author":[{"family":"Lindsay","given":"Julian"},{"family":"Dooley","given":"Michael"},{"family":"Martin","given":"Jennifer"},{"family":"Fay","given":"Michael"},{"family":"Kearney","given":"Alison"},{"family":"Khatun","given":"Mohsina"},{"family":"Barras","given":"Michael"}],"issued":{"date-parts":[["2014",7,1]]}}},{"id":2291,"uris":["http://zotero.org/users/2597747/items/94XG3AWI"],"uri":["http://zotero.org/users/2597747/items/94XG3AWI"],"itemData":{"id":2291,"type":"article-journal","title":"Decision Making About Change of Medication for Comorbid Disease at the End of Life: An Integrative Review","container-title":"Drugs &amp; Aging","page":"501-512","volume":"31","issue":"7","source":"EBSCOhost","abstract":"The main goal of palliative care is to improve quality of life by treating symptoms in patients with life-threatening illnesses. Most patients suffer from more than five severe comorbidities in the last 6 months of life. However, for patients receiving palliative care, interventions to prevent possible long-term complications of these comorbidities are no longer the primary aim of care. This paper aimed to review the literature regarding decision making about medication for comorbid disease at the end of life, defined as a life expectancy &lt;3 months, and to formulate preliminary recommendations based on the existing literature. An integrative review approach was used. We searched the MEDLINE, EMBASE, and CINAHL databases. Papers were included if they had been published in the English language between 1 January 1995 and 31 December 2013, with an abstract. Additional studies were identified by searching bibliographies. Factors to consider when systematically reviewing medications are the goals of care, remaining life expectancy, treatment targets, time until benefit, number needed to treat, number needed to harm, and adverse drug reactions. Existing research focuses particularly on the use of certain drug classes during end-of-life care, including statins, antihypertensive agents, anticoagulants, antihyperglycaemic agents and antibiotics. Based on the results of this review, we made preliminary recommendations for these medication groups. Medication that does not benefit the patient in any way should be avoided. The aim of medication at the end of life should be symptom control. There is a need for prospective trials to give further insight into the decision-making process of medication management at the end of life.","DOI":"10.1007/s40266-014-0182-4","ISSN":"1170-229X","shortTitle":"Decision Making About Change of Medication for Comorbid Disease at the End of Life","journalAbbreviation":"Drugs &amp; Aging","author":[{"family":"Nordennen","given":"Ronald"},{"family":"Lavrijsen","given":"Jan"},{"family":"Vissers","given":"Kris"},{"family":"Koopmans","given":"Raymond"}],"issued":{"date-parts":[["2014",7]]}}},{"id":1136,"uris":["http://zotero.org/users/2597747/items/XJSFCK97"],"uri":["http://zotero.org/users/2597747/items/XJSFCK97"],"itemData":{"id":1136,"type":"article-journal","title":"Variation in medication use in cancer patients at the end of life: a cross-sectional analysis","container-title":"Supportive Care in Cancer","page":"1003-1011","volume":"21","issue":"4","source":"PubMed","abstract":"PURPOSE: Despite advances in cancer treatment, patients still die with unnecessary suffering. Therefore, high-quality end-of-life care is needed. Variations in medication use at the end of life may suggest areas for improvement. This study aims to describe the use of medications during the last days of life of cancer patients and to explore the possibility of using it as a quality measure.\nMETHODS: We conducted an international survey on experts' opinions regarding potentially inappropriate medications for dying patients. Subsequently, a chart review of deceased cancer patients was conducted, which assessed the current medication use in different settings.\nRESULTS: The mean number of medications used in the last 3 days of life was 4.8 (SD 2.1). Hospital patients were less likely than hospice patients to receive opioids, midazolam, haloperidol, and drugs for pulmonary secretions or nausea/vomiting. Over 90 % of experts rated 12 medications as unlikely to be appropriate. Hospital patients were more likely than hospice patients to receive these potentially inappropriate medications. Before the implementation of an end-of-life care pathway, hospital patients had a higher probability, than after, to receive potentially inappropriate medication. Moreover, after implementation of such pathway, patients for whom a pathway was not used were more likely to receive potentially inappropriate medications than patients for whom it was used.\nCONCLUSION: Medication use at the end of life varies widely by setting, both for potentially appropriate and inappropriate medications. Combining experts' opinion and current medication use resulted in the identification of 16 medications that might be used to assess the quality of cancer care at the end of life.","DOI":"10.1007/s00520-012-1619-0","ISSN":"1433-7339","note":"PMID: 23064901","shortTitle":"Variation in medication use in cancer patients at the end of life","journalAbbreviation":"Support Care Cancer","language":"eng","author":[{"family":"Raijmakers","given":"N. J. H."},{"family":"Zuylen","given":"L.","non-dropping-particle":"van"},{"family":"Furst","given":"C. J."},{"family":"Beccaro","given":"M."},{"family":"Maiorana","given":"L."},{"family":"Pilastri","given":"P."},{"family":"Rossi","given":"C."},{"family":"Flego","given":"G."},{"family":"Heide","given":"A.","non-dropping-particle":"van der"},{"family":"Costantini","given":"M."}],"issued":{"date-parts":[["2013",4]]}}},{"id":516,"uris":["http://zotero.org/users/2597747/items/BWX6NFA2"],"uri":["http://zotero.org/users/2597747/items/BWX6NFA2"],"itemData":{"id":516,"type":"article-journal","title":"Inappropriate prescribing in patients accessing specialist palliative day care services","container-title":"International Journal of Clinical Pharmacy","page":"535-543","volume":"36","issue":"3","source":"link.springer.com.proxy.cc.uic.edu","abstract":"Background For patients accessing specialist palliative care day services, medication is prescribed routinely to manage acute symptoms, treat long-term conditions or prevent adverse events associated with these conditions. As such, the pharmacotherapeutic burden for these patients is high and polypharmacy is common. Consequently, the risk of these patients developing drug-related toxicities through drug–drug interactions is exacerbated. Medication use in this group should, therefore, be evaluated regularly to align with achievable therapeutic outcomes considering remaining life expectancy. Objective To (1) assess the prevalence of inappropriate medication use; (2) identify potential drug–drug interactions; and, (3) determine how many potential drug–drug interactions could be prevented by discontinuing inappropriate medication. Setting A specialist tertiary care palliative care centre in Northern England serving a population of 330,000. Main outcome measure Prescribing of inappropriate medication. Method Medication histories for patients accessing a specialist palliative day care centre were established and a modified Delphi method was used to reach consensus of medication appropriateness. The Delphi method utilized a framework considering the following factors: remaining life expectancy of the patient, time until benefit of the treatment, goals of care and treatment targets. Potential drug interactions were established using drug interaction recognition software and categorised by their ability to cause harm. Results A total number of 132 patients were assessed during the study period who were prescribed 1,532 (mean = 12/patient) medications; 238 (16 %) were considered inappropriate in the context of limited life expectancy. The most common class of medications considered inappropriate were the statins, observed in 35 (27 %) patients. A total of 267 potential drug–drug interactions were identified; 112 were clinically significant and 155 were not considered clinically significant. Discontinuation of inappropriate medication would reduce the total number of medications taken to 1,294 (mean = 10/patient) and prevent 31 clinically significant potential drug–drug interactions. Conclusion Patients accessing specialist palliative day care services take many inappropriate medications. These medications not only increase the pharmacotherapeutic burden for the patient but they also contribute to potential drug–drug interactions. These patients should have their medication reviewed in the context of life limiting illness aligned with achievable therapeutic outcomes.","DOI":"10.1007/s11096-014-9932-y","ISSN":"2210-7703, 2210-7711","journalAbbreviation":"Int J Clin Pharm","language":"en","author":[{"family":"Todd","given":"A."},{"family":"Nazar","given":"H."},{"family":"Pearson","given":"S."},{"family":"Andrew","given":"I."},{"family":"Baker","given":"L."},{"family":"Husband","given":"A."}],"issued":{"date-parts":[["2014",3,22]]}}},{"id":1097,"uris":["http://zotero.org/users/2597747/items/JQJ8E6C6"],"uri":["http://zotero.org/users/2597747/items/JQJ8E6C6"],"itemData":{"id":1097,"type":"article-journal","title":"Drug Therapy Optimization at the End of Life","container-title":"Drugs &amp; Aging","page":"511-521","volume":"29","issue":"6","source":"EBSCOhost","abstract":"Older people reaching end-of-life status are particularly at risk of adverse effects of drug therapy. Polypharmacy, declining organ function, comorbidity, malnutrition, cachexia and changes in body composition all sum up to increase the risk of many drug-related problems in individuals who receive end-of-life care. End of life is defined by a limited lifespan or advanced disability. Optimal prescribing for end-of-life patients with multimorbidity, especially in those dying from non-cancer conditions, remains mostly unexplored, despite the increasing recognition that the management goals for patients with chronic diseases should be redefined in the setting of reduced life expectancy. Most drugs used for symptom palliation in end-of-life care of older patients are used without solid evidence of their benefits and risks in this particularly frail population. Appropriate dosing or optimal administration routes are in most cases unknown. Avoiding or discontinuing drugs that aim to prolong life or prevent disability is usually common sense in end-of-life care, particularly when the time needed to obtain the expected benefits from the drug is longer than the life expectancy of a particular individual. However, discontinuation of drugs is not standard practice, and prescriptions are usually not adapted to changes in the course of advanced diseases. Careful consideration of remaining life expectancy, time until benefit, goals of care and treatment targets for each drug seems to be a sensible framework for decision making. In this article, some key issues on drug therapy at the end of life are discussed, including principles of decision making about drug treatments, specific aspects of drug therapy in some common geriatric conditions (heart failure and dementia), treatment of acute concurrent problems such as infections, evidence to guide the choice and use of drugs to treat symptoms in palliative care, and avoidance of some long-term therapies in end-of-life care. Solid evidence is lacking to guide optimal pharmacotherapy in most endof-life settings, especially in non-cancer diseases and very old patients. Some open questions for research are suggested.","DOI":"10.2165/11631740-000000000-00000","ISSN":"1170-229X","journalAbbreviation":"Drugs &amp; Aging","author":[{"family":"Cruz-Jentoft","given":"Alfonso J."},{"family":"Boland","given":"Benoit"},{"family":"Rexach","given":"Lourdes"}],"issued":{"date-parts":[["2012",6]]}}},{"id":4020,"uris":["http://zotero.org/users/2597747/items/ZGIQV9AG"],"uri":["http://zotero.org/users/2597747/items/ZGIQV9AG"],"itemData":{"id":4020,"type":"article-journal","title":"STOPPFrail (Screening Tool of Older Persons Prescriptions in Frail adults with limited life expectancy): consensus validation","container-title":"Age and Ageing","page":"600-607","volume":"46","issue":"4","source":"PubMed","abstract":"Objective: to validate STOPPFrail, a list of explicit criteria for potentially inappropriate medication (PIM) use in frail older adults with limited life expectancy.\nDesign: a Delphi consensus survey of an expert panel comprising academic geriatricians, clinical pharmacologists, palliative care physicians, old age psychiatrists, general practitioners and clinical pharmacists.\nSetting: Ireland.\nSubjects: seventeen panellists.\nMethods: STOPPFrail criteria were initially created by the authors based on clinical experience and literature appraisal. Criteria were organised according to the physiological system; each criterion accompanied by an explanation. Using Delphi consensus methodology, panellists ranked their agreement with each criterion on a 5-point Likert scale and provided written feedback. Criteria with a median Likert response of 4/5 (agree/strongly agree) and a 25th centile of ≥4 were included in the final list.\nResults: all panellists completed three Delphi rounds. Thirty criteria were proposed, 27 were accepted. The first two criteria suggest deprescribing medications without indication or where compliance is poor. The remaining 25 criteria include lipid-lowering therapies, alpha-blockers for hypertension, anti-platelets, neuroleptics, memantine, proton-pump inhibitors, H2-receptor antagonists, anti-spasmodic agents, theophylline, leukotriene antagonists, calcium supplements, bone anti-resorptive therapy, selective oestrogen receptor modulators, non-steroidal anti-inflammatories, corticosteroids, 5-alpha-reductase inhibitors, alpha-1-selective blockers, muscarinic antagonists, oral diabetic agents, ACE-inhibitors, angiotensin receptor blockers, systemic oestrogens, multivitamins, nutritional supplements and prophylactic antibiotics. Consensus could not be reached on the inclusion of acetylcholinesterase inhibitors. Full consensus was reached on the exclusion of anticoagulants and antidepressants from the list.\nConclusion: STOPPFrail comprises 27 criteria relating to medications that are potentially inappropriate in frail older patients with limited life expectancy. STOPPFrail may assist physicians in deprescribing medications in these patients.","DOI":"10.1093/ageing/afx005","ISSN":"1468-2834","note":"PMID: 28119312","shortTitle":"STOPPFrail (Screening Tool of Older Persons Prescriptions in Frail adults with limited life expectancy)","journalAbbreviation":"Age Ageing","language":"eng","author":[{"family":"Lavan","given":"Amanda Hanora"},{"family":"Gallagher","given":"Paul"},{"family":"Parsons","given":"Carole"},{"family":"O'Mahony","given":"Denis"}],"issued":{"date-parts":[["2017",7,1]]}}},{"id":4161,"uris":["http://zotero.org/users/2597747/items/4BTLQMZK"],"uri":["http://zotero.org/users/2597747/items/4BTLQMZK"],"itemData":{"id":4161,"type":"article-journal","title":"Inappropriate prescribing of preventative medication in patients with life-limiting illness: a systematic review","container-title":"BMJ supportive &amp; palliative care","page":"113-121","volume":"7","issue":"2","source":"PubMed","abstract":"OBJECTIVES: To systematically review the literature to examine the methods used to identify inappropriate prescribing of preventative medication in patients with life-limiting illness and to detail the nature of medications prescribed.\nMETHODS: A systematic literature search of 4 databases was undertaken (MEDLINE, EMBASE, CINAHL, PsycINFO) from inception to April 2015 to identify peer-reviewed, observational studies assessing inappropriate prescribing of preventative medication in patients with life-limiting illness. Inclusion criteria were: participants had a life-limiting illness; prescribed/dispensed/using preventative medication; medication appropriateness assessed as a specific study aim or outcome.\nRESULTS: We found 19 studies meeting our eligibility criteria. The methods used to assess medication appropriateness included criteria developed for the elderly such as the Beers Criteria, and Screening Tool of Older Persons' potentially inappropriate Prescriptions (STOPP) criteria, Delphi consensus and expert clinical opinion. Lipid-regulating drugs (12 studies), antihypertensive (11 studies) and antidiabetic medications (9 studies) were the most common classes of inappropriate medication identified.\nCONCLUSIONS: Patients with life-limiting illnesses are prescribed preventative medications considered inappropriate in the context of diminished life expectancy. The way in which preventative medication appropriateness is assessed in patients with life-limiting illness varies considerably-with some methodologies utilising criteria previously developed for elderly populations. Given this lack of standardisation, improving the prescribing in this context requires an approach that is specifically designed and validated for populations with life-limiting illness.","DOI":"10.1136/bmjspcare-2015-000941","ISSN":"2045-4368","note":"PMID: 26733578","shortTitle":"Inappropriate prescribing of preventative medication in patients with life-limiting illness","journalAbbreviation":"BMJ Support Palliat Care","language":"eng","author":[{"family":"Todd","given":"Adam"},{"family":"Husband","given":"Andy"},{"family":"Andrew","given":"Inga"},{"family":"Pearson","given":"Sallie-Anne"},{"family":"Lindsey","given":"Laura"},{"family":"Holmes","given":"Holly"}],"issued":{"date-parts":[["2017",6]]}}},{"id":841,"uris":["http://zotero.org/users/2597747/items/JQTNZ25D"],"uri":["http://zotero.org/users/2597747/items/JQTNZ25D"],"itemData":{"id":841,"type":"article-journal","title":"Cholinesterase Inhibitor and N-Methyl-D-Aspartic Acid Receptor Antagonist Use in Older Adults with End-Stage Dementia: A Survey of Hospice Medical Directors","container-title":"Journal of Palliative Medicine","page":"779-783","volume":"12","issue":"9","source":"PubMed Central","abstract":"Background\nCholinesterase inhibitors and N-methyl-D-aspartic acid (NMDA) receptor antagonists are Food and Drug Administration (FDA) approved for the treatment of moderate to severe Alzheimer's disease. As dementia progresses to the end stage and patients become hospice-eligible, clinicians consider whether or not to continue these therapies without the benefit of scientific evidence. We sought to describe hospice medical directors practice patterns and experiences in the use and discontinuation of cholinesterase inhibitors and NMDA receptor antagonists in hospice patients that meet the Medicare hospice criteria for dementia.\n\nStudy Design\nMail survey of hospice medical directors from a random sample from the National Hospice and Palliative Care Organization.\n\nResults\nOf the 413 eligible participants, 152 completed surveys were returned, yielding a response rate of 37%. Of the respondents, 75% and 33% reported that at least 20% of their patients were taking a cholinesterase inhibitor or memantine, respectively, at the time of hospice admission. The majority of respondents do not consider these therapies effective in persons with end-stage dementia, however, a subset believe that these medications improved patient outcomes including stabilization of cognition (22%), decrease in challenging behaviors (28%), and maintenance of patient function (22%) as well as caregiver outcomes namely reduced caregiver burden (20%) and improved caregiver quality of life (20%). While 80% of respondents recommended discontinuing these therapies to families at the time of hospice enrollment, 72% of respondents reported that families experienced difficulty stopping these therapies. A subset of respondents observed accelerated cognitive (30%) and functional decline (26%) or emergence of challenging behaviors (32%) with medication discontinuation.\n\nConclusions\nThe findings from this survey indicate that cholinesterase inhibitors and/or NMDA receptor antagonists are prescribed for a subset of patients with advanced dementia and that a proportion of hospice medical directors report clinical benefit from the ongoing use of these agents. In addition, physician preferences for discontinuing these therapies are frequently at odds with the wishes of family members. Prospective studies are needed to evaluate the clinical impact of the discontinuation of these therapies on patient and caregiver outcomes.","DOI":"10.1089/jpm.2009.0059","ISSN":"1096-6218","note":"PMID: 19622011\nPMCID: PMC2988459","shortTitle":"Cholinesterase Inhibitor and N-Methyl-D-Aspartic Acid Receptor Antagonist Use in Older Adults with End-Stage Dementia","journalAbbreviation":"J Palliat Med","author":[{"family":"Shega","given":"Joseph W."},{"family":"Ellner","given":"Lynn"},{"family":"Lau","given":"Denys T."},{"family":"Maxwell","given":"Terri L."}],"issued":{"date-parts":[["2009",9]]}}}],"schema":"https://github.com/citation-style-language/schema/raw/master/csl-citation.json"} </w:instrText>
      </w:r>
      <w:r w:rsidR="00592035">
        <w:rPr>
          <w:rFonts w:cs="Arial"/>
          <w:szCs w:val="22"/>
        </w:rPr>
        <w:fldChar w:fldCharType="separate"/>
      </w:r>
      <w:r w:rsidR="00B55AC2" w:rsidRPr="00B55AC2">
        <w:rPr>
          <w:rFonts w:cs="Arial"/>
          <w:szCs w:val="24"/>
          <w:vertAlign w:val="superscript"/>
        </w:rPr>
        <w:t>41,52,56,57,59–61,63,65,66,103,104</w:t>
      </w:r>
      <w:r w:rsidR="00592035">
        <w:rPr>
          <w:rFonts w:cs="Arial"/>
          <w:szCs w:val="22"/>
        </w:rPr>
        <w:fldChar w:fldCharType="end"/>
      </w:r>
      <w:r w:rsidR="00592035" w:rsidRPr="00725D15">
        <w:rPr>
          <w:rFonts w:cs="Arial"/>
          <w:szCs w:val="22"/>
        </w:rPr>
        <w:t xml:space="preserve"> </w:t>
      </w:r>
      <w:r w:rsidRPr="00725D15">
        <w:rPr>
          <w:rFonts w:cs="Arial"/>
          <w:szCs w:val="22"/>
        </w:rPr>
        <w:t xml:space="preserve"> While not intended to be definitive or comprehensive, the selected medication classes are characterized by a general lack of utility in the palliation of terminal illness symptoms or in optimizing quality of life near the end of life. Anti-hyperlipidemics, antihypertensives, oral antidiabetics, antiplatelets, anti-dementia medications, anti-osteoporotic medications, and proton pump inhibitors were included, with some disease-specific exceptions: Drug classes were excluded from the analysis at the patient level if a diagnosis was present in the year prior to hospice admission for a condition where the medication may have provided a symptomatic or quality of life benefit, or decreased the short-term (e.g. &lt;1 year) risk of major adverse events (</w:t>
      </w:r>
      <w:r w:rsidR="004F15A3">
        <w:rPr>
          <w:rFonts w:cs="Arial"/>
          <w:b/>
          <w:szCs w:val="22"/>
        </w:rPr>
        <w:t>TABLE X</w:t>
      </w:r>
      <w:r w:rsidRPr="00725D15">
        <w:rPr>
          <w:rFonts w:cs="Arial"/>
          <w:szCs w:val="22"/>
        </w:rPr>
        <w:t>). Prior studies have cited additional medication classes (e.g., leukotriene receptor antagonists, hormonal medications, antimicrobial agents) as being of questionable benefit at the end of life.</w:t>
      </w:r>
      <w:bookmarkStart w:id="105" w:name="ZOTERO_BREF_9IdwkEKQl0in"/>
      <w:r w:rsidR="00592035">
        <w:rPr>
          <w:rFonts w:cs="Arial"/>
          <w:szCs w:val="22"/>
        </w:rPr>
        <w:fldChar w:fldCharType="begin"/>
      </w:r>
      <w:r w:rsidR="00EC3644">
        <w:rPr>
          <w:rFonts w:cs="Arial"/>
          <w:szCs w:val="22"/>
        </w:rPr>
        <w:instrText xml:space="preserve"> ADDIN ZOTERO_ITEM CSL_CITATION {"citationID":"a16s844770u","properties":{"formattedCitation":"\\super 59,63,103\\nosupersub{}","plainCitation":"59,63,103","noteIndex":0},"citationItems":[{"id":794,"uris":["http://zotero.org/users/2597747/items/5X4MX3IZ"],"uri":["http://zotero.org/users/2597747/items/5X4MX3IZ"],"itemData":{"id":794,"type":"article-journal","title":"Integrating Palliative Medicine into the Care of Persons with Advanced Dementia: Identifying Appropriate Medication Use","container-title":"Journal of the American Geriatrics Society","page":"1306-1311","volume":"56","issue":"7","source":"CrossRef","DOI":"10.1111/j.1532-5415.2008.01741.x","ISSN":"00028614, 15325415","shortTitle":"Integrating Palliative Medicine into the Care of Persons with Advanced Dementia","language":"en","author":[{"family":"Holmes","given":"Holly M."},{"family":"Sachs","given":"Greg A."},{"family":"Shega","given":"Joseph W."},{"family":"Hougham","given":"Gavin W."},{"family":"Cox Hayley","given":"Deon"},{"family":"Dale","given":"William"}],"issued":{"date-parts":[["2008",7]]}}},{"id":2291,"uris":["http://zotero.org/users/2597747/items/94XG3AWI"],"uri":["http://zotero.org/users/2597747/items/94XG3AWI"],"itemData":{"id":2291,"type":"article-journal","title":"Decision Making About Change of Medication for Comorbid Disease at the End of Life: An Integrative Review","container-title":"Drugs &amp; Aging","page":"501-512","volume":"31","issue":"7","source":"EBSCOhost","abstract":"The main goal of palliative care is to improve quality of life by treating symptoms in patients with life-threatening illnesses. Most patients suffer from more than five severe comorbidities in the last 6 months of life. However, for patients receiving palliative care, interventions to prevent possible long-term complications of these comorbidities are no longer the primary aim of care. This paper aimed to review the literature regarding decision making about medication for comorbid disease at the end of life, defined as a life expectancy &lt;3 months, and to formulate preliminary recommendations based on the existing literature. An integrative review approach was used. We searched the MEDLINE, EMBASE, and CINAHL databases. Papers were included if they had been published in the English language between 1 January 1995 and 31 December 2013, with an abstract. Additional studies were identified by searching bibliographies. Factors to consider when systematically reviewing medications are the goals of care, remaining life expectancy, treatment targets, time until benefit, number needed to treat, number needed to harm, and adverse drug reactions. Existing research focuses particularly on the use of certain drug classes during end-of-life care, including statins, antihypertensive agents, anticoagulants, antihyperglycaemic agents and antibiotics. Based on the results of this review, we made preliminary recommendations for these medication groups. Medication that does not benefit the patient in any way should be avoided. The aim of medication at the end of life should be symptom control. There is a need for prospective trials to give further insight into the decision-making process of medication management at the end of life.","DOI":"10.1007/s40266-014-0182-4","ISSN":"1170-229X","shortTitle":"Decision Making About Change of Medication for Comorbid Disease at the End of Life","journalAbbreviation":"Drugs &amp; Aging","author":[{"family":"Nordennen","given":"Ronald"},{"family":"Lavrijsen","given":"Jan"},{"family":"Vissers","given":"Kris"},{"family":"Koopmans","given":"Raymond"}],"issued":{"date-parts":[["2014",7]]}}},{"id":4020,"uris":["http://zotero.org/users/2597747/items/ZGIQV9AG"],"uri":["http://zotero.org/users/2597747/items/ZGIQV9AG"],"itemData":{"id":4020,"type":"article-journal","title":"STOPPFrail (Screening Tool of Older Persons Prescriptions in Frail adults with limited life expectancy): consensus validation","container-title":"Age and Ageing","page":"600-607","volume":"46","issue":"4","source":"PubMed","abstract":"Objective: to validate STOPPFrail, a list of explicit criteria for potentially inappropriate medication (PIM) use in frail older adults with limited life expectancy.\nDesign: a Delphi consensus survey of an expert panel comprising academic geriatricians, clinical pharmacologists, palliative care physicians, old age psychiatrists, general practitioners and clinical pharmacists.\nSetting: Ireland.\nSubjects: seventeen panellists.\nMethods: STOPPFrail criteria were initially created by the authors based on clinical experience and literature appraisal. Criteria were organised according to the physiological system; each criterion accompanied by an explanation. Using Delphi consensus methodology, panellists ranked their agreement with each criterion on a 5-point Likert scale and provided written feedback. Criteria with a median Likert response of 4/5 (agree/strongly agree) and a 25th centile of ≥4 were included in the final list.\nResults: all panellists completed three Delphi rounds. Thirty criteria were proposed, 27 were accepted. The first two criteria suggest deprescribing medications without indication or where compliance is poor. The remaining 25 criteria include lipid-lowering therapies, alpha-blockers for hypertension, anti-platelets, neuroleptics, memantine, proton-pump inhibitors, H2-receptor antagonists, anti-spasmodic agents, theophylline, leukotriene antagonists, calcium supplements, bone anti-resorptive therapy, selective oestrogen receptor modulators, non-steroidal anti-inflammatories, corticosteroids, 5-alpha-reductase inhibitors, alpha-1-selective blockers, muscarinic antagonists, oral diabetic agents, ACE-inhibitors, angiotensin receptor blockers, systemic oestrogens, multivitamins, nutritional supplements and prophylactic antibiotics. Consensus could not be reached on the inclusion of acetylcholinesterase inhibitors. Full consensus was reached on the exclusion of anticoagulants and antidepressants from the list.\nConclusion: STOPPFrail comprises 27 criteria relating to medications that are potentially inappropriate in frail older patients with limited life expectancy. STOPPFrail may assist physicians in deprescribing medications in these patients.","DOI":"10.1093/ageing/afx005","ISSN":"1468-2834","note":"PMID: 28119312","shortTitle":"STOPPFrail (Screening Tool of Older Persons Prescriptions in Frail adults with limited life expectancy)","journalAbbreviation":"Age Ageing","language":"eng","author":[{"family":"Lavan","given":"Amanda Hanora"},{"family":"Gallagher","given":"Paul"},{"family":"Parsons","given":"Carole"},{"family":"O'Mahony","given":"Denis"}],"issued":{"date-parts":[["2017",7,1]]}}}],"schema":"https://github.com/citation-style-language/schema/raw/master/csl-citation.json"} </w:instrText>
      </w:r>
      <w:r w:rsidR="00592035">
        <w:rPr>
          <w:rFonts w:cs="Arial"/>
          <w:szCs w:val="22"/>
        </w:rPr>
        <w:fldChar w:fldCharType="separate"/>
      </w:r>
      <w:r w:rsidR="00B55AC2" w:rsidRPr="00B55AC2">
        <w:rPr>
          <w:rFonts w:cs="Arial"/>
          <w:szCs w:val="24"/>
          <w:vertAlign w:val="superscript"/>
        </w:rPr>
        <w:t>59,63,103</w:t>
      </w:r>
      <w:r w:rsidR="00592035">
        <w:rPr>
          <w:rFonts w:cs="Arial"/>
          <w:szCs w:val="22"/>
        </w:rPr>
        <w:fldChar w:fldCharType="end"/>
      </w:r>
      <w:bookmarkEnd w:id="105"/>
      <w:r w:rsidRPr="00725D15">
        <w:rPr>
          <w:rFonts w:cs="Arial"/>
          <w:szCs w:val="22"/>
        </w:rPr>
        <w:t xml:space="preserve"> However, for this research we </w:t>
      </w:r>
    </w:p>
    <w:p w14:paraId="52E2DDFC" w14:textId="50D971A7" w:rsidR="00155ED6" w:rsidRDefault="004F15A3" w:rsidP="00FC041D">
      <w:pPr>
        <w:spacing w:after="0" w:line="240" w:lineRule="auto"/>
        <w:ind w:firstLine="720"/>
        <w:jc w:val="center"/>
        <w:rPr>
          <w:rFonts w:cs="Arial"/>
          <w:b/>
          <w:szCs w:val="22"/>
        </w:rPr>
      </w:pPr>
      <w:r>
        <w:rPr>
          <w:rFonts w:cs="Arial"/>
          <w:b/>
          <w:szCs w:val="22"/>
        </w:rPr>
        <w:lastRenderedPageBreak/>
        <w:t>TABLE X</w:t>
      </w:r>
    </w:p>
    <w:p w14:paraId="40E9FE37" w14:textId="77777777" w:rsidR="00FC041D" w:rsidRDefault="00FC041D" w:rsidP="00FC041D">
      <w:pPr>
        <w:spacing w:after="0" w:line="240" w:lineRule="auto"/>
        <w:ind w:firstLine="720"/>
        <w:jc w:val="center"/>
        <w:rPr>
          <w:rFonts w:cs="Arial"/>
          <w:b/>
          <w:szCs w:val="22"/>
        </w:rPr>
      </w:pPr>
    </w:p>
    <w:p w14:paraId="6BCA690E" w14:textId="26BEC5BE" w:rsidR="00FC041D" w:rsidRPr="00FC041D" w:rsidRDefault="00EC127A" w:rsidP="00EC127A">
      <w:pPr>
        <w:pStyle w:val="Caption"/>
        <w:rPr>
          <w:rFonts w:cs="Arial"/>
          <w:b/>
          <w:szCs w:val="22"/>
        </w:rPr>
      </w:pPr>
      <w:bookmarkStart w:id="106" w:name="_Toc507329279"/>
      <w:r w:rsidRPr="005C7F74">
        <w:rPr>
          <w:noProof/>
        </w:rPr>
        <w:t>MEDICATION CLASSES IDENTIFIED AS BEING OF LIMITED BENEFIT IN HOSPICE PATIENTS AND CRITERIA FOR EXCLUSION FROM THE CONTINUATION ANALYSIS</w:t>
      </w:r>
      <w:bookmarkEnd w:id="106"/>
    </w:p>
    <w:tbl>
      <w:tblPr>
        <w:tblW w:w="9645" w:type="dxa"/>
        <w:tblBorders>
          <w:top w:val="single" w:sz="4" w:space="0" w:color="auto"/>
          <w:bottom w:val="single" w:sz="4" w:space="0" w:color="auto"/>
        </w:tblBorders>
        <w:tblLook w:val="04A0" w:firstRow="1" w:lastRow="0" w:firstColumn="1" w:lastColumn="0" w:noHBand="0" w:noVBand="1"/>
      </w:tblPr>
      <w:tblGrid>
        <w:gridCol w:w="1998"/>
        <w:gridCol w:w="3147"/>
        <w:gridCol w:w="4500"/>
      </w:tblGrid>
      <w:tr w:rsidR="00530CD0" w:rsidRPr="00BA1D24" w14:paraId="6D3F7BCA" w14:textId="77777777" w:rsidTr="00F1421B">
        <w:trPr>
          <w:trHeight w:val="300"/>
        </w:trPr>
        <w:tc>
          <w:tcPr>
            <w:tcW w:w="1998" w:type="dxa"/>
            <w:tcBorders>
              <w:top w:val="single" w:sz="4" w:space="0" w:color="auto"/>
              <w:bottom w:val="single" w:sz="4" w:space="0" w:color="auto"/>
            </w:tcBorders>
            <w:shd w:val="clear" w:color="auto" w:fill="auto"/>
            <w:noWrap/>
            <w:vAlign w:val="bottom"/>
            <w:hideMark/>
          </w:tcPr>
          <w:p w14:paraId="24BB2FE5" w14:textId="77777777" w:rsidR="00530CD0" w:rsidRPr="00BA1D24" w:rsidRDefault="00530CD0" w:rsidP="00530CD0">
            <w:pPr>
              <w:spacing w:after="0" w:line="240" w:lineRule="auto"/>
              <w:jc w:val="center"/>
              <w:rPr>
                <w:b/>
                <w:bCs/>
                <w:color w:val="000000"/>
                <w:sz w:val="20"/>
              </w:rPr>
            </w:pPr>
            <w:r w:rsidRPr="00BA1D24">
              <w:rPr>
                <w:b/>
                <w:bCs/>
                <w:color w:val="000000"/>
                <w:sz w:val="20"/>
              </w:rPr>
              <w:t>Therapeutic Class</w:t>
            </w:r>
          </w:p>
        </w:tc>
        <w:tc>
          <w:tcPr>
            <w:tcW w:w="3147" w:type="dxa"/>
            <w:tcBorders>
              <w:top w:val="single" w:sz="4" w:space="0" w:color="auto"/>
              <w:bottom w:val="single" w:sz="4" w:space="0" w:color="auto"/>
            </w:tcBorders>
            <w:shd w:val="clear" w:color="auto" w:fill="auto"/>
            <w:noWrap/>
            <w:vAlign w:val="bottom"/>
            <w:hideMark/>
          </w:tcPr>
          <w:p w14:paraId="3C29381D" w14:textId="77777777" w:rsidR="00530CD0" w:rsidRPr="00BA1D24" w:rsidRDefault="00530CD0" w:rsidP="00530CD0">
            <w:pPr>
              <w:spacing w:after="0" w:line="240" w:lineRule="auto"/>
              <w:jc w:val="center"/>
              <w:rPr>
                <w:b/>
                <w:bCs/>
                <w:color w:val="000000"/>
                <w:sz w:val="20"/>
              </w:rPr>
            </w:pPr>
            <w:r w:rsidRPr="00BA1D24">
              <w:rPr>
                <w:b/>
                <w:bCs/>
                <w:color w:val="000000"/>
                <w:sz w:val="20"/>
              </w:rPr>
              <w:t xml:space="preserve">Drug </w:t>
            </w:r>
            <w:r>
              <w:rPr>
                <w:b/>
                <w:bCs/>
                <w:color w:val="000000"/>
                <w:sz w:val="20"/>
              </w:rPr>
              <w:t>Classes</w:t>
            </w:r>
          </w:p>
        </w:tc>
        <w:tc>
          <w:tcPr>
            <w:tcW w:w="4500" w:type="dxa"/>
            <w:tcBorders>
              <w:top w:val="single" w:sz="4" w:space="0" w:color="auto"/>
              <w:bottom w:val="single" w:sz="4" w:space="0" w:color="auto"/>
            </w:tcBorders>
            <w:shd w:val="clear" w:color="auto" w:fill="auto"/>
            <w:noWrap/>
            <w:vAlign w:val="bottom"/>
            <w:hideMark/>
          </w:tcPr>
          <w:p w14:paraId="145A74CC" w14:textId="77777777" w:rsidR="00530CD0" w:rsidRPr="00BA1D24" w:rsidRDefault="00530CD0" w:rsidP="00530CD0">
            <w:pPr>
              <w:spacing w:after="0" w:line="240" w:lineRule="auto"/>
              <w:jc w:val="center"/>
              <w:rPr>
                <w:b/>
                <w:bCs/>
                <w:color w:val="000000"/>
                <w:sz w:val="20"/>
              </w:rPr>
            </w:pPr>
            <w:r>
              <w:rPr>
                <w:b/>
                <w:bCs/>
                <w:color w:val="000000"/>
                <w:sz w:val="20"/>
              </w:rPr>
              <w:t>Patient-Specific</w:t>
            </w:r>
            <w:r w:rsidRPr="00BA1D24">
              <w:rPr>
                <w:b/>
                <w:bCs/>
                <w:color w:val="000000"/>
                <w:sz w:val="20"/>
              </w:rPr>
              <w:t xml:space="preserve"> Exclusions</w:t>
            </w:r>
          </w:p>
        </w:tc>
      </w:tr>
      <w:tr w:rsidR="00530CD0" w:rsidRPr="00BA1D24" w14:paraId="28ECAF57" w14:textId="77777777" w:rsidTr="00F1421B">
        <w:trPr>
          <w:trHeight w:val="1200"/>
        </w:trPr>
        <w:tc>
          <w:tcPr>
            <w:tcW w:w="1998" w:type="dxa"/>
            <w:tcBorders>
              <w:top w:val="single" w:sz="4" w:space="0" w:color="auto"/>
            </w:tcBorders>
            <w:shd w:val="clear" w:color="auto" w:fill="auto"/>
            <w:noWrap/>
            <w:vAlign w:val="center"/>
            <w:hideMark/>
          </w:tcPr>
          <w:p w14:paraId="377CF1BD" w14:textId="77777777" w:rsidR="00530CD0" w:rsidRPr="00BA1D24" w:rsidRDefault="00530CD0" w:rsidP="00530CD0">
            <w:pPr>
              <w:spacing w:after="0" w:line="240" w:lineRule="auto"/>
              <w:rPr>
                <w:color w:val="000000"/>
                <w:sz w:val="20"/>
              </w:rPr>
            </w:pPr>
            <w:r w:rsidRPr="00BA1D24">
              <w:rPr>
                <w:color w:val="000000"/>
                <w:sz w:val="20"/>
              </w:rPr>
              <w:t>Anti-hyperlipidemic</w:t>
            </w:r>
          </w:p>
        </w:tc>
        <w:tc>
          <w:tcPr>
            <w:tcW w:w="3147" w:type="dxa"/>
            <w:tcBorders>
              <w:top w:val="single" w:sz="4" w:space="0" w:color="auto"/>
            </w:tcBorders>
            <w:shd w:val="clear" w:color="auto" w:fill="auto"/>
            <w:vAlign w:val="center"/>
            <w:hideMark/>
          </w:tcPr>
          <w:p w14:paraId="4F52B527" w14:textId="77777777" w:rsidR="00530CD0" w:rsidRDefault="00530CD0" w:rsidP="00530CD0">
            <w:pPr>
              <w:spacing w:after="0" w:line="240" w:lineRule="auto"/>
              <w:rPr>
                <w:color w:val="000000"/>
                <w:sz w:val="20"/>
              </w:rPr>
            </w:pPr>
            <w:r w:rsidRPr="00BA1D24">
              <w:rPr>
                <w:color w:val="000000"/>
                <w:sz w:val="20"/>
              </w:rPr>
              <w:t xml:space="preserve">HMG-CoA reductase inhibitors </w:t>
            </w:r>
          </w:p>
          <w:p w14:paraId="32FC7CAD" w14:textId="77777777" w:rsidR="00530CD0" w:rsidRPr="00BA1D24" w:rsidRDefault="00530CD0" w:rsidP="00530CD0">
            <w:pPr>
              <w:spacing w:after="0" w:line="240" w:lineRule="auto"/>
              <w:rPr>
                <w:color w:val="000000"/>
                <w:sz w:val="20"/>
              </w:rPr>
            </w:pPr>
            <w:r w:rsidRPr="00BA1D24">
              <w:rPr>
                <w:color w:val="000000"/>
                <w:sz w:val="20"/>
              </w:rPr>
              <w:t>Fibric acid derivatives                                                        Bile acid sequestrants                                             2-azetidinones (ezetimibe)</w:t>
            </w:r>
          </w:p>
        </w:tc>
        <w:tc>
          <w:tcPr>
            <w:tcW w:w="4500" w:type="dxa"/>
            <w:tcBorders>
              <w:top w:val="single" w:sz="4" w:space="0" w:color="auto"/>
            </w:tcBorders>
            <w:shd w:val="clear" w:color="auto" w:fill="auto"/>
            <w:vAlign w:val="center"/>
            <w:hideMark/>
          </w:tcPr>
          <w:p w14:paraId="1B47B4B8" w14:textId="77777777" w:rsidR="00530CD0" w:rsidRPr="00D53EDB" w:rsidRDefault="00530CD0" w:rsidP="00530CD0">
            <w:pPr>
              <w:spacing w:after="0" w:line="240" w:lineRule="auto"/>
              <w:rPr>
                <w:color w:val="000000"/>
                <w:sz w:val="20"/>
                <w:vertAlign w:val="superscript"/>
              </w:rPr>
            </w:pPr>
            <w:r>
              <w:rPr>
                <w:color w:val="000000"/>
                <w:sz w:val="20"/>
              </w:rPr>
              <w:t>HMG-CoA reduc</w:t>
            </w:r>
            <w:r w:rsidRPr="00BA1D24">
              <w:rPr>
                <w:color w:val="000000"/>
                <w:sz w:val="20"/>
              </w:rPr>
              <w:t>tase inhibitors</w:t>
            </w:r>
            <w:r>
              <w:rPr>
                <w:color w:val="000000"/>
                <w:sz w:val="20"/>
              </w:rPr>
              <w:t xml:space="preserve"> excluded when used</w:t>
            </w:r>
            <w:r w:rsidRPr="00BA1D24">
              <w:rPr>
                <w:color w:val="000000"/>
                <w:sz w:val="20"/>
              </w:rPr>
              <w:t xml:space="preserve"> </w:t>
            </w:r>
            <w:r>
              <w:rPr>
                <w:color w:val="000000"/>
                <w:sz w:val="20"/>
              </w:rPr>
              <w:t xml:space="preserve">after recent </w:t>
            </w:r>
            <w:r w:rsidRPr="00BA1D24">
              <w:rPr>
                <w:color w:val="000000"/>
                <w:sz w:val="20"/>
              </w:rPr>
              <w:t>myocardial infarction or ischemic stroke</w:t>
            </w:r>
            <w:r>
              <w:rPr>
                <w:b/>
                <w:bCs/>
                <w:color w:val="000000"/>
                <w:sz w:val="20"/>
                <w:vertAlign w:val="superscript"/>
              </w:rPr>
              <w:t>a</w:t>
            </w:r>
          </w:p>
        </w:tc>
      </w:tr>
      <w:tr w:rsidR="00530CD0" w:rsidRPr="00BA1D24" w14:paraId="16095DA7" w14:textId="77777777" w:rsidTr="00F1421B">
        <w:trPr>
          <w:trHeight w:val="3000"/>
        </w:trPr>
        <w:tc>
          <w:tcPr>
            <w:tcW w:w="1998" w:type="dxa"/>
            <w:shd w:val="clear" w:color="auto" w:fill="auto"/>
            <w:noWrap/>
            <w:vAlign w:val="center"/>
            <w:hideMark/>
          </w:tcPr>
          <w:p w14:paraId="1B0F74CC" w14:textId="77777777" w:rsidR="00530CD0" w:rsidRPr="00BA1D24" w:rsidRDefault="00530CD0" w:rsidP="00530CD0">
            <w:pPr>
              <w:spacing w:after="0" w:line="240" w:lineRule="auto"/>
              <w:rPr>
                <w:color w:val="000000"/>
                <w:sz w:val="20"/>
              </w:rPr>
            </w:pPr>
            <w:r w:rsidRPr="00BA1D24">
              <w:rPr>
                <w:color w:val="000000"/>
                <w:sz w:val="20"/>
              </w:rPr>
              <w:t>Antihypertensive</w:t>
            </w:r>
          </w:p>
        </w:tc>
        <w:tc>
          <w:tcPr>
            <w:tcW w:w="3147" w:type="dxa"/>
            <w:shd w:val="clear" w:color="auto" w:fill="auto"/>
            <w:vAlign w:val="center"/>
            <w:hideMark/>
          </w:tcPr>
          <w:p w14:paraId="3B0087EF" w14:textId="77777777" w:rsidR="00530CD0" w:rsidRPr="00D53EDB" w:rsidRDefault="00530CD0" w:rsidP="00530CD0">
            <w:pPr>
              <w:spacing w:after="0" w:line="240" w:lineRule="auto"/>
              <w:rPr>
                <w:color w:val="000000"/>
                <w:sz w:val="20"/>
                <w:vertAlign w:val="superscript"/>
              </w:rPr>
            </w:pPr>
            <w:r w:rsidRPr="00BA1D24">
              <w:rPr>
                <w:color w:val="000000"/>
                <w:sz w:val="20"/>
              </w:rPr>
              <w:t>Thiazide diuretics</w:t>
            </w:r>
            <w:r w:rsidRPr="00BA1D24">
              <w:rPr>
                <w:color w:val="000000"/>
                <w:sz w:val="20"/>
              </w:rPr>
              <w:br/>
              <w:t>Other non-loop diuretics</w:t>
            </w:r>
            <w:r>
              <w:rPr>
                <w:color w:val="000000"/>
                <w:sz w:val="20"/>
                <w:vertAlign w:val="superscript"/>
              </w:rPr>
              <w:t>b</w:t>
            </w:r>
          </w:p>
          <w:p w14:paraId="1E6B9CCA" w14:textId="77777777" w:rsidR="00530CD0" w:rsidRPr="00BA1D24" w:rsidRDefault="00530CD0" w:rsidP="00530CD0">
            <w:pPr>
              <w:spacing w:after="0" w:line="240" w:lineRule="auto"/>
              <w:rPr>
                <w:color w:val="000000"/>
                <w:sz w:val="20"/>
              </w:rPr>
            </w:pPr>
            <w:r w:rsidRPr="00BA1D24">
              <w:rPr>
                <w:color w:val="000000"/>
                <w:sz w:val="20"/>
              </w:rPr>
              <w:t>ACE inhibitors</w:t>
            </w:r>
            <w:r w:rsidRPr="00BA1D24">
              <w:rPr>
                <w:color w:val="000000"/>
                <w:sz w:val="20"/>
              </w:rPr>
              <w:br/>
              <w:t>ARBs</w:t>
            </w:r>
            <w:r w:rsidRPr="00BA1D24">
              <w:rPr>
                <w:color w:val="000000"/>
                <w:sz w:val="20"/>
              </w:rPr>
              <w:br/>
              <w:t>DHP CCBs</w:t>
            </w:r>
            <w:r w:rsidRPr="00BA1D24">
              <w:rPr>
                <w:color w:val="000000"/>
                <w:sz w:val="20"/>
              </w:rPr>
              <w:br/>
              <w:t>Non-DHP CCBs</w:t>
            </w:r>
            <w:r w:rsidRPr="00BA1D24">
              <w:rPr>
                <w:color w:val="000000"/>
                <w:sz w:val="20"/>
              </w:rPr>
              <w:br/>
              <w:t>Beta-blockers</w:t>
            </w:r>
            <w:r w:rsidRPr="00BA1D24">
              <w:rPr>
                <w:color w:val="000000"/>
                <w:sz w:val="20"/>
              </w:rPr>
              <w:br/>
              <w:t>Alpha-blockers</w:t>
            </w:r>
            <w:r w:rsidRPr="00BA1D24">
              <w:rPr>
                <w:color w:val="000000"/>
                <w:sz w:val="20"/>
              </w:rPr>
              <w:br/>
              <w:t>Centrally-acting agents</w:t>
            </w:r>
            <w:r w:rsidRPr="00BA1D24">
              <w:rPr>
                <w:color w:val="000000"/>
                <w:sz w:val="20"/>
              </w:rPr>
              <w:br/>
              <w:t>Vasodilators</w:t>
            </w:r>
            <w:r w:rsidRPr="00BA1D24">
              <w:rPr>
                <w:color w:val="000000"/>
                <w:sz w:val="20"/>
              </w:rPr>
              <w:br/>
              <w:t>Direct renin inhibitors</w:t>
            </w:r>
          </w:p>
        </w:tc>
        <w:tc>
          <w:tcPr>
            <w:tcW w:w="4500" w:type="dxa"/>
            <w:shd w:val="clear" w:color="auto" w:fill="auto"/>
            <w:vAlign w:val="center"/>
            <w:hideMark/>
          </w:tcPr>
          <w:p w14:paraId="216AB75E" w14:textId="77777777" w:rsidR="00530CD0" w:rsidRPr="00BA1D24" w:rsidRDefault="00530CD0" w:rsidP="00530CD0">
            <w:pPr>
              <w:spacing w:after="0" w:line="240" w:lineRule="auto"/>
              <w:rPr>
                <w:color w:val="000000"/>
                <w:sz w:val="20"/>
              </w:rPr>
            </w:pPr>
            <w:r w:rsidRPr="00BA1D24">
              <w:rPr>
                <w:color w:val="000000"/>
                <w:sz w:val="20"/>
              </w:rPr>
              <w:t>i. Diuretics, beta-adrenergic antagonists, ACE inhibitors, ARBs and hydralazine</w:t>
            </w:r>
            <w:r>
              <w:rPr>
                <w:color w:val="000000"/>
                <w:sz w:val="20"/>
              </w:rPr>
              <w:t xml:space="preserve"> (in combination with nitrates)</w:t>
            </w:r>
            <w:r w:rsidRPr="00BA1D24">
              <w:rPr>
                <w:color w:val="000000"/>
                <w:sz w:val="20"/>
              </w:rPr>
              <w:t xml:space="preserve"> </w:t>
            </w:r>
            <w:r>
              <w:rPr>
                <w:color w:val="000000"/>
                <w:sz w:val="20"/>
              </w:rPr>
              <w:t>excluded when used</w:t>
            </w:r>
            <w:r w:rsidRPr="00BA1D24">
              <w:rPr>
                <w:color w:val="000000"/>
                <w:sz w:val="20"/>
              </w:rPr>
              <w:t xml:space="preserve"> </w:t>
            </w:r>
            <w:r>
              <w:rPr>
                <w:color w:val="000000"/>
                <w:sz w:val="20"/>
              </w:rPr>
              <w:t>for</w:t>
            </w:r>
            <w:r w:rsidRPr="00BA1D24">
              <w:rPr>
                <w:color w:val="000000"/>
                <w:sz w:val="20"/>
              </w:rPr>
              <w:t xml:space="preserve"> congestive heart failure  </w:t>
            </w:r>
            <w:r w:rsidRPr="00BA1D24">
              <w:rPr>
                <w:color w:val="000000"/>
                <w:sz w:val="20"/>
              </w:rPr>
              <w:br/>
              <w:t>ii. Beta-adrenergic antagonists and CCBs</w:t>
            </w:r>
            <w:r>
              <w:rPr>
                <w:color w:val="000000"/>
                <w:sz w:val="20"/>
              </w:rPr>
              <w:t xml:space="preserve"> excluded when used</w:t>
            </w:r>
            <w:r w:rsidRPr="00BA1D24">
              <w:rPr>
                <w:color w:val="000000"/>
                <w:sz w:val="20"/>
              </w:rPr>
              <w:t xml:space="preserve"> </w:t>
            </w:r>
            <w:r>
              <w:rPr>
                <w:color w:val="000000"/>
                <w:sz w:val="20"/>
              </w:rPr>
              <w:t xml:space="preserve">for </w:t>
            </w:r>
            <w:r w:rsidRPr="00BA1D24">
              <w:rPr>
                <w:color w:val="000000"/>
                <w:sz w:val="20"/>
              </w:rPr>
              <w:t>angina pectoris</w:t>
            </w:r>
            <w:r w:rsidRPr="00BA1D24">
              <w:rPr>
                <w:color w:val="000000"/>
                <w:sz w:val="20"/>
              </w:rPr>
              <w:br/>
              <w:t>iii. Non-</w:t>
            </w:r>
            <w:r>
              <w:rPr>
                <w:color w:val="000000"/>
                <w:sz w:val="20"/>
              </w:rPr>
              <w:t>DHP</w:t>
            </w:r>
            <w:r w:rsidRPr="00BA1D24">
              <w:rPr>
                <w:color w:val="000000"/>
                <w:sz w:val="20"/>
              </w:rPr>
              <w:t xml:space="preserve"> CCBs and beta-adrenergic antagonists </w:t>
            </w:r>
            <w:r>
              <w:rPr>
                <w:color w:val="000000"/>
                <w:sz w:val="20"/>
              </w:rPr>
              <w:t>excluded when used</w:t>
            </w:r>
            <w:r w:rsidRPr="00BA1D24">
              <w:rPr>
                <w:color w:val="000000"/>
                <w:sz w:val="20"/>
              </w:rPr>
              <w:t xml:space="preserve"> </w:t>
            </w:r>
            <w:r>
              <w:rPr>
                <w:color w:val="000000"/>
                <w:sz w:val="20"/>
              </w:rPr>
              <w:t xml:space="preserve">for </w:t>
            </w:r>
            <w:r w:rsidRPr="00BA1D24">
              <w:rPr>
                <w:color w:val="000000"/>
                <w:sz w:val="20"/>
              </w:rPr>
              <w:t>atrial fibrillation/flutter</w:t>
            </w:r>
            <w:r w:rsidRPr="00BA1D24">
              <w:rPr>
                <w:color w:val="000000"/>
                <w:sz w:val="20"/>
              </w:rPr>
              <w:br/>
              <w:t>iv. Beta-adrenergic antagonists, ACE inhibitors, and ARBs</w:t>
            </w:r>
            <w:r>
              <w:rPr>
                <w:color w:val="000000"/>
                <w:sz w:val="20"/>
              </w:rPr>
              <w:t xml:space="preserve"> excluded when used after recent </w:t>
            </w:r>
            <w:r w:rsidRPr="00BA1D24">
              <w:rPr>
                <w:color w:val="000000"/>
                <w:sz w:val="20"/>
              </w:rPr>
              <w:t>myocardial infarction</w:t>
            </w:r>
            <w:r>
              <w:rPr>
                <w:b/>
                <w:bCs/>
                <w:color w:val="000000"/>
                <w:sz w:val="20"/>
                <w:vertAlign w:val="superscript"/>
              </w:rPr>
              <w:t>a</w:t>
            </w:r>
          </w:p>
        </w:tc>
      </w:tr>
      <w:tr w:rsidR="00530CD0" w:rsidRPr="00BA1D24" w14:paraId="625AC0F4" w14:textId="77777777" w:rsidTr="00F1421B">
        <w:trPr>
          <w:trHeight w:val="1602"/>
        </w:trPr>
        <w:tc>
          <w:tcPr>
            <w:tcW w:w="1998" w:type="dxa"/>
            <w:shd w:val="clear" w:color="auto" w:fill="auto"/>
            <w:noWrap/>
            <w:vAlign w:val="center"/>
            <w:hideMark/>
          </w:tcPr>
          <w:p w14:paraId="005A949B" w14:textId="77777777" w:rsidR="00530CD0" w:rsidRPr="00BA1D24" w:rsidRDefault="00530CD0" w:rsidP="00530CD0">
            <w:pPr>
              <w:spacing w:after="0" w:line="240" w:lineRule="auto"/>
              <w:rPr>
                <w:color w:val="000000"/>
                <w:sz w:val="20"/>
              </w:rPr>
            </w:pPr>
            <w:r>
              <w:rPr>
                <w:color w:val="000000"/>
                <w:sz w:val="20"/>
              </w:rPr>
              <w:t xml:space="preserve">Oral </w:t>
            </w:r>
            <w:r w:rsidRPr="00BA1D24">
              <w:rPr>
                <w:color w:val="000000"/>
                <w:sz w:val="20"/>
              </w:rPr>
              <w:t>Antidiabetic</w:t>
            </w:r>
          </w:p>
        </w:tc>
        <w:tc>
          <w:tcPr>
            <w:tcW w:w="3147" w:type="dxa"/>
            <w:shd w:val="clear" w:color="auto" w:fill="auto"/>
            <w:vAlign w:val="center"/>
            <w:hideMark/>
          </w:tcPr>
          <w:p w14:paraId="2E03B5FB" w14:textId="77777777" w:rsidR="00530CD0" w:rsidRPr="00BA1D24" w:rsidRDefault="00530CD0" w:rsidP="00530CD0">
            <w:pPr>
              <w:spacing w:after="0" w:line="240" w:lineRule="auto"/>
              <w:rPr>
                <w:color w:val="000000"/>
                <w:sz w:val="20"/>
              </w:rPr>
            </w:pPr>
            <w:r w:rsidRPr="00BA1D24">
              <w:rPr>
                <w:color w:val="000000"/>
                <w:sz w:val="20"/>
              </w:rPr>
              <w:t>Biguanides</w:t>
            </w:r>
            <w:r w:rsidRPr="00BA1D24">
              <w:rPr>
                <w:color w:val="000000"/>
                <w:sz w:val="20"/>
              </w:rPr>
              <w:br/>
              <w:t>Sulfonylureas</w:t>
            </w:r>
            <w:r w:rsidRPr="00BA1D24">
              <w:rPr>
                <w:color w:val="000000"/>
                <w:sz w:val="20"/>
              </w:rPr>
              <w:br/>
              <w:t>Dipeptidyl peptidase-4 inhibitors</w:t>
            </w:r>
            <w:r w:rsidRPr="00BA1D24">
              <w:rPr>
                <w:color w:val="000000"/>
                <w:sz w:val="20"/>
              </w:rPr>
              <w:br/>
              <w:t>Meglitinides</w:t>
            </w:r>
            <w:r w:rsidRPr="00BA1D24">
              <w:rPr>
                <w:color w:val="000000"/>
                <w:sz w:val="20"/>
              </w:rPr>
              <w:br/>
              <w:t>Alpha glucosidase inhibitors</w:t>
            </w:r>
            <w:r w:rsidRPr="00BA1D24">
              <w:rPr>
                <w:color w:val="000000"/>
                <w:sz w:val="20"/>
              </w:rPr>
              <w:br/>
              <w:t>Thiazolidinediones</w:t>
            </w:r>
          </w:p>
        </w:tc>
        <w:tc>
          <w:tcPr>
            <w:tcW w:w="4500" w:type="dxa"/>
            <w:shd w:val="clear" w:color="auto" w:fill="auto"/>
            <w:vAlign w:val="bottom"/>
            <w:hideMark/>
          </w:tcPr>
          <w:p w14:paraId="5F693673" w14:textId="77777777" w:rsidR="00530CD0" w:rsidRPr="00BA1D24" w:rsidRDefault="00530CD0" w:rsidP="00530CD0">
            <w:pPr>
              <w:spacing w:after="0" w:line="240" w:lineRule="auto"/>
              <w:rPr>
                <w:color w:val="000000"/>
                <w:sz w:val="20"/>
              </w:rPr>
            </w:pPr>
            <w:r w:rsidRPr="00BA1D24">
              <w:rPr>
                <w:color w:val="000000"/>
                <w:sz w:val="20"/>
              </w:rPr>
              <w:t> </w:t>
            </w:r>
          </w:p>
        </w:tc>
      </w:tr>
      <w:tr w:rsidR="00530CD0" w:rsidRPr="00BA1D24" w14:paraId="193B4460" w14:textId="77777777" w:rsidTr="00F1421B">
        <w:trPr>
          <w:trHeight w:val="600"/>
        </w:trPr>
        <w:tc>
          <w:tcPr>
            <w:tcW w:w="1998" w:type="dxa"/>
            <w:shd w:val="clear" w:color="auto" w:fill="auto"/>
            <w:noWrap/>
            <w:vAlign w:val="center"/>
            <w:hideMark/>
          </w:tcPr>
          <w:p w14:paraId="4EA92F0D" w14:textId="77777777" w:rsidR="00530CD0" w:rsidRPr="00BA1D24" w:rsidRDefault="00530CD0" w:rsidP="00530CD0">
            <w:pPr>
              <w:spacing w:after="0" w:line="240" w:lineRule="auto"/>
              <w:rPr>
                <w:color w:val="000000"/>
                <w:sz w:val="20"/>
              </w:rPr>
            </w:pPr>
            <w:r w:rsidRPr="00BA1D24">
              <w:rPr>
                <w:color w:val="000000"/>
                <w:sz w:val="20"/>
              </w:rPr>
              <w:t>Anti-dementia</w:t>
            </w:r>
          </w:p>
        </w:tc>
        <w:tc>
          <w:tcPr>
            <w:tcW w:w="3147" w:type="dxa"/>
            <w:shd w:val="clear" w:color="auto" w:fill="auto"/>
            <w:vAlign w:val="center"/>
            <w:hideMark/>
          </w:tcPr>
          <w:p w14:paraId="4B7EDA77" w14:textId="77777777" w:rsidR="00530CD0" w:rsidRPr="00BA1D24" w:rsidRDefault="00530CD0" w:rsidP="00530CD0">
            <w:pPr>
              <w:spacing w:after="0" w:line="240" w:lineRule="auto"/>
              <w:rPr>
                <w:color w:val="000000"/>
                <w:sz w:val="20"/>
              </w:rPr>
            </w:pPr>
            <w:r w:rsidRPr="00BA1D24">
              <w:rPr>
                <w:color w:val="000000"/>
                <w:sz w:val="20"/>
              </w:rPr>
              <w:t>Cholinesterase inhibitors</w:t>
            </w:r>
            <w:r w:rsidRPr="00BA1D24">
              <w:rPr>
                <w:color w:val="000000"/>
                <w:sz w:val="20"/>
              </w:rPr>
              <w:br/>
              <w:t>NMDA receptor antagonists</w:t>
            </w:r>
          </w:p>
        </w:tc>
        <w:tc>
          <w:tcPr>
            <w:tcW w:w="4500" w:type="dxa"/>
            <w:shd w:val="clear" w:color="auto" w:fill="auto"/>
            <w:vAlign w:val="bottom"/>
            <w:hideMark/>
          </w:tcPr>
          <w:p w14:paraId="5C8FF1C7" w14:textId="77777777" w:rsidR="00530CD0" w:rsidRPr="00BA1D24" w:rsidRDefault="00530CD0" w:rsidP="00530CD0">
            <w:pPr>
              <w:spacing w:after="0" w:line="240" w:lineRule="auto"/>
              <w:rPr>
                <w:color w:val="000000"/>
                <w:sz w:val="20"/>
              </w:rPr>
            </w:pPr>
            <w:r w:rsidRPr="00BA1D24">
              <w:rPr>
                <w:color w:val="000000"/>
                <w:sz w:val="20"/>
              </w:rPr>
              <w:t> </w:t>
            </w:r>
          </w:p>
        </w:tc>
      </w:tr>
      <w:tr w:rsidR="00530CD0" w:rsidRPr="00BA1D24" w14:paraId="5528D2CE" w14:textId="77777777" w:rsidTr="00F1421B">
        <w:trPr>
          <w:trHeight w:val="600"/>
        </w:trPr>
        <w:tc>
          <w:tcPr>
            <w:tcW w:w="1998" w:type="dxa"/>
            <w:shd w:val="clear" w:color="auto" w:fill="auto"/>
            <w:noWrap/>
            <w:vAlign w:val="center"/>
            <w:hideMark/>
          </w:tcPr>
          <w:p w14:paraId="11BACBA1" w14:textId="77777777" w:rsidR="00530CD0" w:rsidRPr="00BA1D24" w:rsidRDefault="00530CD0" w:rsidP="00530CD0">
            <w:pPr>
              <w:spacing w:after="0" w:line="240" w:lineRule="auto"/>
              <w:rPr>
                <w:color w:val="000000"/>
                <w:sz w:val="20"/>
              </w:rPr>
            </w:pPr>
            <w:r w:rsidRPr="00BA1D24">
              <w:rPr>
                <w:color w:val="000000"/>
                <w:sz w:val="20"/>
              </w:rPr>
              <w:t>Anti-osteoporotic</w:t>
            </w:r>
          </w:p>
        </w:tc>
        <w:tc>
          <w:tcPr>
            <w:tcW w:w="3147" w:type="dxa"/>
            <w:shd w:val="clear" w:color="auto" w:fill="auto"/>
            <w:vAlign w:val="center"/>
            <w:hideMark/>
          </w:tcPr>
          <w:p w14:paraId="46228E2B" w14:textId="77777777" w:rsidR="00530CD0" w:rsidRPr="00BA1D24" w:rsidRDefault="00530CD0" w:rsidP="00530CD0">
            <w:pPr>
              <w:spacing w:after="0" w:line="240" w:lineRule="auto"/>
              <w:rPr>
                <w:color w:val="000000"/>
                <w:sz w:val="20"/>
              </w:rPr>
            </w:pPr>
            <w:r w:rsidRPr="00BA1D24">
              <w:rPr>
                <w:color w:val="000000"/>
                <w:sz w:val="20"/>
              </w:rPr>
              <w:t>Bisphosphonates</w:t>
            </w:r>
            <w:r w:rsidRPr="00BA1D24">
              <w:rPr>
                <w:color w:val="000000"/>
                <w:sz w:val="20"/>
              </w:rPr>
              <w:br/>
            </w:r>
            <w:r>
              <w:rPr>
                <w:color w:val="000000"/>
                <w:sz w:val="20"/>
              </w:rPr>
              <w:t>SERMs</w:t>
            </w:r>
          </w:p>
        </w:tc>
        <w:tc>
          <w:tcPr>
            <w:tcW w:w="4500" w:type="dxa"/>
            <w:shd w:val="clear" w:color="auto" w:fill="auto"/>
            <w:vAlign w:val="bottom"/>
            <w:hideMark/>
          </w:tcPr>
          <w:p w14:paraId="36B4E7AE" w14:textId="77777777" w:rsidR="00530CD0" w:rsidRPr="00BA1D24" w:rsidRDefault="00530CD0" w:rsidP="00530CD0">
            <w:pPr>
              <w:spacing w:after="0" w:line="240" w:lineRule="auto"/>
              <w:rPr>
                <w:color w:val="000000"/>
                <w:sz w:val="20"/>
              </w:rPr>
            </w:pPr>
            <w:r w:rsidRPr="00BA1D24">
              <w:rPr>
                <w:color w:val="000000"/>
                <w:sz w:val="20"/>
              </w:rPr>
              <w:t> </w:t>
            </w:r>
          </w:p>
        </w:tc>
      </w:tr>
      <w:tr w:rsidR="00530CD0" w:rsidRPr="00BA1D24" w14:paraId="0CB53998" w14:textId="77777777" w:rsidTr="00F1421B">
        <w:trPr>
          <w:trHeight w:val="600"/>
        </w:trPr>
        <w:tc>
          <w:tcPr>
            <w:tcW w:w="1998" w:type="dxa"/>
            <w:shd w:val="clear" w:color="auto" w:fill="auto"/>
            <w:noWrap/>
            <w:vAlign w:val="center"/>
            <w:hideMark/>
          </w:tcPr>
          <w:p w14:paraId="1A2C0573" w14:textId="77777777" w:rsidR="00530CD0" w:rsidRPr="00BA1D24" w:rsidRDefault="00530CD0" w:rsidP="00530CD0">
            <w:pPr>
              <w:spacing w:after="0" w:line="240" w:lineRule="auto"/>
              <w:rPr>
                <w:color w:val="000000"/>
                <w:sz w:val="20"/>
              </w:rPr>
            </w:pPr>
            <w:r w:rsidRPr="00BA1D24">
              <w:rPr>
                <w:color w:val="000000"/>
                <w:sz w:val="20"/>
              </w:rPr>
              <w:t>Antiplatelet</w:t>
            </w:r>
          </w:p>
        </w:tc>
        <w:tc>
          <w:tcPr>
            <w:tcW w:w="3147" w:type="dxa"/>
            <w:shd w:val="clear" w:color="auto" w:fill="auto"/>
            <w:vAlign w:val="center"/>
            <w:hideMark/>
          </w:tcPr>
          <w:p w14:paraId="25D9D3BD" w14:textId="77777777" w:rsidR="00530CD0" w:rsidRPr="00BA1D24" w:rsidRDefault="00530CD0" w:rsidP="00530CD0">
            <w:pPr>
              <w:spacing w:after="0" w:line="240" w:lineRule="auto"/>
              <w:rPr>
                <w:color w:val="000000"/>
                <w:sz w:val="20"/>
              </w:rPr>
            </w:pPr>
            <w:r w:rsidRPr="00BA1D24">
              <w:rPr>
                <w:color w:val="000000"/>
                <w:sz w:val="20"/>
              </w:rPr>
              <w:t>P2Y</w:t>
            </w:r>
            <w:r w:rsidRPr="00BA1D24">
              <w:rPr>
                <w:color w:val="000000"/>
                <w:sz w:val="20"/>
                <w:vertAlign w:val="subscript"/>
              </w:rPr>
              <w:t xml:space="preserve">12 </w:t>
            </w:r>
            <w:r w:rsidRPr="00BA1D24">
              <w:rPr>
                <w:color w:val="000000"/>
                <w:sz w:val="20"/>
              </w:rPr>
              <w:t>inhibitors</w:t>
            </w:r>
            <w:r w:rsidRPr="00BA1D24">
              <w:rPr>
                <w:color w:val="000000"/>
                <w:sz w:val="20"/>
              </w:rPr>
              <w:br/>
              <w:t xml:space="preserve">Combination antiplatelets </w:t>
            </w:r>
          </w:p>
        </w:tc>
        <w:tc>
          <w:tcPr>
            <w:tcW w:w="4500" w:type="dxa"/>
            <w:shd w:val="clear" w:color="auto" w:fill="auto"/>
            <w:vAlign w:val="bottom"/>
            <w:hideMark/>
          </w:tcPr>
          <w:p w14:paraId="309CADA9" w14:textId="77777777" w:rsidR="00530CD0" w:rsidRDefault="00530CD0" w:rsidP="00530CD0">
            <w:pPr>
              <w:spacing w:after="0" w:line="240" w:lineRule="auto"/>
              <w:rPr>
                <w:color w:val="000000"/>
                <w:sz w:val="20"/>
              </w:rPr>
            </w:pPr>
            <w:r>
              <w:rPr>
                <w:color w:val="000000"/>
                <w:sz w:val="20"/>
              </w:rPr>
              <w:t xml:space="preserve">i. </w:t>
            </w:r>
            <w:r w:rsidRPr="00BA1D24">
              <w:rPr>
                <w:color w:val="000000"/>
                <w:sz w:val="20"/>
              </w:rPr>
              <w:t>P2Y</w:t>
            </w:r>
            <w:r w:rsidRPr="00BA1D24">
              <w:rPr>
                <w:color w:val="000000"/>
                <w:sz w:val="20"/>
                <w:vertAlign w:val="subscript"/>
              </w:rPr>
              <w:t xml:space="preserve">12 </w:t>
            </w:r>
            <w:r w:rsidRPr="00BA1D24">
              <w:rPr>
                <w:color w:val="000000"/>
                <w:sz w:val="20"/>
              </w:rPr>
              <w:t>inhibitors</w:t>
            </w:r>
            <w:r>
              <w:rPr>
                <w:color w:val="000000"/>
                <w:sz w:val="20"/>
              </w:rPr>
              <w:t xml:space="preserve"> excluded when used</w:t>
            </w:r>
            <w:r w:rsidRPr="00BA1D24">
              <w:rPr>
                <w:color w:val="000000"/>
                <w:sz w:val="20"/>
              </w:rPr>
              <w:t xml:space="preserve"> </w:t>
            </w:r>
            <w:r>
              <w:rPr>
                <w:color w:val="000000"/>
                <w:sz w:val="20"/>
              </w:rPr>
              <w:t xml:space="preserve">after recent </w:t>
            </w:r>
            <w:r w:rsidRPr="00BA1D24">
              <w:rPr>
                <w:color w:val="000000"/>
                <w:sz w:val="20"/>
              </w:rPr>
              <w:t>myocardial infarction or ischemic stroke</w:t>
            </w:r>
            <w:r>
              <w:rPr>
                <w:b/>
                <w:bCs/>
                <w:color w:val="000000"/>
                <w:sz w:val="20"/>
                <w:vertAlign w:val="superscript"/>
              </w:rPr>
              <w:t>a</w:t>
            </w:r>
          </w:p>
          <w:p w14:paraId="05BF087C" w14:textId="77777777" w:rsidR="00530CD0" w:rsidRPr="00BA1D24" w:rsidRDefault="00530CD0" w:rsidP="00530CD0">
            <w:pPr>
              <w:spacing w:after="0" w:line="240" w:lineRule="auto"/>
              <w:rPr>
                <w:color w:val="000000"/>
                <w:sz w:val="20"/>
              </w:rPr>
            </w:pPr>
            <w:r>
              <w:rPr>
                <w:color w:val="000000"/>
                <w:sz w:val="20"/>
              </w:rPr>
              <w:t>ii. Combination antiplatelets excluded when used after recent ischemic stroke</w:t>
            </w:r>
            <w:r>
              <w:rPr>
                <w:b/>
                <w:bCs/>
                <w:color w:val="000000"/>
                <w:sz w:val="20"/>
                <w:vertAlign w:val="superscript"/>
              </w:rPr>
              <w:t>a</w:t>
            </w:r>
          </w:p>
        </w:tc>
      </w:tr>
      <w:tr w:rsidR="00530CD0" w:rsidRPr="00BA1D24" w14:paraId="6C8CA1BE" w14:textId="77777777" w:rsidTr="00F1421B">
        <w:trPr>
          <w:trHeight w:val="315"/>
        </w:trPr>
        <w:tc>
          <w:tcPr>
            <w:tcW w:w="1998" w:type="dxa"/>
            <w:shd w:val="clear" w:color="auto" w:fill="auto"/>
            <w:noWrap/>
            <w:vAlign w:val="center"/>
            <w:hideMark/>
          </w:tcPr>
          <w:p w14:paraId="1F6F26B5" w14:textId="19DB0A93" w:rsidR="00530CD0" w:rsidRPr="00530CD0" w:rsidRDefault="00530CD0" w:rsidP="00530CD0">
            <w:pPr>
              <w:spacing w:after="0" w:line="240" w:lineRule="auto"/>
              <w:rPr>
                <w:color w:val="000000"/>
                <w:sz w:val="20"/>
              </w:rPr>
            </w:pPr>
            <w:r>
              <w:rPr>
                <w:color w:val="000000"/>
                <w:sz w:val="20"/>
              </w:rPr>
              <w:t>Anti-secretory</w:t>
            </w:r>
            <w:r>
              <w:rPr>
                <w:color w:val="000000"/>
                <w:sz w:val="20"/>
                <w:vertAlign w:val="superscript"/>
              </w:rPr>
              <w:t>c</w:t>
            </w:r>
          </w:p>
        </w:tc>
        <w:tc>
          <w:tcPr>
            <w:tcW w:w="3147" w:type="dxa"/>
            <w:shd w:val="clear" w:color="auto" w:fill="auto"/>
            <w:noWrap/>
            <w:vAlign w:val="center"/>
            <w:hideMark/>
          </w:tcPr>
          <w:p w14:paraId="062CA0DC" w14:textId="77777777" w:rsidR="00530CD0" w:rsidRPr="00BA1D24" w:rsidRDefault="00530CD0" w:rsidP="00530CD0">
            <w:pPr>
              <w:spacing w:after="0" w:line="240" w:lineRule="auto"/>
              <w:rPr>
                <w:color w:val="000000"/>
                <w:sz w:val="20"/>
              </w:rPr>
            </w:pPr>
            <w:r w:rsidRPr="00BA1D24">
              <w:rPr>
                <w:color w:val="000000"/>
                <w:sz w:val="20"/>
              </w:rPr>
              <w:t>Proton pump inhibitors</w:t>
            </w:r>
          </w:p>
        </w:tc>
        <w:tc>
          <w:tcPr>
            <w:tcW w:w="4500" w:type="dxa"/>
            <w:shd w:val="clear" w:color="auto" w:fill="auto"/>
            <w:vAlign w:val="bottom"/>
            <w:hideMark/>
          </w:tcPr>
          <w:p w14:paraId="7923C6C0" w14:textId="77777777" w:rsidR="00530CD0" w:rsidRPr="00BA1D24" w:rsidRDefault="00530CD0" w:rsidP="00530CD0">
            <w:pPr>
              <w:spacing w:after="0" w:line="240" w:lineRule="auto"/>
              <w:rPr>
                <w:color w:val="000000"/>
                <w:sz w:val="20"/>
              </w:rPr>
            </w:pPr>
            <w:r w:rsidRPr="00BA1D24">
              <w:rPr>
                <w:color w:val="000000"/>
                <w:sz w:val="20"/>
              </w:rPr>
              <w:t> </w:t>
            </w:r>
          </w:p>
        </w:tc>
      </w:tr>
    </w:tbl>
    <w:p w14:paraId="6B741A9E" w14:textId="77777777" w:rsidR="00530CD0" w:rsidRDefault="00530CD0" w:rsidP="00F1421B">
      <w:pPr>
        <w:spacing w:after="0" w:line="240" w:lineRule="auto"/>
        <w:rPr>
          <w:color w:val="000000"/>
          <w:sz w:val="20"/>
        </w:rPr>
      </w:pPr>
      <w:r w:rsidRPr="00530CD0">
        <w:rPr>
          <w:sz w:val="20"/>
        </w:rPr>
        <w:t xml:space="preserve">ACE: angiotensin-converting enzyme; ARB: angiotensin receptor blocker; CCB: calcium channel blocker; DHP: dihydropyridine; SERM: </w:t>
      </w:r>
      <w:r w:rsidRPr="00530CD0">
        <w:rPr>
          <w:color w:val="000000"/>
          <w:sz w:val="20"/>
        </w:rPr>
        <w:t>selective estrogen receptor modulators</w:t>
      </w:r>
    </w:p>
    <w:p w14:paraId="083A6086" w14:textId="77777777" w:rsidR="00530CD0" w:rsidRPr="00530CD0" w:rsidRDefault="00530CD0" w:rsidP="00F1421B">
      <w:pPr>
        <w:spacing w:after="0" w:line="240" w:lineRule="auto"/>
        <w:rPr>
          <w:sz w:val="20"/>
        </w:rPr>
      </w:pPr>
    </w:p>
    <w:p w14:paraId="602E0FB7" w14:textId="66EE3219" w:rsidR="00530CD0" w:rsidRDefault="00530CD0" w:rsidP="00F1421B">
      <w:pPr>
        <w:spacing w:after="0" w:line="240" w:lineRule="auto"/>
        <w:rPr>
          <w:bCs/>
          <w:color w:val="000000"/>
          <w:sz w:val="20"/>
        </w:rPr>
      </w:pPr>
      <w:r w:rsidRPr="00530CD0">
        <w:rPr>
          <w:b/>
          <w:bCs/>
          <w:color w:val="000000"/>
          <w:sz w:val="20"/>
          <w:vertAlign w:val="superscript"/>
        </w:rPr>
        <w:t>a</w:t>
      </w:r>
      <w:r w:rsidRPr="00530CD0">
        <w:rPr>
          <w:bCs/>
          <w:color w:val="000000"/>
          <w:sz w:val="20"/>
        </w:rPr>
        <w:t>Recent defined as presence of a primary hospital discharge for the event in the 12 months prior to hospice admission</w:t>
      </w:r>
      <w:r w:rsidR="004F15A3">
        <w:rPr>
          <w:bCs/>
          <w:color w:val="000000"/>
          <w:sz w:val="20"/>
        </w:rPr>
        <w:t>.</w:t>
      </w:r>
    </w:p>
    <w:p w14:paraId="4295B771" w14:textId="77777777" w:rsidR="00530CD0" w:rsidRPr="00530CD0" w:rsidRDefault="00530CD0" w:rsidP="00F1421B">
      <w:pPr>
        <w:spacing w:after="0" w:line="240" w:lineRule="auto"/>
        <w:rPr>
          <w:sz w:val="20"/>
        </w:rPr>
      </w:pPr>
    </w:p>
    <w:p w14:paraId="621DC41B" w14:textId="5B04CAA3" w:rsidR="00530CD0" w:rsidRDefault="00530CD0" w:rsidP="00F1421B">
      <w:pPr>
        <w:spacing w:after="0" w:line="240" w:lineRule="auto"/>
        <w:rPr>
          <w:sz w:val="20"/>
        </w:rPr>
      </w:pPr>
      <w:r w:rsidRPr="00530CD0">
        <w:rPr>
          <w:color w:val="000000"/>
          <w:sz w:val="20"/>
          <w:vertAlign w:val="superscript"/>
        </w:rPr>
        <w:t>b</w:t>
      </w:r>
      <w:r w:rsidRPr="00530CD0">
        <w:rPr>
          <w:sz w:val="20"/>
        </w:rPr>
        <w:t>Includes amiloride and triamterene in combination with hydrochlorothiazide; includes all formulations of spironolactone</w:t>
      </w:r>
      <w:r w:rsidR="004F15A3">
        <w:rPr>
          <w:sz w:val="20"/>
        </w:rPr>
        <w:t>.</w:t>
      </w:r>
    </w:p>
    <w:p w14:paraId="03315E28" w14:textId="77777777" w:rsidR="00530CD0" w:rsidRDefault="00530CD0" w:rsidP="00F1421B">
      <w:pPr>
        <w:spacing w:after="0" w:line="240" w:lineRule="auto"/>
        <w:rPr>
          <w:sz w:val="20"/>
        </w:rPr>
      </w:pPr>
    </w:p>
    <w:p w14:paraId="48383E72" w14:textId="61DEBC15" w:rsidR="00530CD0" w:rsidRPr="00492435" w:rsidRDefault="00530CD0" w:rsidP="00F1421B">
      <w:pPr>
        <w:spacing w:after="0" w:line="240" w:lineRule="auto"/>
        <w:rPr>
          <w:sz w:val="20"/>
        </w:rPr>
        <w:sectPr w:rsidR="00530CD0" w:rsidRPr="00492435" w:rsidSect="008A72DA">
          <w:footerReference w:type="default" r:id="rId18"/>
          <w:pgSz w:w="12240" w:h="15840"/>
          <w:pgMar w:top="1440" w:right="1440" w:bottom="1440" w:left="1440" w:header="720" w:footer="576" w:gutter="0"/>
          <w:cols w:space="720"/>
          <w:docGrid w:linePitch="360"/>
        </w:sectPr>
      </w:pPr>
      <w:r w:rsidRPr="00492435">
        <w:rPr>
          <w:sz w:val="20"/>
          <w:vertAlign w:val="superscript"/>
        </w:rPr>
        <w:t>c</w:t>
      </w:r>
      <w:r>
        <w:rPr>
          <w:sz w:val="20"/>
        </w:rPr>
        <w:t>C</w:t>
      </w:r>
      <w:r w:rsidR="007D2FB4">
        <w:rPr>
          <w:sz w:val="20"/>
        </w:rPr>
        <w:t>lass c</w:t>
      </w:r>
      <w:r>
        <w:rPr>
          <w:sz w:val="20"/>
        </w:rPr>
        <w:t>omprised only of proton pump inhibitors for this research</w:t>
      </w:r>
      <w:r w:rsidR="007D2FB4">
        <w:rPr>
          <w:sz w:val="20"/>
        </w:rPr>
        <w:t xml:space="preserve"> and therefore not evaluated </w:t>
      </w:r>
      <w:r>
        <w:rPr>
          <w:sz w:val="20"/>
        </w:rPr>
        <w:t>as a distinct therapeutic class</w:t>
      </w:r>
      <w:r w:rsidR="004F15A3">
        <w:rPr>
          <w:sz w:val="20"/>
        </w:rPr>
        <w:t>.</w:t>
      </w:r>
    </w:p>
    <w:p w14:paraId="002E4143" w14:textId="0FF2E276" w:rsidR="00A22226" w:rsidRPr="00725D15" w:rsidRDefault="009E60A7" w:rsidP="006F0FEB">
      <w:pPr>
        <w:rPr>
          <w:rFonts w:cs="Arial"/>
          <w:szCs w:val="22"/>
        </w:rPr>
      </w:pPr>
      <w:r w:rsidRPr="00725D15">
        <w:rPr>
          <w:rFonts w:cs="Arial"/>
          <w:szCs w:val="22"/>
        </w:rPr>
        <w:lastRenderedPageBreak/>
        <w:t>focused on medication classes which are both broadly used in the older adult population and were most consistently identified throughout the literature as being of limited benefit in the late stages of terminal illness. Medication classes that were entirely available over-the-</w:t>
      </w:r>
      <w:r>
        <w:rPr>
          <w:rFonts w:cs="Arial"/>
          <w:szCs w:val="22"/>
        </w:rPr>
        <w:t xml:space="preserve">counter </w:t>
      </w:r>
      <w:r w:rsidR="00A22226" w:rsidRPr="00725D15">
        <w:rPr>
          <w:rFonts w:cs="Arial"/>
          <w:szCs w:val="22"/>
        </w:rPr>
        <w:t xml:space="preserve">during the study period (e.g., H2 receptor antagonists) were excluded as they are not reliably captured via Medicare Part D claims. </w:t>
      </w:r>
    </w:p>
    <w:p w14:paraId="57D69020" w14:textId="77777777" w:rsidR="004A3C4D" w:rsidRPr="00725D15" w:rsidRDefault="004A3C4D" w:rsidP="00DF3833">
      <w:pPr>
        <w:pStyle w:val="Style3"/>
      </w:pPr>
      <w:bookmarkStart w:id="107" w:name="_Toc507326059"/>
      <w:r w:rsidRPr="00725D15">
        <w:t>3.3.3 Limited Benefit Medication Use</w:t>
      </w:r>
      <w:bookmarkEnd w:id="107"/>
    </w:p>
    <w:p w14:paraId="19AB6405" w14:textId="77777777" w:rsidR="00A22226" w:rsidRPr="00725D15" w:rsidRDefault="00A22226" w:rsidP="00A22226">
      <w:pPr>
        <w:ind w:firstLine="720"/>
        <w:rPr>
          <w:rFonts w:cs="Arial"/>
          <w:szCs w:val="22"/>
        </w:rPr>
      </w:pPr>
      <w:r w:rsidRPr="00725D15">
        <w:rPr>
          <w:rFonts w:cs="Arial"/>
          <w:szCs w:val="22"/>
        </w:rPr>
        <w:t xml:space="preserve">Baseline limited benefit medication use was measured in the six months prior to hospice admission. Patients were considered active pre-hospice admission users of a particular drug or therapeutic class if they had two or more Part D claims for any days’ supply on different days for the class of interest or one Part D claim with a days’ supply of at least 90 days. Patients not meeting these criteria for at least one limited benefit medication were excluded. </w:t>
      </w:r>
    </w:p>
    <w:p w14:paraId="5D854D79" w14:textId="3B49F038" w:rsidR="00A22226" w:rsidRPr="00725D15" w:rsidRDefault="00A22226" w:rsidP="00A22226">
      <w:pPr>
        <w:ind w:firstLine="720"/>
        <w:rPr>
          <w:rFonts w:cs="Arial"/>
          <w:szCs w:val="22"/>
        </w:rPr>
      </w:pPr>
      <w:r w:rsidRPr="00725D15">
        <w:rPr>
          <w:rFonts w:cs="Arial"/>
          <w:szCs w:val="22"/>
        </w:rPr>
        <w:t>Continuation of preventative medications with limited benefit was measured from the date of hospice admission through the date of death. Pre-admission users of a particular drug class with at least one new Part D claim for a medication from the same class on or after the date of hospice admission were considered continuers of the class of medications. In addition to measuring class-specific continuation, we also assessed continuation of at least one drug or therapeutic class and post-admission continuation of all limited benefit medication classes used in the pre-hospice admission period.</w:t>
      </w:r>
    </w:p>
    <w:p w14:paraId="5D63F84F" w14:textId="77777777" w:rsidR="004A3C4D" w:rsidRPr="00725D15" w:rsidRDefault="004A3C4D" w:rsidP="00DF3833">
      <w:pPr>
        <w:pStyle w:val="Style3"/>
      </w:pPr>
      <w:bookmarkStart w:id="108" w:name="_Toc507326060"/>
      <w:r w:rsidRPr="00725D15">
        <w:t>3.3.4 Statistical Analysis</w:t>
      </w:r>
      <w:bookmarkEnd w:id="108"/>
    </w:p>
    <w:p w14:paraId="63E054CA" w14:textId="6264D807" w:rsidR="00A22226" w:rsidRPr="00725D15" w:rsidRDefault="00A22226" w:rsidP="00A22226">
      <w:pPr>
        <w:ind w:firstLine="720"/>
        <w:rPr>
          <w:rFonts w:cs="Arial"/>
          <w:szCs w:val="22"/>
        </w:rPr>
      </w:pPr>
      <w:r w:rsidRPr="00725D15">
        <w:rPr>
          <w:rFonts w:cs="Arial"/>
          <w:szCs w:val="22"/>
        </w:rPr>
        <w:t xml:space="preserve">Descriptive statistics were used to evaluate baseline characteristics, pre-hospice admission limited benefit medication use, and post-admission continuation overall and stratified by cancer versus non-cancer hospice admission diagnosis. Drug and therapeutic class-specific continuation prevalence for cancer versus non-cancer admissions were compared using absolute risk differences with 95% </w:t>
      </w:r>
      <w:r w:rsidR="005153F6">
        <w:rPr>
          <w:rFonts w:cs="Arial"/>
          <w:szCs w:val="22"/>
        </w:rPr>
        <w:t>CIs</w:t>
      </w:r>
      <w:r w:rsidRPr="00725D15">
        <w:rPr>
          <w:rFonts w:cs="Arial"/>
          <w:szCs w:val="22"/>
        </w:rPr>
        <w:t xml:space="preserve">. </w:t>
      </w:r>
    </w:p>
    <w:p w14:paraId="40CD489A" w14:textId="6EBD685C" w:rsidR="00A22226" w:rsidRPr="00725D15" w:rsidRDefault="00A22226" w:rsidP="00A22226">
      <w:pPr>
        <w:ind w:firstLine="720"/>
        <w:rPr>
          <w:rFonts w:cs="Arial"/>
          <w:szCs w:val="22"/>
        </w:rPr>
      </w:pPr>
      <w:r w:rsidRPr="00725D15">
        <w:rPr>
          <w:rFonts w:cs="Arial"/>
          <w:szCs w:val="22"/>
        </w:rPr>
        <w:lastRenderedPageBreak/>
        <w:t>We used modified Poisson regression with generalized estimating equations to generate adjusted relative risks (RR</w:t>
      </w:r>
      <w:r w:rsidR="005153F6">
        <w:rPr>
          <w:rFonts w:cs="Arial"/>
          <w:szCs w:val="22"/>
        </w:rPr>
        <w:t>s</w:t>
      </w:r>
      <w:r w:rsidRPr="00725D15">
        <w:rPr>
          <w:rFonts w:cs="Arial"/>
          <w:szCs w:val="22"/>
        </w:rPr>
        <w:t xml:space="preserve">) and 95% </w:t>
      </w:r>
      <w:r w:rsidR="005153F6">
        <w:rPr>
          <w:rFonts w:cs="Arial"/>
          <w:szCs w:val="22"/>
        </w:rPr>
        <w:t>CIs</w:t>
      </w:r>
      <w:r w:rsidRPr="00725D15">
        <w:rPr>
          <w:rFonts w:cs="Arial"/>
          <w:szCs w:val="22"/>
        </w:rPr>
        <w:t xml:space="preserve"> for the association between patient factors and the continuation of at least one drug or therapeutic class with limited benefit after hospice admission, accounting for clustering of responses at the hospice facility level.</w:t>
      </w:r>
      <w:bookmarkStart w:id="109" w:name="ZOTERO_BREF_kWPi9aMdi9yl"/>
      <w:r w:rsidR="00B91C0A">
        <w:rPr>
          <w:rFonts w:cs="Arial"/>
          <w:szCs w:val="22"/>
        </w:rPr>
        <w:fldChar w:fldCharType="begin"/>
      </w:r>
      <w:r w:rsidR="00EC3644">
        <w:rPr>
          <w:rFonts w:cs="Arial"/>
          <w:szCs w:val="22"/>
        </w:rPr>
        <w:instrText xml:space="preserve"> ADDIN ZOTERO_ITEM CSL_CITATION {"citationID":"a1hbohq06n8","properties":{"formattedCitation":"\\super 120,121\\nosupersub{}","plainCitation":"120,121","noteIndex":0},"citationItems":[{"id":4019,"uris":["http://zotero.org/users/2597747/items/FNCRF8EE"],"uri":["http://zotero.org/users/2597747/items/FNCRF8EE"],"itemData":{"id":4019,"type":"article-journal","title":"Performance of the modified Poisson regression approach for estimating relative risks from clustered prospective data","container-title":"American Journal of Epidemiology","page":"984-992","volume":"174","issue":"8","source":"PubMed","abstract":"Modified Poisson regression, which combines a log Poisson regression model with robust variance estimation, is a useful alternative to log binomial regression for estimating relative risks. Previous studies have shown both analytically and by simulation that modified Poisson regression is appropriate for independent prospective data. This method is often applied to clustered prospective data, despite a lack of evidence to support its use in this setting. The purpose of this article is to evaluate the performance of the modified Poisson regression approach for estimating relative risks from clustered prospective data, by using generalized estimating equations to account for clustering. A simulation study is conducted to compare log binomial regression and modified Poisson regression for analyzing clustered data from intervention and observational studies. Both methods generally perform well in terms of bias, type I error, and coverage. Unlike log binomial regression, modified Poisson regression is not prone to convergence problems. The methods are contrasted by using example data sets from 2 large studies. The results presented in this article support the use of modified Poisson regression as an alternative to log binomial regression for analyzing clustered prospective data when clustering is taken into account by using generalized estimating equations.","DOI":"10.1093/aje/kwr183","ISSN":"1476-6256","note":"PMID: 21841157","journalAbbreviation":"Am. J. Epidemiol.","language":"eng","author":[{"family":"Yelland","given":"Lisa N."},{"family":"Salter","given":"Amy B."},{"family":"Ryan","given":"Philip"}],"issued":{"date-parts":[["2011",10,15]]}}},{"id":3776,"uris":["http://zotero.org/users/2597747/items/97SA5BCW"],"uri":["http://zotero.org/users/2597747/items/97SA5BCW"],"itemData":{"id":3776,"type":"article-journal","title":"Extension of the modified Poisson regression model to prospective studies with correlated binary data","container-title":"Statistical Methods in Medical Research","page":"661-670","volume":"22","issue":"6","source":"EBSCOhost","abstract":"The Poisson regression model using a sandwich variance estimator has become a viable alternative to the logistic regression model for the analysis of prospective studies with independent binary outcomes. The primary advantage of this approach is that it readily provides covariate-adjusted risk ratios and associated standard errors. In this article, the model is extended to studies with correlated binary outcomes as arise in longitudinal or cluster randomization studies. The key step involves a cluster-level grouping strategy for the computation of the middle term in the sandwich estimator. For a single binary exposure variable without covariate adjustment, this approach results in risk ratio estimates and standard errors that are identical to those found in the survey sampling literature. Simulation results suggest that it is reliable for studies with correlated binary data, provided the total number of clusters is at least 50. Data from observational and cluster randomized studies are used to illustrate the methods.","DOI":"10.1177/0962280211427759","ISSN":"09622802","journalAbbreviation":"Statistical Methods in Medical Research","author":[{"family":"Zou","given":"Gy"},{"family":"Donner","given":"Allan"}],"issued":{"date-parts":[["2013",12]]}}}],"schema":"https://github.com/citation-style-language/schema/raw/master/csl-citation.json"}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120,121</w:t>
      </w:r>
      <w:r w:rsidR="00B91C0A">
        <w:rPr>
          <w:rFonts w:cs="Arial"/>
          <w:szCs w:val="22"/>
        </w:rPr>
        <w:fldChar w:fldCharType="end"/>
      </w:r>
      <w:bookmarkEnd w:id="109"/>
      <w:r w:rsidRPr="00725D15">
        <w:rPr>
          <w:rFonts w:cs="Arial"/>
          <w:szCs w:val="22"/>
        </w:rPr>
        <w:t xml:space="preserve"> An exchangeable correlation structure with robust variance estimation was used to allow for valid standard error estimates. A separate model was fit for each factor of interest.</w:t>
      </w:r>
      <w:bookmarkStart w:id="110" w:name="ZOTERO_BREF_Id7sVmMVfJRs"/>
      <w:r w:rsidR="00B91C0A">
        <w:rPr>
          <w:rFonts w:cs="Arial"/>
          <w:szCs w:val="22"/>
        </w:rPr>
        <w:fldChar w:fldCharType="begin"/>
      </w:r>
      <w:r w:rsidR="00EC3644">
        <w:rPr>
          <w:rFonts w:cs="Arial"/>
          <w:szCs w:val="22"/>
        </w:rPr>
        <w:instrText xml:space="preserve"> ADDIN ZOTERO_ITEM CSL_CITATION {"citationID":"a7q05sipfq","properties":{"formattedCitation":"\\super 122\\nosupersub{}","plainCitation":"122","noteIndex":0},"citationItems":[{"id":3747,"uris":["http://zotero.org/users/2597747/items/VKVW4J8R"],"uri":["http://zotero.org/users/2597747/items/VKVW4J8R"],"itemData":{"id":3747,"type":"article-journal","title":"The Table 2 Fallacy: Presenting and Interpreting Confounder and Modifier Coefficients","container-title":"American Journal of Epidemiology","page":"292-298","volume":"177","issue":"4","source":"PubMed Central","abstract":"It is common to present multiple adjusted effect estimates from a single model in a single table. For example, a table might show odds ratios for one or more exposures and also for several confounders from a single logistic regression. This can lead to mistaken interpretations of these estimates. We use causal diagrams to display the sources of the problems. Presentation of exposure and confounder effect estimates from a single model may lead to several interpretative difficulties, inviting confusion of direct-effect estimates with total-effect estimates for covariates in the model. These effect estimates may also be confounded even though the effect estimate for the main exposure is not confounded. Interpretation of these effect estimates is further complicated by heterogeneity (variation, modification) of the exposure effect measure across covariate levels. We offer suggestions to limit potential misunderstandings when multiple effect estimates are presented, including precise distinction between total and direct effect measures from a single model, and use of multiple models tailored to yield total-effect estimates for covariates.","DOI":"10.1093/aje/kws412","ISSN":"0002-9262","note":"PMID: 23371353\nPMCID: PMC3626058","shortTitle":"The Table 2 Fallacy","journalAbbreviation":"Am J Epidemiol","author":[{"family":"Westreich","given":"Daniel"},{"family":"Greenland","given":"Sander"}],"issued":{"date-parts":[["2013",2,15]]}}}],"schema":"https://github.com/citation-style-language/schema/raw/master/csl-citation.json"}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122</w:t>
      </w:r>
      <w:r w:rsidR="00B91C0A">
        <w:rPr>
          <w:rFonts w:cs="Arial"/>
          <w:szCs w:val="22"/>
        </w:rPr>
        <w:fldChar w:fldCharType="end"/>
      </w:r>
      <w:bookmarkEnd w:id="110"/>
      <w:r w:rsidRPr="00725D15">
        <w:rPr>
          <w:rFonts w:cs="Arial"/>
          <w:szCs w:val="22"/>
        </w:rPr>
        <w:t xml:space="preserve"> We used fractional polynomials to allow for non-linear exposure-outcome relationships. Age, gender, and race were treated as </w:t>
      </w:r>
      <w:r w:rsidRPr="00725D15">
        <w:rPr>
          <w:rFonts w:cs="Arial"/>
          <w:i/>
          <w:szCs w:val="22"/>
        </w:rPr>
        <w:t xml:space="preserve">a priori </w:t>
      </w:r>
      <w:r w:rsidRPr="00725D15">
        <w:rPr>
          <w:rFonts w:cs="Arial"/>
          <w:szCs w:val="22"/>
        </w:rPr>
        <w:t xml:space="preserve">confounders and forced into all models, regardless of empirical evidence of confounding. All statistical tests were two-sided with </w:t>
      </w:r>
      <w:r w:rsidRPr="00725D15">
        <w:rPr>
          <w:rFonts w:cs="Arial"/>
          <w:i/>
          <w:szCs w:val="22"/>
        </w:rPr>
        <w:t>p-</w:t>
      </w:r>
      <w:r w:rsidRPr="00725D15">
        <w:rPr>
          <w:rFonts w:cs="Arial"/>
          <w:szCs w:val="22"/>
        </w:rPr>
        <w:t xml:space="preserve">values &lt;0.05 considered statistically significant. Analyses were conducted using SAS version 9.4 (SAS Institute Inc., Cary, NC) and STATA 14.0 (StataCorp, College Station, TX). </w:t>
      </w:r>
    </w:p>
    <w:p w14:paraId="5F39E2FD" w14:textId="77777777" w:rsidR="004A3C4D" w:rsidRPr="00725D15" w:rsidRDefault="004A3C4D" w:rsidP="00DF3833">
      <w:pPr>
        <w:pStyle w:val="Style2"/>
        <w:spacing w:before="0" w:line="480" w:lineRule="auto"/>
      </w:pPr>
      <w:bookmarkStart w:id="111" w:name="_Toc507326061"/>
      <w:r w:rsidRPr="00725D15">
        <w:t>3.4 Results</w:t>
      </w:r>
      <w:bookmarkEnd w:id="111"/>
    </w:p>
    <w:p w14:paraId="3CB36F15" w14:textId="2976A4DB" w:rsidR="0080773F" w:rsidRDefault="00A22226" w:rsidP="00A22226">
      <w:pPr>
        <w:ind w:firstLine="720"/>
        <w:rPr>
          <w:rFonts w:cs="Arial"/>
          <w:color w:val="000000"/>
          <w:szCs w:val="22"/>
        </w:rPr>
        <w:sectPr w:rsidR="0080773F" w:rsidSect="000E5948">
          <w:pgSz w:w="12240" w:h="15840" w:code="1"/>
          <w:pgMar w:top="1440" w:right="1440" w:bottom="1440" w:left="1440" w:header="720" w:footer="432" w:gutter="0"/>
          <w:cols w:space="720"/>
          <w:docGrid w:linePitch="360"/>
        </w:sectPr>
      </w:pPr>
      <w:r w:rsidRPr="00725D15">
        <w:rPr>
          <w:rFonts w:cs="Arial"/>
          <w:szCs w:val="22"/>
        </w:rPr>
        <w:t>We identified 70,035 patients with active use of at least one preventative medication of limited benefit prior to hospice admission, including 44,218 patients admitted to hospice for cancer and 25,817 patients admitted for a non-cancer cause (</w:t>
      </w:r>
      <w:r w:rsidR="008C4BDA">
        <w:rPr>
          <w:rFonts w:cs="Arial"/>
          <w:b/>
          <w:szCs w:val="22"/>
        </w:rPr>
        <w:t>FIGURE 4</w:t>
      </w:r>
      <w:r w:rsidRPr="00725D15">
        <w:rPr>
          <w:rFonts w:cs="Arial"/>
          <w:szCs w:val="22"/>
        </w:rPr>
        <w:t xml:space="preserve">). Overall, 9,614 patients (10.8%) and 4,033 patients (4.5%) were excluded due to having no limited benefit medication use or only limited benefit medication use with a possible palliative benefit, respectively, in the 6 months prior to hospice admission. </w:t>
      </w:r>
      <w:r w:rsidRPr="00725D15" w:rsidDel="00AD29DE">
        <w:rPr>
          <w:rStyle w:val="CommentReference"/>
          <w:rFonts w:cs="Arial"/>
          <w:sz w:val="22"/>
          <w:szCs w:val="22"/>
        </w:rPr>
        <w:t xml:space="preserve"> </w:t>
      </w:r>
      <w:r w:rsidRPr="00725D15">
        <w:rPr>
          <w:rFonts w:cs="Arial"/>
          <w:szCs w:val="22"/>
        </w:rPr>
        <w:t>Most patients were white and female, had hospice stays of less than one month, and used more than 15 unique medications on average through the Part D benefit prior to hospice admission (</w:t>
      </w:r>
      <w:r w:rsidR="004F15A3">
        <w:rPr>
          <w:rFonts w:cs="Arial"/>
          <w:b/>
          <w:szCs w:val="22"/>
        </w:rPr>
        <w:t>TABLE X</w:t>
      </w:r>
      <w:r w:rsidR="008C4BDA">
        <w:rPr>
          <w:rFonts w:cs="Arial"/>
          <w:b/>
          <w:szCs w:val="22"/>
        </w:rPr>
        <w:t>I</w:t>
      </w:r>
      <w:r w:rsidRPr="00725D15">
        <w:rPr>
          <w:rFonts w:cs="Arial"/>
          <w:szCs w:val="22"/>
        </w:rPr>
        <w:t>). Compared to patients admitted for a non-cancer cause, patients admitted to hospice for cancer were younger (mean [SD], 79.2 [7.7] years vs. 85.5 [7.8] years, p&lt;0.001), had fewer very short (</w:t>
      </w:r>
      <w:r w:rsidRPr="00725D15">
        <w:rPr>
          <w:rFonts w:cs="Arial"/>
          <w:color w:val="000000"/>
          <w:szCs w:val="22"/>
        </w:rPr>
        <w:t>≤7 days, 29.9% vs. 39.1%, p&lt;0.001) or very long (</w:t>
      </w:r>
      <w:r w:rsidRPr="00725D15">
        <w:rPr>
          <w:rFonts w:cs="Arial"/>
          <w:szCs w:val="22"/>
        </w:rPr>
        <w:t>≥</w:t>
      </w:r>
      <w:r w:rsidRPr="00725D15">
        <w:rPr>
          <w:rFonts w:cs="Arial"/>
          <w:color w:val="000000"/>
          <w:szCs w:val="22"/>
        </w:rPr>
        <w:t>180 days, 4.9% vs. 9.2%, p&lt;0.001) hospice stays,</w:t>
      </w:r>
      <w:r w:rsidRPr="00725D15">
        <w:rPr>
          <w:rFonts w:cs="Arial"/>
          <w:szCs w:val="22"/>
        </w:rPr>
        <w:t xml:space="preserve"> had fewer cardiovascular comorbidities (p&lt;0.001)</w:t>
      </w:r>
      <w:r w:rsidRPr="00725D15">
        <w:rPr>
          <w:rFonts w:cs="Arial"/>
          <w:color w:val="000000"/>
          <w:szCs w:val="22"/>
        </w:rPr>
        <w:t xml:space="preserve">, and were more likely to be </w:t>
      </w:r>
      <w:r w:rsidRPr="00725D15">
        <w:rPr>
          <w:rFonts w:cs="Arial"/>
          <w:szCs w:val="22"/>
        </w:rPr>
        <w:t>admitted to hospice in a private home (68.7% vs. 38.2%, p&lt;0.001) (</w:t>
      </w:r>
      <w:r w:rsidR="004F15A3">
        <w:rPr>
          <w:rFonts w:cs="Arial"/>
          <w:b/>
          <w:szCs w:val="22"/>
        </w:rPr>
        <w:t>TABLE X</w:t>
      </w:r>
      <w:r w:rsidR="008C4BDA">
        <w:rPr>
          <w:rFonts w:cs="Arial"/>
          <w:b/>
          <w:szCs w:val="22"/>
        </w:rPr>
        <w:t>I</w:t>
      </w:r>
      <w:r w:rsidRPr="00725D15">
        <w:rPr>
          <w:rFonts w:cs="Arial"/>
          <w:szCs w:val="22"/>
        </w:rPr>
        <w:t>).</w:t>
      </w:r>
      <w:r w:rsidR="0080773F">
        <w:rPr>
          <w:rFonts w:cs="Arial"/>
          <w:color w:val="000000"/>
          <w:szCs w:val="22"/>
        </w:rPr>
        <w:t xml:space="preserve"> The most common</w:t>
      </w:r>
    </w:p>
    <w:p w14:paraId="227AE51E" w14:textId="07592D10" w:rsidR="0080773F" w:rsidRDefault="0080773F" w:rsidP="00C9738B">
      <w:pPr>
        <w:ind w:firstLine="720"/>
        <w:rPr>
          <w:rFonts w:cs="Arial"/>
          <w:color w:val="000000"/>
          <w:szCs w:val="22"/>
        </w:rPr>
      </w:pPr>
      <w:r w:rsidRPr="00AB49B5">
        <w:rPr>
          <w:noProof/>
        </w:rPr>
        <w:lastRenderedPageBreak/>
        <w:drawing>
          <wp:inline distT="0" distB="0" distL="0" distR="0" wp14:anchorId="03226E9F" wp14:editId="29E9BF94">
            <wp:extent cx="5849118" cy="807011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5143" cy="8133613"/>
                    </a:xfrm>
                    <a:prstGeom prst="rect">
                      <a:avLst/>
                    </a:prstGeom>
                    <a:noFill/>
                    <a:ln>
                      <a:noFill/>
                    </a:ln>
                  </pic:spPr>
                </pic:pic>
              </a:graphicData>
            </a:graphic>
          </wp:inline>
        </w:drawing>
      </w:r>
    </w:p>
    <w:p w14:paraId="1B739A23" w14:textId="0421AB3E" w:rsidR="0080773F" w:rsidRPr="00AE2269" w:rsidRDefault="0080773F" w:rsidP="00AE2269">
      <w:pPr>
        <w:pStyle w:val="Caption"/>
        <w:jc w:val="left"/>
        <w:rPr>
          <w:bCs/>
          <w:caps w:val="0"/>
          <w:color w:val="000000"/>
          <w:szCs w:val="22"/>
        </w:rPr>
        <w:sectPr w:rsidR="0080773F" w:rsidRPr="00AE2269" w:rsidSect="0080773F">
          <w:type w:val="continuous"/>
          <w:pgSz w:w="12240" w:h="15840" w:code="1"/>
          <w:pgMar w:top="720" w:right="720" w:bottom="720" w:left="1440" w:header="720" w:footer="432" w:gutter="0"/>
          <w:cols w:space="720"/>
          <w:docGrid w:linePitch="360"/>
        </w:sectPr>
      </w:pPr>
      <w:bookmarkStart w:id="112" w:name="_Toc507332051"/>
      <w:r w:rsidRPr="00AE2269">
        <w:rPr>
          <w:rFonts w:cs="Arial"/>
          <w:b/>
          <w:caps w:val="0"/>
          <w:color w:val="000000"/>
          <w:szCs w:val="22"/>
        </w:rPr>
        <w:t>FIGURE 4.</w:t>
      </w:r>
      <w:r w:rsidR="003E7184" w:rsidRPr="00AE2269">
        <w:rPr>
          <w:caps w:val="0"/>
        </w:rPr>
        <w:t xml:space="preserve"> </w:t>
      </w:r>
      <w:r w:rsidR="00AE2269" w:rsidRPr="00AE2269">
        <w:rPr>
          <w:caps w:val="0"/>
        </w:rPr>
        <w:t>Patient flow diagram for Aim 2</w:t>
      </w:r>
      <w:r w:rsidRPr="00AE2269">
        <w:rPr>
          <w:bCs/>
          <w:caps w:val="0"/>
          <w:color w:val="000000"/>
          <w:szCs w:val="22"/>
        </w:rPr>
        <w:t>. Application of inclusion and exclusion criteria to reach final</w:t>
      </w:r>
      <w:bookmarkEnd w:id="112"/>
      <w:r w:rsidRPr="00AE2269">
        <w:rPr>
          <w:bCs/>
          <w:caps w:val="0"/>
          <w:color w:val="000000"/>
          <w:szCs w:val="22"/>
        </w:rPr>
        <w:t xml:space="preserve"> </w:t>
      </w:r>
    </w:p>
    <w:p w14:paraId="16FF5966" w14:textId="78882EAD" w:rsidR="0080773F" w:rsidRDefault="0080773F" w:rsidP="0080773F">
      <w:pPr>
        <w:spacing w:after="0" w:line="240" w:lineRule="auto"/>
        <w:rPr>
          <w:bCs/>
          <w:color w:val="000000"/>
          <w:szCs w:val="22"/>
        </w:rPr>
      </w:pPr>
      <w:r w:rsidRPr="000079CA">
        <w:rPr>
          <w:bCs/>
          <w:color w:val="000000"/>
          <w:szCs w:val="22"/>
        </w:rPr>
        <w:t>study cohort.</w:t>
      </w:r>
    </w:p>
    <w:p w14:paraId="29EE8AE3" w14:textId="77777777" w:rsidR="00E002DC" w:rsidRDefault="00E002DC" w:rsidP="0080773F">
      <w:pPr>
        <w:spacing w:after="0" w:line="240" w:lineRule="auto"/>
        <w:jc w:val="center"/>
        <w:rPr>
          <w:b/>
          <w:bCs/>
          <w:color w:val="000000"/>
          <w:szCs w:val="22"/>
        </w:rPr>
      </w:pPr>
    </w:p>
    <w:p w14:paraId="77DCC3CE" w14:textId="3ECC71B7" w:rsidR="0080773F" w:rsidRDefault="004F15A3" w:rsidP="0080773F">
      <w:pPr>
        <w:spacing w:after="0" w:line="240" w:lineRule="auto"/>
        <w:jc w:val="center"/>
        <w:rPr>
          <w:b/>
          <w:bCs/>
          <w:color w:val="000000"/>
          <w:szCs w:val="22"/>
        </w:rPr>
      </w:pPr>
      <w:r>
        <w:rPr>
          <w:b/>
          <w:bCs/>
          <w:color w:val="000000"/>
          <w:szCs w:val="22"/>
        </w:rPr>
        <w:t>TABLE XI</w:t>
      </w:r>
    </w:p>
    <w:p w14:paraId="1E6EC980" w14:textId="77777777" w:rsidR="0080773F" w:rsidRDefault="0080773F" w:rsidP="0080773F">
      <w:pPr>
        <w:spacing w:after="0" w:line="240" w:lineRule="auto"/>
        <w:jc w:val="center"/>
        <w:rPr>
          <w:b/>
          <w:bCs/>
          <w:color w:val="000000"/>
          <w:szCs w:val="22"/>
        </w:rPr>
      </w:pPr>
    </w:p>
    <w:p w14:paraId="1B3506FA" w14:textId="7FB4DEFD" w:rsidR="0080773F" w:rsidRPr="00E82F4D" w:rsidRDefault="00EC127A" w:rsidP="00EC127A">
      <w:pPr>
        <w:pStyle w:val="Caption"/>
        <w:rPr>
          <w:bCs/>
          <w:caps w:val="0"/>
          <w:color w:val="000000"/>
        </w:rPr>
      </w:pPr>
      <w:bookmarkStart w:id="113" w:name="_Toc507329280"/>
      <w:r w:rsidRPr="0080332A">
        <w:t>DEMOGRAPHIC AND CLINICAL CHARACTERISTICS OF STUDY COHORT</w:t>
      </w:r>
      <w:bookmarkEnd w:id="113"/>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536"/>
        <w:gridCol w:w="1635"/>
        <w:gridCol w:w="1440"/>
        <w:gridCol w:w="1569"/>
      </w:tblGrid>
      <w:tr w:rsidR="0080773F" w:rsidRPr="00BA1D24" w14:paraId="3B45819B" w14:textId="77777777" w:rsidTr="00AA0EB2">
        <w:trPr>
          <w:trHeight w:val="576"/>
          <w:jc w:val="center"/>
        </w:trPr>
        <w:tc>
          <w:tcPr>
            <w:tcW w:w="4536" w:type="dxa"/>
            <w:tcBorders>
              <w:top w:val="single" w:sz="4" w:space="0" w:color="auto"/>
              <w:left w:val="nil"/>
              <w:bottom w:val="single" w:sz="4" w:space="0" w:color="auto"/>
              <w:right w:val="nil"/>
            </w:tcBorders>
            <w:shd w:val="clear" w:color="auto" w:fill="auto"/>
            <w:noWrap/>
            <w:vAlign w:val="bottom"/>
            <w:hideMark/>
          </w:tcPr>
          <w:p w14:paraId="4F753677" w14:textId="59CECA4E" w:rsidR="0080773F" w:rsidRPr="00B2558C" w:rsidRDefault="0080773F" w:rsidP="0080773F">
            <w:pPr>
              <w:spacing w:after="0" w:line="240" w:lineRule="auto"/>
              <w:rPr>
                <w:b/>
                <w:iCs/>
                <w:color w:val="000000"/>
                <w:sz w:val="20"/>
              </w:rPr>
            </w:pPr>
            <w:r>
              <w:rPr>
                <w:b/>
                <w:iCs/>
                <w:color w:val="000000"/>
                <w:sz w:val="20"/>
              </w:rPr>
              <w:t>Characteristic</w:t>
            </w:r>
          </w:p>
        </w:tc>
        <w:tc>
          <w:tcPr>
            <w:tcW w:w="1635" w:type="dxa"/>
            <w:tcBorders>
              <w:top w:val="single" w:sz="4" w:space="0" w:color="auto"/>
              <w:left w:val="nil"/>
              <w:bottom w:val="single" w:sz="4" w:space="0" w:color="auto"/>
              <w:right w:val="nil"/>
            </w:tcBorders>
            <w:shd w:val="clear" w:color="auto" w:fill="auto"/>
            <w:vAlign w:val="bottom"/>
            <w:hideMark/>
          </w:tcPr>
          <w:p w14:paraId="5EB761D3" w14:textId="77777777" w:rsidR="0080773F" w:rsidRPr="004728D6" w:rsidRDefault="0080773F" w:rsidP="0080773F">
            <w:pPr>
              <w:spacing w:after="0" w:line="240" w:lineRule="auto"/>
              <w:jc w:val="center"/>
              <w:rPr>
                <w:b/>
                <w:iCs/>
                <w:color w:val="000000"/>
                <w:sz w:val="20"/>
              </w:rPr>
            </w:pPr>
            <w:r>
              <w:rPr>
                <w:b/>
                <w:iCs/>
                <w:color w:val="000000"/>
                <w:sz w:val="20"/>
              </w:rPr>
              <w:t xml:space="preserve">All Patients </w:t>
            </w:r>
            <w:r w:rsidRPr="004728D6">
              <w:rPr>
                <w:b/>
                <w:color w:val="000000"/>
                <w:sz w:val="20"/>
              </w:rPr>
              <w:t>(</w:t>
            </w:r>
            <w:r w:rsidRPr="004728D6">
              <w:rPr>
                <w:b/>
                <w:iCs/>
                <w:color w:val="000000"/>
                <w:sz w:val="20"/>
              </w:rPr>
              <w:t>n</w:t>
            </w:r>
            <w:r w:rsidRPr="004728D6">
              <w:rPr>
                <w:b/>
                <w:color w:val="000000"/>
                <w:sz w:val="20"/>
              </w:rPr>
              <w:t>=70,035)</w:t>
            </w:r>
          </w:p>
        </w:tc>
        <w:tc>
          <w:tcPr>
            <w:tcW w:w="1440" w:type="dxa"/>
            <w:tcBorders>
              <w:top w:val="single" w:sz="4" w:space="0" w:color="auto"/>
              <w:left w:val="nil"/>
              <w:bottom w:val="single" w:sz="4" w:space="0" w:color="auto"/>
              <w:right w:val="nil"/>
            </w:tcBorders>
            <w:shd w:val="clear" w:color="auto" w:fill="auto"/>
            <w:vAlign w:val="bottom"/>
            <w:hideMark/>
          </w:tcPr>
          <w:p w14:paraId="3C30B963" w14:textId="2624058D" w:rsidR="0080773F" w:rsidRPr="004728D6" w:rsidRDefault="0080773F" w:rsidP="0080773F">
            <w:pPr>
              <w:spacing w:after="0" w:line="240" w:lineRule="auto"/>
              <w:jc w:val="center"/>
              <w:rPr>
                <w:b/>
                <w:iCs/>
                <w:color w:val="000000"/>
                <w:sz w:val="20"/>
              </w:rPr>
            </w:pPr>
            <w:r w:rsidRPr="004728D6">
              <w:rPr>
                <w:b/>
                <w:iCs/>
                <w:color w:val="000000"/>
                <w:sz w:val="20"/>
              </w:rPr>
              <w:t>Cancer</w:t>
            </w:r>
            <w:r w:rsidR="00AA0EB2">
              <w:rPr>
                <w:b/>
                <w:iCs/>
                <w:color w:val="000000"/>
                <w:sz w:val="20"/>
              </w:rPr>
              <w:t>*</w:t>
            </w:r>
            <w:r w:rsidRPr="004728D6">
              <w:rPr>
                <w:b/>
                <w:iCs/>
                <w:color w:val="000000"/>
                <w:sz w:val="20"/>
              </w:rPr>
              <w:t xml:space="preserve"> </w:t>
            </w:r>
          </w:p>
          <w:p w14:paraId="3444EDB9" w14:textId="77777777" w:rsidR="0080773F" w:rsidRPr="004728D6" w:rsidRDefault="0080773F" w:rsidP="0080773F">
            <w:pPr>
              <w:spacing w:after="0" w:line="240" w:lineRule="auto"/>
              <w:jc w:val="center"/>
              <w:rPr>
                <w:b/>
                <w:iCs/>
                <w:color w:val="000000"/>
                <w:sz w:val="20"/>
              </w:rPr>
            </w:pPr>
            <w:r w:rsidRPr="004728D6">
              <w:rPr>
                <w:b/>
                <w:iCs/>
                <w:color w:val="000000"/>
                <w:sz w:val="20"/>
              </w:rPr>
              <w:t xml:space="preserve"> </w:t>
            </w:r>
            <w:r w:rsidRPr="004728D6">
              <w:rPr>
                <w:b/>
                <w:color w:val="000000"/>
                <w:sz w:val="20"/>
              </w:rPr>
              <w:t>(</w:t>
            </w:r>
            <w:r w:rsidRPr="004728D6">
              <w:rPr>
                <w:b/>
                <w:iCs/>
                <w:color w:val="000000"/>
                <w:sz w:val="20"/>
              </w:rPr>
              <w:t>n</w:t>
            </w:r>
            <w:r w:rsidRPr="004728D6">
              <w:rPr>
                <w:b/>
                <w:color w:val="000000"/>
                <w:sz w:val="20"/>
              </w:rPr>
              <w:t>=44,218)</w:t>
            </w:r>
          </w:p>
        </w:tc>
        <w:tc>
          <w:tcPr>
            <w:tcW w:w="1569" w:type="dxa"/>
            <w:tcBorders>
              <w:top w:val="single" w:sz="4" w:space="0" w:color="auto"/>
              <w:left w:val="nil"/>
              <w:bottom w:val="single" w:sz="4" w:space="0" w:color="auto"/>
              <w:right w:val="nil"/>
            </w:tcBorders>
            <w:shd w:val="clear" w:color="auto" w:fill="auto"/>
            <w:vAlign w:val="bottom"/>
            <w:hideMark/>
          </w:tcPr>
          <w:p w14:paraId="5360951E" w14:textId="4EF5B2E3" w:rsidR="0080773F" w:rsidRPr="004728D6" w:rsidRDefault="0080773F" w:rsidP="0080773F">
            <w:pPr>
              <w:spacing w:after="0" w:line="240" w:lineRule="auto"/>
              <w:jc w:val="center"/>
              <w:rPr>
                <w:b/>
                <w:iCs/>
                <w:color w:val="000000"/>
                <w:sz w:val="20"/>
              </w:rPr>
            </w:pPr>
            <w:r w:rsidRPr="004728D6">
              <w:rPr>
                <w:b/>
                <w:iCs/>
                <w:color w:val="000000"/>
                <w:sz w:val="20"/>
              </w:rPr>
              <w:t>Non-Cancer</w:t>
            </w:r>
            <w:r w:rsidR="00AA0EB2">
              <w:rPr>
                <w:b/>
                <w:iCs/>
                <w:color w:val="000000"/>
                <w:sz w:val="20"/>
              </w:rPr>
              <w:t>*</w:t>
            </w:r>
            <w:r w:rsidRPr="004728D6">
              <w:rPr>
                <w:b/>
                <w:iCs/>
                <w:color w:val="000000"/>
                <w:sz w:val="20"/>
              </w:rPr>
              <w:t xml:space="preserve"> </w:t>
            </w:r>
            <w:r w:rsidRPr="004728D6">
              <w:rPr>
                <w:b/>
                <w:color w:val="000000"/>
                <w:sz w:val="20"/>
              </w:rPr>
              <w:t>(</w:t>
            </w:r>
            <w:r w:rsidRPr="004728D6">
              <w:rPr>
                <w:b/>
                <w:iCs/>
                <w:color w:val="000000"/>
                <w:sz w:val="20"/>
              </w:rPr>
              <w:t>n</w:t>
            </w:r>
            <w:r w:rsidRPr="004728D6">
              <w:rPr>
                <w:b/>
                <w:color w:val="000000"/>
                <w:sz w:val="20"/>
              </w:rPr>
              <w:t>=25,817)</w:t>
            </w:r>
          </w:p>
        </w:tc>
      </w:tr>
      <w:tr w:rsidR="0080773F" w:rsidRPr="00BA1D24" w14:paraId="0C08B9F0" w14:textId="77777777" w:rsidTr="00AA0EB2">
        <w:trPr>
          <w:trHeight w:val="144"/>
          <w:jc w:val="center"/>
        </w:trPr>
        <w:tc>
          <w:tcPr>
            <w:tcW w:w="4536" w:type="dxa"/>
            <w:tcBorders>
              <w:top w:val="single" w:sz="4" w:space="0" w:color="auto"/>
              <w:left w:val="nil"/>
              <w:bottom w:val="nil"/>
              <w:right w:val="nil"/>
            </w:tcBorders>
            <w:shd w:val="clear" w:color="auto" w:fill="auto"/>
            <w:noWrap/>
            <w:vAlign w:val="center"/>
            <w:hideMark/>
          </w:tcPr>
          <w:p w14:paraId="7489EBC0" w14:textId="77777777" w:rsidR="0080773F" w:rsidRPr="004728D6" w:rsidRDefault="0080773F" w:rsidP="0080773F">
            <w:pPr>
              <w:spacing w:after="0" w:line="240" w:lineRule="auto"/>
              <w:rPr>
                <w:bCs/>
                <w:color w:val="000000"/>
                <w:sz w:val="20"/>
              </w:rPr>
            </w:pPr>
            <w:r w:rsidRPr="004728D6">
              <w:rPr>
                <w:bCs/>
                <w:color w:val="000000"/>
                <w:sz w:val="20"/>
              </w:rPr>
              <w:t>Age (years)</w:t>
            </w:r>
          </w:p>
        </w:tc>
        <w:tc>
          <w:tcPr>
            <w:tcW w:w="1635" w:type="dxa"/>
            <w:tcBorders>
              <w:top w:val="single" w:sz="4" w:space="0" w:color="auto"/>
              <w:left w:val="nil"/>
              <w:bottom w:val="nil"/>
              <w:right w:val="nil"/>
            </w:tcBorders>
            <w:shd w:val="clear" w:color="auto" w:fill="auto"/>
            <w:vAlign w:val="center"/>
            <w:hideMark/>
          </w:tcPr>
          <w:p w14:paraId="6A2619C9" w14:textId="77777777" w:rsidR="0080773F" w:rsidRPr="001D3149" w:rsidRDefault="0080773F" w:rsidP="0080773F">
            <w:pPr>
              <w:spacing w:after="0" w:line="240" w:lineRule="auto"/>
              <w:rPr>
                <w:b/>
                <w:bCs/>
                <w:color w:val="000000"/>
                <w:sz w:val="20"/>
              </w:rPr>
            </w:pPr>
          </w:p>
        </w:tc>
        <w:tc>
          <w:tcPr>
            <w:tcW w:w="1440" w:type="dxa"/>
            <w:tcBorders>
              <w:top w:val="single" w:sz="4" w:space="0" w:color="auto"/>
              <w:left w:val="nil"/>
              <w:bottom w:val="nil"/>
              <w:right w:val="nil"/>
            </w:tcBorders>
            <w:shd w:val="clear" w:color="auto" w:fill="auto"/>
            <w:vAlign w:val="center"/>
            <w:hideMark/>
          </w:tcPr>
          <w:p w14:paraId="52B829BB" w14:textId="77777777" w:rsidR="0080773F" w:rsidRPr="001D3149" w:rsidRDefault="0080773F" w:rsidP="0080773F">
            <w:pPr>
              <w:spacing w:after="0" w:line="240" w:lineRule="auto"/>
              <w:jc w:val="center"/>
              <w:rPr>
                <w:sz w:val="20"/>
              </w:rPr>
            </w:pPr>
          </w:p>
        </w:tc>
        <w:tc>
          <w:tcPr>
            <w:tcW w:w="1569" w:type="dxa"/>
            <w:tcBorders>
              <w:top w:val="single" w:sz="4" w:space="0" w:color="auto"/>
              <w:left w:val="nil"/>
              <w:bottom w:val="nil"/>
              <w:right w:val="nil"/>
            </w:tcBorders>
            <w:shd w:val="clear" w:color="auto" w:fill="auto"/>
            <w:vAlign w:val="center"/>
            <w:hideMark/>
          </w:tcPr>
          <w:p w14:paraId="7E25D27B" w14:textId="77777777" w:rsidR="0080773F" w:rsidRPr="001D3149" w:rsidRDefault="0080773F" w:rsidP="0080773F">
            <w:pPr>
              <w:spacing w:after="0" w:line="240" w:lineRule="auto"/>
              <w:jc w:val="center"/>
              <w:rPr>
                <w:color w:val="000000"/>
                <w:sz w:val="20"/>
              </w:rPr>
            </w:pPr>
            <w:r w:rsidRPr="001D3149">
              <w:rPr>
                <w:color w:val="000000"/>
                <w:sz w:val="20"/>
              </w:rPr>
              <w:t> </w:t>
            </w:r>
          </w:p>
        </w:tc>
      </w:tr>
      <w:tr w:rsidR="0080773F" w:rsidRPr="00BA1D24" w14:paraId="32B85338"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45D1EC67" w14:textId="77777777" w:rsidR="0080773F" w:rsidRPr="004728D6" w:rsidRDefault="0080773F" w:rsidP="0080773F">
            <w:pPr>
              <w:spacing w:after="0" w:line="240" w:lineRule="auto"/>
              <w:rPr>
                <w:color w:val="000000"/>
                <w:sz w:val="20"/>
              </w:rPr>
            </w:pPr>
            <w:r w:rsidRPr="004728D6">
              <w:rPr>
                <w:color w:val="000000"/>
                <w:sz w:val="20"/>
              </w:rPr>
              <w:t>Mean (SD)</w:t>
            </w:r>
          </w:p>
        </w:tc>
        <w:tc>
          <w:tcPr>
            <w:tcW w:w="1635" w:type="dxa"/>
            <w:tcBorders>
              <w:top w:val="nil"/>
              <w:left w:val="nil"/>
              <w:bottom w:val="nil"/>
              <w:right w:val="nil"/>
            </w:tcBorders>
            <w:shd w:val="clear" w:color="auto" w:fill="auto"/>
            <w:vAlign w:val="center"/>
            <w:hideMark/>
          </w:tcPr>
          <w:p w14:paraId="2166F872" w14:textId="77777777" w:rsidR="0080773F" w:rsidRPr="001D3149" w:rsidRDefault="0080773F" w:rsidP="0080773F">
            <w:pPr>
              <w:spacing w:after="0" w:line="240" w:lineRule="auto"/>
              <w:jc w:val="center"/>
              <w:rPr>
                <w:color w:val="000000"/>
                <w:sz w:val="20"/>
              </w:rPr>
            </w:pPr>
            <w:r w:rsidRPr="001D3149">
              <w:rPr>
                <w:color w:val="000000"/>
                <w:sz w:val="20"/>
              </w:rPr>
              <w:t>81.5 (8.3)</w:t>
            </w:r>
          </w:p>
        </w:tc>
        <w:tc>
          <w:tcPr>
            <w:tcW w:w="1440" w:type="dxa"/>
            <w:tcBorders>
              <w:top w:val="nil"/>
              <w:left w:val="nil"/>
              <w:bottom w:val="nil"/>
              <w:right w:val="nil"/>
            </w:tcBorders>
            <w:shd w:val="clear" w:color="auto" w:fill="auto"/>
            <w:vAlign w:val="center"/>
            <w:hideMark/>
          </w:tcPr>
          <w:p w14:paraId="0655FCC4" w14:textId="77777777" w:rsidR="0080773F" w:rsidRPr="001D3149" w:rsidRDefault="0080773F" w:rsidP="0080773F">
            <w:pPr>
              <w:spacing w:after="0" w:line="240" w:lineRule="auto"/>
              <w:jc w:val="center"/>
              <w:rPr>
                <w:color w:val="000000"/>
                <w:sz w:val="20"/>
              </w:rPr>
            </w:pPr>
            <w:r w:rsidRPr="001D3149">
              <w:rPr>
                <w:color w:val="000000"/>
                <w:sz w:val="20"/>
              </w:rPr>
              <w:t>79.2 (7.7)</w:t>
            </w:r>
          </w:p>
        </w:tc>
        <w:tc>
          <w:tcPr>
            <w:tcW w:w="1569" w:type="dxa"/>
            <w:tcBorders>
              <w:top w:val="nil"/>
              <w:left w:val="nil"/>
              <w:bottom w:val="nil"/>
              <w:right w:val="nil"/>
            </w:tcBorders>
            <w:shd w:val="clear" w:color="auto" w:fill="auto"/>
            <w:vAlign w:val="center"/>
            <w:hideMark/>
          </w:tcPr>
          <w:p w14:paraId="2BCEAC64" w14:textId="77777777" w:rsidR="0080773F" w:rsidRPr="001D3149" w:rsidRDefault="0080773F" w:rsidP="0080773F">
            <w:pPr>
              <w:spacing w:after="0" w:line="240" w:lineRule="auto"/>
              <w:jc w:val="center"/>
              <w:rPr>
                <w:color w:val="000000"/>
                <w:sz w:val="20"/>
              </w:rPr>
            </w:pPr>
            <w:r w:rsidRPr="001D3149">
              <w:rPr>
                <w:color w:val="000000"/>
                <w:sz w:val="20"/>
              </w:rPr>
              <w:t>85.5 (7.8)</w:t>
            </w:r>
          </w:p>
        </w:tc>
      </w:tr>
      <w:tr w:rsidR="0080773F" w:rsidRPr="00BA1D24" w14:paraId="68294380"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bottom"/>
          </w:tcPr>
          <w:p w14:paraId="645D4B7B" w14:textId="77777777" w:rsidR="0080773F" w:rsidRPr="004728D6" w:rsidRDefault="0080773F" w:rsidP="0080773F">
            <w:pPr>
              <w:spacing w:after="0" w:line="240" w:lineRule="auto"/>
              <w:rPr>
                <w:color w:val="000000"/>
                <w:sz w:val="20"/>
              </w:rPr>
            </w:pPr>
            <w:r w:rsidRPr="004728D6">
              <w:rPr>
                <w:sz w:val="20"/>
              </w:rPr>
              <w:t xml:space="preserve">66-69 </w:t>
            </w:r>
          </w:p>
        </w:tc>
        <w:tc>
          <w:tcPr>
            <w:tcW w:w="1635" w:type="dxa"/>
            <w:tcBorders>
              <w:top w:val="nil"/>
              <w:left w:val="nil"/>
              <w:bottom w:val="nil"/>
              <w:right w:val="nil"/>
            </w:tcBorders>
            <w:shd w:val="clear" w:color="auto" w:fill="auto"/>
            <w:vAlign w:val="center"/>
          </w:tcPr>
          <w:p w14:paraId="6A259A1A" w14:textId="77777777" w:rsidR="0080773F" w:rsidRPr="001D3149" w:rsidRDefault="0080773F" w:rsidP="0080773F">
            <w:pPr>
              <w:spacing w:after="0" w:line="240" w:lineRule="auto"/>
              <w:jc w:val="center"/>
              <w:rPr>
                <w:color w:val="000000"/>
                <w:sz w:val="20"/>
              </w:rPr>
            </w:pPr>
            <w:r>
              <w:rPr>
                <w:color w:val="000000"/>
                <w:sz w:val="20"/>
              </w:rPr>
              <w:t>8.7%</w:t>
            </w:r>
          </w:p>
        </w:tc>
        <w:tc>
          <w:tcPr>
            <w:tcW w:w="1440" w:type="dxa"/>
            <w:tcBorders>
              <w:top w:val="nil"/>
              <w:left w:val="nil"/>
              <w:bottom w:val="nil"/>
              <w:right w:val="nil"/>
            </w:tcBorders>
            <w:shd w:val="clear" w:color="auto" w:fill="auto"/>
            <w:vAlign w:val="center"/>
          </w:tcPr>
          <w:p w14:paraId="3F95D147" w14:textId="77777777" w:rsidR="0080773F" w:rsidRPr="001D3149" w:rsidRDefault="0080773F" w:rsidP="0080773F">
            <w:pPr>
              <w:spacing w:after="0" w:line="240" w:lineRule="auto"/>
              <w:jc w:val="center"/>
              <w:rPr>
                <w:color w:val="000000"/>
                <w:sz w:val="20"/>
              </w:rPr>
            </w:pPr>
            <w:r>
              <w:rPr>
                <w:color w:val="000000"/>
                <w:sz w:val="20"/>
              </w:rPr>
              <w:t>12.0%</w:t>
            </w:r>
          </w:p>
        </w:tc>
        <w:tc>
          <w:tcPr>
            <w:tcW w:w="1569" w:type="dxa"/>
            <w:tcBorders>
              <w:top w:val="nil"/>
              <w:left w:val="nil"/>
              <w:bottom w:val="nil"/>
              <w:right w:val="nil"/>
            </w:tcBorders>
            <w:shd w:val="clear" w:color="auto" w:fill="auto"/>
            <w:vAlign w:val="center"/>
          </w:tcPr>
          <w:p w14:paraId="718A77F7" w14:textId="77777777" w:rsidR="0080773F" w:rsidRPr="001D3149" w:rsidRDefault="0080773F" w:rsidP="0080773F">
            <w:pPr>
              <w:spacing w:after="0" w:line="240" w:lineRule="auto"/>
              <w:jc w:val="center"/>
              <w:rPr>
                <w:color w:val="000000"/>
                <w:sz w:val="20"/>
              </w:rPr>
            </w:pPr>
            <w:r>
              <w:rPr>
                <w:color w:val="000000"/>
                <w:sz w:val="20"/>
              </w:rPr>
              <w:t>3.2%</w:t>
            </w:r>
          </w:p>
        </w:tc>
      </w:tr>
      <w:tr w:rsidR="0080773F" w:rsidRPr="00BA1D24" w14:paraId="4B958D81"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bottom"/>
          </w:tcPr>
          <w:p w14:paraId="120F809C" w14:textId="77777777" w:rsidR="0080773F" w:rsidRPr="004728D6" w:rsidRDefault="0080773F" w:rsidP="0080773F">
            <w:pPr>
              <w:spacing w:after="0" w:line="240" w:lineRule="auto"/>
              <w:rPr>
                <w:color w:val="000000"/>
                <w:sz w:val="20"/>
              </w:rPr>
            </w:pPr>
            <w:r w:rsidRPr="004728D6">
              <w:rPr>
                <w:sz w:val="20"/>
              </w:rPr>
              <w:t xml:space="preserve">70-74 </w:t>
            </w:r>
          </w:p>
        </w:tc>
        <w:tc>
          <w:tcPr>
            <w:tcW w:w="1635" w:type="dxa"/>
            <w:tcBorders>
              <w:top w:val="nil"/>
              <w:left w:val="nil"/>
              <w:bottom w:val="nil"/>
              <w:right w:val="nil"/>
            </w:tcBorders>
            <w:shd w:val="clear" w:color="auto" w:fill="auto"/>
            <w:vAlign w:val="center"/>
          </w:tcPr>
          <w:p w14:paraId="77C5A4DB" w14:textId="77777777" w:rsidR="0080773F" w:rsidRPr="001D3149" w:rsidRDefault="0080773F" w:rsidP="0080773F">
            <w:pPr>
              <w:spacing w:after="0" w:line="240" w:lineRule="auto"/>
              <w:jc w:val="center"/>
              <w:rPr>
                <w:color w:val="000000"/>
                <w:sz w:val="20"/>
              </w:rPr>
            </w:pPr>
            <w:r>
              <w:rPr>
                <w:color w:val="000000"/>
                <w:sz w:val="20"/>
              </w:rPr>
              <w:t>15.1%</w:t>
            </w:r>
          </w:p>
        </w:tc>
        <w:tc>
          <w:tcPr>
            <w:tcW w:w="1440" w:type="dxa"/>
            <w:tcBorders>
              <w:top w:val="nil"/>
              <w:left w:val="nil"/>
              <w:bottom w:val="nil"/>
              <w:right w:val="nil"/>
            </w:tcBorders>
            <w:shd w:val="clear" w:color="auto" w:fill="auto"/>
            <w:vAlign w:val="center"/>
          </w:tcPr>
          <w:p w14:paraId="74524AA2" w14:textId="77777777" w:rsidR="0080773F" w:rsidRPr="001D3149" w:rsidRDefault="0080773F" w:rsidP="0080773F">
            <w:pPr>
              <w:spacing w:after="0" w:line="240" w:lineRule="auto"/>
              <w:jc w:val="center"/>
              <w:rPr>
                <w:color w:val="000000"/>
                <w:sz w:val="20"/>
              </w:rPr>
            </w:pPr>
            <w:r>
              <w:rPr>
                <w:color w:val="000000"/>
                <w:sz w:val="20"/>
              </w:rPr>
              <w:t>19.7%</w:t>
            </w:r>
          </w:p>
        </w:tc>
        <w:tc>
          <w:tcPr>
            <w:tcW w:w="1569" w:type="dxa"/>
            <w:tcBorders>
              <w:top w:val="nil"/>
              <w:left w:val="nil"/>
              <w:bottom w:val="nil"/>
              <w:right w:val="nil"/>
            </w:tcBorders>
            <w:shd w:val="clear" w:color="auto" w:fill="auto"/>
            <w:vAlign w:val="center"/>
          </w:tcPr>
          <w:p w14:paraId="14062A68" w14:textId="77777777" w:rsidR="0080773F" w:rsidRPr="001D3149" w:rsidRDefault="0080773F" w:rsidP="0080773F">
            <w:pPr>
              <w:spacing w:after="0" w:line="240" w:lineRule="auto"/>
              <w:jc w:val="center"/>
              <w:rPr>
                <w:color w:val="000000"/>
                <w:sz w:val="20"/>
              </w:rPr>
            </w:pPr>
            <w:r>
              <w:rPr>
                <w:color w:val="000000"/>
                <w:sz w:val="20"/>
              </w:rPr>
              <w:t>7.2%</w:t>
            </w:r>
          </w:p>
        </w:tc>
      </w:tr>
      <w:tr w:rsidR="0080773F" w:rsidRPr="00BA1D24" w14:paraId="0DEA304E"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bottom"/>
          </w:tcPr>
          <w:p w14:paraId="436270C5" w14:textId="77777777" w:rsidR="0080773F" w:rsidRPr="004728D6" w:rsidRDefault="0080773F" w:rsidP="0080773F">
            <w:pPr>
              <w:spacing w:after="0" w:line="240" w:lineRule="auto"/>
              <w:rPr>
                <w:color w:val="000000"/>
                <w:sz w:val="20"/>
              </w:rPr>
            </w:pPr>
            <w:r w:rsidRPr="004728D6">
              <w:rPr>
                <w:sz w:val="20"/>
              </w:rPr>
              <w:t xml:space="preserve">75-79 </w:t>
            </w:r>
          </w:p>
        </w:tc>
        <w:tc>
          <w:tcPr>
            <w:tcW w:w="1635" w:type="dxa"/>
            <w:tcBorders>
              <w:top w:val="nil"/>
              <w:left w:val="nil"/>
              <w:bottom w:val="nil"/>
              <w:right w:val="nil"/>
            </w:tcBorders>
            <w:shd w:val="clear" w:color="auto" w:fill="auto"/>
            <w:vAlign w:val="center"/>
          </w:tcPr>
          <w:p w14:paraId="328D066A" w14:textId="77777777" w:rsidR="0080773F" w:rsidRPr="001D3149" w:rsidRDefault="0080773F" w:rsidP="0080773F">
            <w:pPr>
              <w:spacing w:after="0" w:line="240" w:lineRule="auto"/>
              <w:jc w:val="center"/>
              <w:rPr>
                <w:color w:val="000000"/>
                <w:sz w:val="20"/>
              </w:rPr>
            </w:pPr>
            <w:r>
              <w:rPr>
                <w:color w:val="000000"/>
                <w:sz w:val="20"/>
              </w:rPr>
              <w:t>17.2%</w:t>
            </w:r>
          </w:p>
        </w:tc>
        <w:tc>
          <w:tcPr>
            <w:tcW w:w="1440" w:type="dxa"/>
            <w:tcBorders>
              <w:top w:val="nil"/>
              <w:left w:val="nil"/>
              <w:bottom w:val="nil"/>
              <w:right w:val="nil"/>
            </w:tcBorders>
            <w:shd w:val="clear" w:color="auto" w:fill="auto"/>
            <w:vAlign w:val="center"/>
          </w:tcPr>
          <w:p w14:paraId="673BE9F8" w14:textId="77777777" w:rsidR="0080773F" w:rsidRPr="001D3149" w:rsidRDefault="0080773F" w:rsidP="0080773F">
            <w:pPr>
              <w:spacing w:after="0" w:line="240" w:lineRule="auto"/>
              <w:jc w:val="center"/>
              <w:rPr>
                <w:color w:val="000000"/>
                <w:sz w:val="20"/>
              </w:rPr>
            </w:pPr>
            <w:r>
              <w:rPr>
                <w:color w:val="000000"/>
                <w:sz w:val="20"/>
              </w:rPr>
              <w:t>20.5%</w:t>
            </w:r>
          </w:p>
        </w:tc>
        <w:tc>
          <w:tcPr>
            <w:tcW w:w="1569" w:type="dxa"/>
            <w:tcBorders>
              <w:top w:val="nil"/>
              <w:left w:val="nil"/>
              <w:bottom w:val="nil"/>
              <w:right w:val="nil"/>
            </w:tcBorders>
            <w:shd w:val="clear" w:color="auto" w:fill="auto"/>
            <w:vAlign w:val="center"/>
          </w:tcPr>
          <w:p w14:paraId="008BCAA8" w14:textId="77777777" w:rsidR="0080773F" w:rsidRPr="001D3149" w:rsidRDefault="0080773F" w:rsidP="0080773F">
            <w:pPr>
              <w:spacing w:after="0" w:line="240" w:lineRule="auto"/>
              <w:jc w:val="center"/>
              <w:rPr>
                <w:color w:val="000000"/>
                <w:sz w:val="20"/>
              </w:rPr>
            </w:pPr>
            <w:r>
              <w:rPr>
                <w:color w:val="000000"/>
                <w:sz w:val="20"/>
              </w:rPr>
              <w:t>11.4%</w:t>
            </w:r>
          </w:p>
        </w:tc>
      </w:tr>
      <w:tr w:rsidR="0080773F" w:rsidRPr="00BA1D24" w14:paraId="36C2C929"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bottom"/>
          </w:tcPr>
          <w:p w14:paraId="6C4BC653" w14:textId="77777777" w:rsidR="0080773F" w:rsidRPr="004728D6" w:rsidRDefault="0080773F" w:rsidP="0080773F">
            <w:pPr>
              <w:spacing w:after="0" w:line="240" w:lineRule="auto"/>
              <w:rPr>
                <w:color w:val="000000"/>
                <w:sz w:val="20"/>
              </w:rPr>
            </w:pPr>
            <w:r w:rsidRPr="004728D6">
              <w:rPr>
                <w:sz w:val="20"/>
              </w:rPr>
              <w:t xml:space="preserve">80-84 </w:t>
            </w:r>
          </w:p>
        </w:tc>
        <w:tc>
          <w:tcPr>
            <w:tcW w:w="1635" w:type="dxa"/>
            <w:tcBorders>
              <w:top w:val="nil"/>
              <w:left w:val="nil"/>
              <w:bottom w:val="nil"/>
              <w:right w:val="nil"/>
            </w:tcBorders>
            <w:shd w:val="clear" w:color="auto" w:fill="auto"/>
            <w:vAlign w:val="center"/>
          </w:tcPr>
          <w:p w14:paraId="32044704" w14:textId="77777777" w:rsidR="0080773F" w:rsidRPr="001D3149" w:rsidRDefault="0080773F" w:rsidP="0080773F">
            <w:pPr>
              <w:spacing w:after="0" w:line="240" w:lineRule="auto"/>
              <w:jc w:val="center"/>
              <w:rPr>
                <w:color w:val="000000"/>
                <w:sz w:val="20"/>
              </w:rPr>
            </w:pPr>
            <w:r>
              <w:rPr>
                <w:color w:val="000000"/>
                <w:sz w:val="20"/>
              </w:rPr>
              <w:t>20.3%</w:t>
            </w:r>
          </w:p>
        </w:tc>
        <w:tc>
          <w:tcPr>
            <w:tcW w:w="1440" w:type="dxa"/>
            <w:tcBorders>
              <w:top w:val="nil"/>
              <w:left w:val="nil"/>
              <w:bottom w:val="nil"/>
              <w:right w:val="nil"/>
            </w:tcBorders>
            <w:shd w:val="clear" w:color="auto" w:fill="auto"/>
            <w:vAlign w:val="center"/>
          </w:tcPr>
          <w:p w14:paraId="6925330D" w14:textId="77777777" w:rsidR="0080773F" w:rsidRPr="001D3149" w:rsidRDefault="0080773F" w:rsidP="0080773F">
            <w:pPr>
              <w:spacing w:after="0" w:line="240" w:lineRule="auto"/>
              <w:jc w:val="center"/>
              <w:rPr>
                <w:color w:val="000000"/>
                <w:sz w:val="20"/>
              </w:rPr>
            </w:pPr>
            <w:r>
              <w:rPr>
                <w:color w:val="000000"/>
                <w:sz w:val="20"/>
              </w:rPr>
              <w:t>21.0%</w:t>
            </w:r>
          </w:p>
        </w:tc>
        <w:tc>
          <w:tcPr>
            <w:tcW w:w="1569" w:type="dxa"/>
            <w:tcBorders>
              <w:top w:val="nil"/>
              <w:left w:val="nil"/>
              <w:bottom w:val="nil"/>
              <w:right w:val="nil"/>
            </w:tcBorders>
            <w:shd w:val="clear" w:color="auto" w:fill="auto"/>
            <w:vAlign w:val="center"/>
          </w:tcPr>
          <w:p w14:paraId="53246851" w14:textId="77777777" w:rsidR="0080773F" w:rsidRPr="001D3149" w:rsidRDefault="0080773F" w:rsidP="0080773F">
            <w:pPr>
              <w:spacing w:after="0" w:line="240" w:lineRule="auto"/>
              <w:jc w:val="center"/>
              <w:rPr>
                <w:color w:val="000000"/>
                <w:sz w:val="20"/>
              </w:rPr>
            </w:pPr>
            <w:r>
              <w:rPr>
                <w:color w:val="000000"/>
                <w:sz w:val="20"/>
              </w:rPr>
              <w:t>19.1%</w:t>
            </w:r>
          </w:p>
        </w:tc>
      </w:tr>
      <w:tr w:rsidR="0080773F" w:rsidRPr="00BA1D24" w14:paraId="25881C18"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bottom"/>
          </w:tcPr>
          <w:p w14:paraId="69AC0CA6" w14:textId="77777777" w:rsidR="0080773F" w:rsidRPr="004728D6" w:rsidRDefault="0080773F" w:rsidP="0080773F">
            <w:pPr>
              <w:spacing w:after="0" w:line="240" w:lineRule="auto"/>
              <w:rPr>
                <w:color w:val="000000"/>
                <w:sz w:val="20"/>
              </w:rPr>
            </w:pPr>
            <w:r w:rsidRPr="004728D6">
              <w:rPr>
                <w:sz w:val="20"/>
              </w:rPr>
              <w:t xml:space="preserve">85-89 </w:t>
            </w:r>
          </w:p>
        </w:tc>
        <w:tc>
          <w:tcPr>
            <w:tcW w:w="1635" w:type="dxa"/>
            <w:tcBorders>
              <w:top w:val="nil"/>
              <w:left w:val="nil"/>
              <w:bottom w:val="nil"/>
              <w:right w:val="nil"/>
            </w:tcBorders>
            <w:shd w:val="clear" w:color="auto" w:fill="auto"/>
            <w:vAlign w:val="center"/>
          </w:tcPr>
          <w:p w14:paraId="086E2595" w14:textId="77777777" w:rsidR="0080773F" w:rsidRPr="001D3149" w:rsidRDefault="0080773F" w:rsidP="0080773F">
            <w:pPr>
              <w:spacing w:after="0" w:line="240" w:lineRule="auto"/>
              <w:jc w:val="center"/>
              <w:rPr>
                <w:color w:val="000000"/>
                <w:sz w:val="20"/>
              </w:rPr>
            </w:pPr>
            <w:r>
              <w:rPr>
                <w:color w:val="000000"/>
                <w:sz w:val="20"/>
              </w:rPr>
              <w:t>20.0%</w:t>
            </w:r>
          </w:p>
        </w:tc>
        <w:tc>
          <w:tcPr>
            <w:tcW w:w="1440" w:type="dxa"/>
            <w:tcBorders>
              <w:top w:val="nil"/>
              <w:left w:val="nil"/>
              <w:bottom w:val="nil"/>
              <w:right w:val="nil"/>
            </w:tcBorders>
            <w:shd w:val="clear" w:color="auto" w:fill="auto"/>
            <w:vAlign w:val="center"/>
          </w:tcPr>
          <w:p w14:paraId="04A4807A" w14:textId="77777777" w:rsidR="0080773F" w:rsidRPr="001D3149" w:rsidRDefault="0080773F" w:rsidP="0080773F">
            <w:pPr>
              <w:spacing w:after="0" w:line="240" w:lineRule="auto"/>
              <w:jc w:val="center"/>
              <w:rPr>
                <w:color w:val="000000"/>
                <w:sz w:val="20"/>
              </w:rPr>
            </w:pPr>
            <w:r>
              <w:rPr>
                <w:color w:val="000000"/>
                <w:sz w:val="20"/>
              </w:rPr>
              <w:t>16.4%</w:t>
            </w:r>
          </w:p>
        </w:tc>
        <w:tc>
          <w:tcPr>
            <w:tcW w:w="1569" w:type="dxa"/>
            <w:tcBorders>
              <w:top w:val="nil"/>
              <w:left w:val="nil"/>
              <w:bottom w:val="nil"/>
              <w:right w:val="nil"/>
            </w:tcBorders>
            <w:shd w:val="clear" w:color="auto" w:fill="auto"/>
            <w:vAlign w:val="center"/>
          </w:tcPr>
          <w:p w14:paraId="35E17667" w14:textId="77777777" w:rsidR="0080773F" w:rsidRPr="001D3149" w:rsidRDefault="0080773F" w:rsidP="0080773F">
            <w:pPr>
              <w:spacing w:after="0" w:line="240" w:lineRule="auto"/>
              <w:jc w:val="center"/>
              <w:rPr>
                <w:color w:val="000000"/>
                <w:sz w:val="20"/>
              </w:rPr>
            </w:pPr>
            <w:r>
              <w:rPr>
                <w:color w:val="000000"/>
                <w:sz w:val="20"/>
              </w:rPr>
              <w:t>26.0%</w:t>
            </w:r>
          </w:p>
        </w:tc>
      </w:tr>
      <w:tr w:rsidR="0080773F" w:rsidRPr="00BA1D24" w14:paraId="6693D432"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bottom"/>
          </w:tcPr>
          <w:p w14:paraId="71AA93EA" w14:textId="77777777" w:rsidR="0080773F" w:rsidRPr="004728D6" w:rsidRDefault="0080773F" w:rsidP="0080773F">
            <w:pPr>
              <w:spacing w:after="0" w:line="240" w:lineRule="auto"/>
              <w:rPr>
                <w:color w:val="000000"/>
                <w:sz w:val="20"/>
              </w:rPr>
            </w:pPr>
            <w:r>
              <w:rPr>
                <w:sz w:val="20"/>
              </w:rPr>
              <w:t>≥90</w:t>
            </w:r>
            <w:r w:rsidRPr="004728D6">
              <w:rPr>
                <w:sz w:val="20"/>
              </w:rPr>
              <w:t xml:space="preserve"> </w:t>
            </w:r>
          </w:p>
        </w:tc>
        <w:tc>
          <w:tcPr>
            <w:tcW w:w="1635" w:type="dxa"/>
            <w:tcBorders>
              <w:top w:val="nil"/>
              <w:left w:val="nil"/>
              <w:bottom w:val="nil"/>
              <w:right w:val="nil"/>
            </w:tcBorders>
            <w:shd w:val="clear" w:color="auto" w:fill="auto"/>
            <w:vAlign w:val="center"/>
          </w:tcPr>
          <w:p w14:paraId="37F977FC" w14:textId="77777777" w:rsidR="0080773F" w:rsidRPr="001D3149" w:rsidRDefault="0080773F" w:rsidP="0080773F">
            <w:pPr>
              <w:spacing w:after="0" w:line="240" w:lineRule="auto"/>
              <w:jc w:val="center"/>
              <w:rPr>
                <w:color w:val="000000"/>
                <w:sz w:val="20"/>
              </w:rPr>
            </w:pPr>
            <w:r>
              <w:rPr>
                <w:color w:val="000000"/>
                <w:sz w:val="20"/>
              </w:rPr>
              <w:t>18.8%</w:t>
            </w:r>
          </w:p>
        </w:tc>
        <w:tc>
          <w:tcPr>
            <w:tcW w:w="1440" w:type="dxa"/>
            <w:tcBorders>
              <w:top w:val="nil"/>
              <w:left w:val="nil"/>
              <w:bottom w:val="nil"/>
              <w:right w:val="nil"/>
            </w:tcBorders>
            <w:shd w:val="clear" w:color="auto" w:fill="auto"/>
            <w:vAlign w:val="center"/>
          </w:tcPr>
          <w:p w14:paraId="787CE1AD" w14:textId="77777777" w:rsidR="0080773F" w:rsidRPr="001D3149" w:rsidRDefault="0080773F" w:rsidP="0080773F">
            <w:pPr>
              <w:spacing w:after="0" w:line="240" w:lineRule="auto"/>
              <w:jc w:val="center"/>
              <w:rPr>
                <w:color w:val="000000"/>
                <w:sz w:val="20"/>
              </w:rPr>
            </w:pPr>
            <w:r>
              <w:rPr>
                <w:color w:val="000000"/>
                <w:sz w:val="20"/>
              </w:rPr>
              <w:t>10.5%</w:t>
            </w:r>
          </w:p>
        </w:tc>
        <w:tc>
          <w:tcPr>
            <w:tcW w:w="1569" w:type="dxa"/>
            <w:tcBorders>
              <w:top w:val="nil"/>
              <w:left w:val="nil"/>
              <w:bottom w:val="nil"/>
              <w:right w:val="nil"/>
            </w:tcBorders>
            <w:shd w:val="clear" w:color="auto" w:fill="auto"/>
            <w:vAlign w:val="center"/>
          </w:tcPr>
          <w:p w14:paraId="69EA8F99" w14:textId="77777777" w:rsidR="0080773F" w:rsidRPr="001D3149" w:rsidRDefault="0080773F" w:rsidP="0080773F">
            <w:pPr>
              <w:spacing w:after="0" w:line="240" w:lineRule="auto"/>
              <w:jc w:val="center"/>
              <w:rPr>
                <w:color w:val="000000"/>
                <w:sz w:val="20"/>
              </w:rPr>
            </w:pPr>
            <w:r>
              <w:rPr>
                <w:color w:val="000000"/>
                <w:sz w:val="20"/>
              </w:rPr>
              <w:t>33.1%</w:t>
            </w:r>
          </w:p>
        </w:tc>
      </w:tr>
      <w:tr w:rsidR="0080773F" w:rsidRPr="00BA1D24" w14:paraId="3BD8C2CE" w14:textId="77777777" w:rsidTr="00AA0EB2">
        <w:trPr>
          <w:trHeight w:val="144"/>
          <w:jc w:val="center"/>
        </w:trPr>
        <w:tc>
          <w:tcPr>
            <w:tcW w:w="4536" w:type="dxa"/>
            <w:tcBorders>
              <w:top w:val="nil"/>
              <w:left w:val="nil"/>
              <w:bottom w:val="nil"/>
              <w:right w:val="nil"/>
            </w:tcBorders>
            <w:shd w:val="clear" w:color="auto" w:fill="auto"/>
            <w:vAlign w:val="center"/>
          </w:tcPr>
          <w:p w14:paraId="5040666B" w14:textId="77777777" w:rsidR="0080773F" w:rsidRPr="004728D6" w:rsidRDefault="0080773F" w:rsidP="0080773F">
            <w:pPr>
              <w:spacing w:after="0" w:line="240" w:lineRule="auto"/>
              <w:rPr>
                <w:bCs/>
                <w:color w:val="000000"/>
                <w:sz w:val="20"/>
              </w:rPr>
            </w:pPr>
            <w:r>
              <w:rPr>
                <w:bCs/>
                <w:color w:val="000000"/>
                <w:sz w:val="20"/>
              </w:rPr>
              <w:t>Female Sex</w:t>
            </w:r>
          </w:p>
        </w:tc>
        <w:tc>
          <w:tcPr>
            <w:tcW w:w="1635" w:type="dxa"/>
            <w:tcBorders>
              <w:top w:val="nil"/>
              <w:left w:val="nil"/>
              <w:bottom w:val="nil"/>
              <w:right w:val="nil"/>
            </w:tcBorders>
            <w:shd w:val="clear" w:color="auto" w:fill="auto"/>
            <w:vAlign w:val="center"/>
          </w:tcPr>
          <w:p w14:paraId="51A5F20F" w14:textId="77777777" w:rsidR="0080773F" w:rsidRPr="001D3149" w:rsidRDefault="0080773F" w:rsidP="0080773F">
            <w:pPr>
              <w:spacing w:after="0" w:line="240" w:lineRule="auto"/>
              <w:jc w:val="center"/>
              <w:rPr>
                <w:b/>
                <w:bCs/>
                <w:color w:val="000000"/>
                <w:sz w:val="20"/>
              </w:rPr>
            </w:pPr>
            <w:r w:rsidRPr="001D3149">
              <w:rPr>
                <w:color w:val="000000"/>
                <w:sz w:val="20"/>
              </w:rPr>
              <w:t>67.3%</w:t>
            </w:r>
          </w:p>
        </w:tc>
        <w:tc>
          <w:tcPr>
            <w:tcW w:w="1440" w:type="dxa"/>
            <w:tcBorders>
              <w:top w:val="nil"/>
              <w:left w:val="nil"/>
              <w:bottom w:val="nil"/>
              <w:right w:val="nil"/>
            </w:tcBorders>
            <w:shd w:val="clear" w:color="auto" w:fill="auto"/>
            <w:vAlign w:val="center"/>
          </w:tcPr>
          <w:p w14:paraId="66440576" w14:textId="77777777" w:rsidR="0080773F" w:rsidRPr="001D3149" w:rsidRDefault="0080773F" w:rsidP="0080773F">
            <w:pPr>
              <w:spacing w:after="0" w:line="240" w:lineRule="auto"/>
              <w:jc w:val="center"/>
              <w:rPr>
                <w:sz w:val="20"/>
              </w:rPr>
            </w:pPr>
            <w:r w:rsidRPr="001D3149">
              <w:rPr>
                <w:color w:val="000000"/>
                <w:sz w:val="20"/>
              </w:rPr>
              <w:t>63.5%</w:t>
            </w:r>
          </w:p>
        </w:tc>
        <w:tc>
          <w:tcPr>
            <w:tcW w:w="1569" w:type="dxa"/>
            <w:tcBorders>
              <w:top w:val="nil"/>
              <w:left w:val="nil"/>
              <w:bottom w:val="nil"/>
              <w:right w:val="nil"/>
            </w:tcBorders>
            <w:shd w:val="clear" w:color="auto" w:fill="auto"/>
            <w:vAlign w:val="center"/>
          </w:tcPr>
          <w:p w14:paraId="5A925BCE" w14:textId="77777777" w:rsidR="0080773F" w:rsidRPr="001D3149" w:rsidRDefault="0080773F" w:rsidP="0080773F">
            <w:pPr>
              <w:spacing w:after="0" w:line="240" w:lineRule="auto"/>
              <w:jc w:val="center"/>
              <w:rPr>
                <w:color w:val="000000"/>
                <w:sz w:val="20"/>
              </w:rPr>
            </w:pPr>
            <w:r w:rsidRPr="001D3149">
              <w:rPr>
                <w:color w:val="000000"/>
                <w:sz w:val="20"/>
              </w:rPr>
              <w:t>73.8%</w:t>
            </w:r>
          </w:p>
        </w:tc>
      </w:tr>
      <w:tr w:rsidR="0080773F" w:rsidRPr="00BA1D24" w14:paraId="3A4EDF3F" w14:textId="77777777" w:rsidTr="00AA0EB2">
        <w:trPr>
          <w:trHeight w:val="144"/>
          <w:jc w:val="center"/>
        </w:trPr>
        <w:tc>
          <w:tcPr>
            <w:tcW w:w="4536" w:type="dxa"/>
            <w:tcBorders>
              <w:top w:val="nil"/>
              <w:left w:val="nil"/>
              <w:bottom w:val="nil"/>
              <w:right w:val="nil"/>
            </w:tcBorders>
            <w:shd w:val="clear" w:color="auto" w:fill="auto"/>
            <w:vAlign w:val="center"/>
          </w:tcPr>
          <w:p w14:paraId="05B631EE" w14:textId="77777777" w:rsidR="0080773F" w:rsidRPr="004728D6" w:rsidRDefault="0080773F" w:rsidP="0080773F">
            <w:pPr>
              <w:spacing w:after="0" w:line="240" w:lineRule="auto"/>
              <w:rPr>
                <w:bCs/>
                <w:color w:val="000000"/>
                <w:sz w:val="20"/>
              </w:rPr>
            </w:pPr>
            <w:r>
              <w:rPr>
                <w:bCs/>
                <w:color w:val="000000"/>
                <w:sz w:val="20"/>
              </w:rPr>
              <w:t xml:space="preserve"> </w:t>
            </w:r>
            <w:r w:rsidRPr="004728D6">
              <w:rPr>
                <w:bCs/>
                <w:color w:val="000000"/>
                <w:sz w:val="20"/>
              </w:rPr>
              <w:t>Race</w:t>
            </w:r>
          </w:p>
        </w:tc>
        <w:tc>
          <w:tcPr>
            <w:tcW w:w="1635" w:type="dxa"/>
            <w:tcBorders>
              <w:top w:val="nil"/>
              <w:left w:val="nil"/>
              <w:bottom w:val="nil"/>
              <w:right w:val="nil"/>
            </w:tcBorders>
            <w:shd w:val="clear" w:color="auto" w:fill="auto"/>
            <w:vAlign w:val="bottom"/>
          </w:tcPr>
          <w:p w14:paraId="39A629D0" w14:textId="77777777" w:rsidR="0080773F" w:rsidRPr="001D3149" w:rsidRDefault="0080773F" w:rsidP="0080773F">
            <w:pPr>
              <w:spacing w:after="0" w:line="240" w:lineRule="auto"/>
              <w:jc w:val="center"/>
              <w:rPr>
                <w:b/>
                <w:bCs/>
                <w:color w:val="000000"/>
                <w:sz w:val="20"/>
              </w:rPr>
            </w:pPr>
          </w:p>
        </w:tc>
        <w:tc>
          <w:tcPr>
            <w:tcW w:w="1440" w:type="dxa"/>
            <w:tcBorders>
              <w:top w:val="nil"/>
              <w:left w:val="nil"/>
              <w:bottom w:val="nil"/>
              <w:right w:val="nil"/>
            </w:tcBorders>
            <w:shd w:val="clear" w:color="auto" w:fill="auto"/>
            <w:vAlign w:val="center"/>
          </w:tcPr>
          <w:p w14:paraId="369EECCD" w14:textId="77777777" w:rsidR="0080773F" w:rsidRPr="001D3149" w:rsidRDefault="0080773F" w:rsidP="0080773F">
            <w:pPr>
              <w:spacing w:after="0" w:line="240" w:lineRule="auto"/>
              <w:jc w:val="center"/>
              <w:rPr>
                <w:sz w:val="20"/>
              </w:rPr>
            </w:pPr>
          </w:p>
        </w:tc>
        <w:tc>
          <w:tcPr>
            <w:tcW w:w="1569" w:type="dxa"/>
            <w:tcBorders>
              <w:top w:val="nil"/>
              <w:left w:val="nil"/>
              <w:bottom w:val="nil"/>
              <w:right w:val="nil"/>
            </w:tcBorders>
            <w:shd w:val="clear" w:color="auto" w:fill="auto"/>
            <w:vAlign w:val="center"/>
          </w:tcPr>
          <w:p w14:paraId="09EF3EF4" w14:textId="77777777" w:rsidR="0080773F" w:rsidRPr="001D3149" w:rsidRDefault="0080773F" w:rsidP="0080773F">
            <w:pPr>
              <w:spacing w:after="0" w:line="240" w:lineRule="auto"/>
              <w:jc w:val="center"/>
              <w:rPr>
                <w:color w:val="000000"/>
                <w:sz w:val="20"/>
              </w:rPr>
            </w:pPr>
          </w:p>
        </w:tc>
      </w:tr>
      <w:tr w:rsidR="0080773F" w:rsidRPr="00BA1D24" w14:paraId="620B3849"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7ED74E19" w14:textId="77777777" w:rsidR="0080773F" w:rsidRPr="004728D6" w:rsidRDefault="0080773F" w:rsidP="0080773F">
            <w:pPr>
              <w:spacing w:after="0" w:line="240" w:lineRule="auto"/>
              <w:rPr>
                <w:bCs/>
                <w:color w:val="000000"/>
                <w:sz w:val="20"/>
              </w:rPr>
            </w:pPr>
            <w:r w:rsidRPr="004728D6">
              <w:rPr>
                <w:color w:val="000000"/>
                <w:sz w:val="20"/>
              </w:rPr>
              <w:t>White</w:t>
            </w:r>
          </w:p>
        </w:tc>
        <w:tc>
          <w:tcPr>
            <w:tcW w:w="1635" w:type="dxa"/>
            <w:tcBorders>
              <w:top w:val="nil"/>
              <w:left w:val="nil"/>
              <w:bottom w:val="nil"/>
              <w:right w:val="nil"/>
            </w:tcBorders>
            <w:shd w:val="clear" w:color="auto" w:fill="auto"/>
            <w:vAlign w:val="center"/>
          </w:tcPr>
          <w:p w14:paraId="24DC0999" w14:textId="77777777" w:rsidR="0080773F" w:rsidRPr="001D3149" w:rsidRDefault="0080773F" w:rsidP="0080773F">
            <w:pPr>
              <w:spacing w:after="0" w:line="240" w:lineRule="auto"/>
              <w:jc w:val="center"/>
              <w:rPr>
                <w:b/>
                <w:bCs/>
                <w:color w:val="000000"/>
                <w:sz w:val="20"/>
              </w:rPr>
            </w:pPr>
            <w:r w:rsidRPr="001D3149">
              <w:rPr>
                <w:color w:val="000000"/>
                <w:sz w:val="20"/>
              </w:rPr>
              <w:t>85.2%</w:t>
            </w:r>
          </w:p>
        </w:tc>
        <w:tc>
          <w:tcPr>
            <w:tcW w:w="1440" w:type="dxa"/>
            <w:tcBorders>
              <w:top w:val="nil"/>
              <w:left w:val="nil"/>
              <w:bottom w:val="nil"/>
              <w:right w:val="nil"/>
            </w:tcBorders>
            <w:shd w:val="clear" w:color="auto" w:fill="auto"/>
            <w:vAlign w:val="center"/>
          </w:tcPr>
          <w:p w14:paraId="2868F771" w14:textId="77777777" w:rsidR="0080773F" w:rsidRPr="001D3149" w:rsidRDefault="0080773F" w:rsidP="0080773F">
            <w:pPr>
              <w:spacing w:after="0" w:line="240" w:lineRule="auto"/>
              <w:jc w:val="center"/>
              <w:rPr>
                <w:sz w:val="20"/>
              </w:rPr>
            </w:pPr>
            <w:r w:rsidRPr="001D3149">
              <w:rPr>
                <w:color w:val="000000"/>
                <w:sz w:val="20"/>
              </w:rPr>
              <w:t>83.8%</w:t>
            </w:r>
          </w:p>
        </w:tc>
        <w:tc>
          <w:tcPr>
            <w:tcW w:w="1569" w:type="dxa"/>
            <w:tcBorders>
              <w:top w:val="nil"/>
              <w:left w:val="nil"/>
              <w:bottom w:val="nil"/>
              <w:right w:val="nil"/>
            </w:tcBorders>
            <w:shd w:val="clear" w:color="auto" w:fill="auto"/>
            <w:vAlign w:val="center"/>
          </w:tcPr>
          <w:p w14:paraId="5DE9811E" w14:textId="77777777" w:rsidR="0080773F" w:rsidRPr="001D3149" w:rsidRDefault="0080773F" w:rsidP="0080773F">
            <w:pPr>
              <w:spacing w:after="0" w:line="240" w:lineRule="auto"/>
              <w:jc w:val="center"/>
              <w:rPr>
                <w:color w:val="000000"/>
                <w:sz w:val="20"/>
              </w:rPr>
            </w:pPr>
            <w:r w:rsidRPr="001D3149">
              <w:rPr>
                <w:color w:val="000000"/>
                <w:sz w:val="20"/>
              </w:rPr>
              <w:t>87.5%</w:t>
            </w:r>
          </w:p>
        </w:tc>
      </w:tr>
      <w:tr w:rsidR="0080773F" w:rsidRPr="00BA1D24" w14:paraId="7E3E63CB"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637B20EF" w14:textId="77777777" w:rsidR="0080773F" w:rsidRPr="004728D6" w:rsidRDefault="0080773F" w:rsidP="0080773F">
            <w:pPr>
              <w:spacing w:after="0" w:line="240" w:lineRule="auto"/>
              <w:rPr>
                <w:bCs/>
                <w:color w:val="000000"/>
                <w:sz w:val="20"/>
              </w:rPr>
            </w:pPr>
            <w:r w:rsidRPr="004728D6">
              <w:rPr>
                <w:color w:val="000000"/>
                <w:sz w:val="20"/>
              </w:rPr>
              <w:t>Black</w:t>
            </w:r>
          </w:p>
        </w:tc>
        <w:tc>
          <w:tcPr>
            <w:tcW w:w="1635" w:type="dxa"/>
            <w:tcBorders>
              <w:top w:val="nil"/>
              <w:left w:val="nil"/>
              <w:bottom w:val="nil"/>
              <w:right w:val="nil"/>
            </w:tcBorders>
            <w:shd w:val="clear" w:color="auto" w:fill="auto"/>
            <w:vAlign w:val="center"/>
          </w:tcPr>
          <w:p w14:paraId="05AB578E" w14:textId="77777777" w:rsidR="0080773F" w:rsidRPr="001D3149" w:rsidRDefault="0080773F" w:rsidP="0080773F">
            <w:pPr>
              <w:spacing w:after="0" w:line="240" w:lineRule="auto"/>
              <w:jc w:val="center"/>
              <w:rPr>
                <w:b/>
                <w:bCs/>
                <w:color w:val="000000"/>
                <w:sz w:val="20"/>
              </w:rPr>
            </w:pPr>
            <w:r w:rsidRPr="001D3149">
              <w:rPr>
                <w:color w:val="000000"/>
                <w:sz w:val="20"/>
              </w:rPr>
              <w:t>8.3%</w:t>
            </w:r>
          </w:p>
        </w:tc>
        <w:tc>
          <w:tcPr>
            <w:tcW w:w="1440" w:type="dxa"/>
            <w:tcBorders>
              <w:top w:val="nil"/>
              <w:left w:val="nil"/>
              <w:bottom w:val="nil"/>
              <w:right w:val="nil"/>
            </w:tcBorders>
            <w:shd w:val="clear" w:color="auto" w:fill="auto"/>
            <w:vAlign w:val="center"/>
          </w:tcPr>
          <w:p w14:paraId="194A9730" w14:textId="77777777" w:rsidR="0080773F" w:rsidRPr="001D3149" w:rsidRDefault="0080773F" w:rsidP="0080773F">
            <w:pPr>
              <w:spacing w:after="0" w:line="240" w:lineRule="auto"/>
              <w:jc w:val="center"/>
              <w:rPr>
                <w:sz w:val="20"/>
              </w:rPr>
            </w:pPr>
            <w:r w:rsidRPr="001D3149">
              <w:rPr>
                <w:color w:val="000000"/>
                <w:sz w:val="20"/>
              </w:rPr>
              <w:t>8.8%</w:t>
            </w:r>
          </w:p>
        </w:tc>
        <w:tc>
          <w:tcPr>
            <w:tcW w:w="1569" w:type="dxa"/>
            <w:tcBorders>
              <w:top w:val="nil"/>
              <w:left w:val="nil"/>
              <w:bottom w:val="nil"/>
              <w:right w:val="nil"/>
            </w:tcBorders>
            <w:shd w:val="clear" w:color="auto" w:fill="auto"/>
            <w:vAlign w:val="center"/>
          </w:tcPr>
          <w:p w14:paraId="5D96D38B" w14:textId="77777777" w:rsidR="0080773F" w:rsidRPr="001D3149" w:rsidRDefault="0080773F" w:rsidP="0080773F">
            <w:pPr>
              <w:spacing w:after="0" w:line="240" w:lineRule="auto"/>
              <w:jc w:val="center"/>
              <w:rPr>
                <w:color w:val="000000"/>
                <w:sz w:val="20"/>
              </w:rPr>
            </w:pPr>
            <w:r w:rsidRPr="001D3149">
              <w:rPr>
                <w:color w:val="000000"/>
                <w:sz w:val="20"/>
              </w:rPr>
              <w:t>7.5%</w:t>
            </w:r>
          </w:p>
        </w:tc>
      </w:tr>
      <w:tr w:rsidR="0080773F" w:rsidRPr="00BA1D24" w14:paraId="729A9E82"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3A875CF4" w14:textId="77777777" w:rsidR="0080773F" w:rsidRPr="004728D6" w:rsidRDefault="0080773F" w:rsidP="0080773F">
            <w:pPr>
              <w:spacing w:after="0" w:line="240" w:lineRule="auto"/>
              <w:rPr>
                <w:bCs/>
                <w:color w:val="000000"/>
                <w:sz w:val="20"/>
              </w:rPr>
            </w:pPr>
            <w:r w:rsidRPr="004728D6">
              <w:rPr>
                <w:color w:val="000000"/>
                <w:sz w:val="20"/>
              </w:rPr>
              <w:t>Hispanic</w:t>
            </w:r>
          </w:p>
        </w:tc>
        <w:tc>
          <w:tcPr>
            <w:tcW w:w="1635" w:type="dxa"/>
            <w:tcBorders>
              <w:top w:val="nil"/>
              <w:left w:val="nil"/>
              <w:bottom w:val="nil"/>
              <w:right w:val="nil"/>
            </w:tcBorders>
            <w:shd w:val="clear" w:color="auto" w:fill="auto"/>
            <w:vAlign w:val="center"/>
          </w:tcPr>
          <w:p w14:paraId="7605E05E" w14:textId="77777777" w:rsidR="0080773F" w:rsidRPr="001D3149" w:rsidRDefault="0080773F" w:rsidP="0080773F">
            <w:pPr>
              <w:spacing w:after="0" w:line="240" w:lineRule="auto"/>
              <w:jc w:val="center"/>
              <w:rPr>
                <w:b/>
                <w:bCs/>
                <w:color w:val="000000"/>
                <w:sz w:val="20"/>
              </w:rPr>
            </w:pPr>
            <w:r w:rsidRPr="001D3149">
              <w:rPr>
                <w:color w:val="000000"/>
                <w:sz w:val="20"/>
              </w:rPr>
              <w:t>2.0%</w:t>
            </w:r>
          </w:p>
        </w:tc>
        <w:tc>
          <w:tcPr>
            <w:tcW w:w="1440" w:type="dxa"/>
            <w:tcBorders>
              <w:top w:val="nil"/>
              <w:left w:val="nil"/>
              <w:bottom w:val="nil"/>
              <w:right w:val="nil"/>
            </w:tcBorders>
            <w:shd w:val="clear" w:color="auto" w:fill="auto"/>
            <w:vAlign w:val="center"/>
          </w:tcPr>
          <w:p w14:paraId="5A7D6D48" w14:textId="77777777" w:rsidR="0080773F" w:rsidRPr="001D3149" w:rsidRDefault="0080773F" w:rsidP="0080773F">
            <w:pPr>
              <w:spacing w:after="0" w:line="240" w:lineRule="auto"/>
              <w:jc w:val="center"/>
              <w:rPr>
                <w:sz w:val="20"/>
              </w:rPr>
            </w:pPr>
            <w:r w:rsidRPr="001D3149">
              <w:rPr>
                <w:color w:val="000000"/>
                <w:sz w:val="20"/>
              </w:rPr>
              <w:t>2.0%</w:t>
            </w:r>
          </w:p>
        </w:tc>
        <w:tc>
          <w:tcPr>
            <w:tcW w:w="1569" w:type="dxa"/>
            <w:tcBorders>
              <w:top w:val="nil"/>
              <w:left w:val="nil"/>
              <w:bottom w:val="nil"/>
              <w:right w:val="nil"/>
            </w:tcBorders>
            <w:shd w:val="clear" w:color="auto" w:fill="auto"/>
            <w:vAlign w:val="center"/>
          </w:tcPr>
          <w:p w14:paraId="18D65C2B" w14:textId="77777777" w:rsidR="0080773F" w:rsidRPr="001D3149" w:rsidRDefault="0080773F" w:rsidP="0080773F">
            <w:pPr>
              <w:spacing w:after="0" w:line="240" w:lineRule="auto"/>
              <w:jc w:val="center"/>
              <w:rPr>
                <w:color w:val="000000"/>
                <w:sz w:val="20"/>
              </w:rPr>
            </w:pPr>
            <w:r w:rsidRPr="001D3149">
              <w:rPr>
                <w:color w:val="000000"/>
                <w:sz w:val="20"/>
              </w:rPr>
              <w:t>1.9%</w:t>
            </w:r>
          </w:p>
        </w:tc>
      </w:tr>
      <w:tr w:rsidR="0080773F" w:rsidRPr="00BA1D24" w14:paraId="13CDBD9C"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30BFC69B" w14:textId="77777777" w:rsidR="0080773F" w:rsidRPr="004728D6" w:rsidRDefault="0080773F" w:rsidP="0080773F">
            <w:pPr>
              <w:spacing w:after="0" w:line="240" w:lineRule="auto"/>
              <w:rPr>
                <w:bCs/>
                <w:color w:val="000000"/>
                <w:sz w:val="20"/>
              </w:rPr>
            </w:pPr>
            <w:r w:rsidRPr="004728D6">
              <w:rPr>
                <w:color w:val="000000"/>
                <w:sz w:val="20"/>
              </w:rPr>
              <w:t>Asian</w:t>
            </w:r>
          </w:p>
        </w:tc>
        <w:tc>
          <w:tcPr>
            <w:tcW w:w="1635" w:type="dxa"/>
            <w:tcBorders>
              <w:top w:val="nil"/>
              <w:left w:val="nil"/>
              <w:bottom w:val="nil"/>
              <w:right w:val="nil"/>
            </w:tcBorders>
            <w:shd w:val="clear" w:color="auto" w:fill="auto"/>
            <w:vAlign w:val="center"/>
          </w:tcPr>
          <w:p w14:paraId="4832F902" w14:textId="77777777" w:rsidR="0080773F" w:rsidRPr="001D3149" w:rsidRDefault="0080773F" w:rsidP="0080773F">
            <w:pPr>
              <w:spacing w:after="0" w:line="240" w:lineRule="auto"/>
              <w:jc w:val="center"/>
              <w:rPr>
                <w:b/>
                <w:bCs/>
                <w:color w:val="000000"/>
                <w:sz w:val="20"/>
              </w:rPr>
            </w:pPr>
            <w:r w:rsidRPr="001D3149">
              <w:rPr>
                <w:color w:val="000000"/>
                <w:sz w:val="20"/>
              </w:rPr>
              <w:t>2.9%</w:t>
            </w:r>
          </w:p>
        </w:tc>
        <w:tc>
          <w:tcPr>
            <w:tcW w:w="1440" w:type="dxa"/>
            <w:tcBorders>
              <w:top w:val="nil"/>
              <w:left w:val="nil"/>
              <w:bottom w:val="nil"/>
              <w:right w:val="nil"/>
            </w:tcBorders>
            <w:shd w:val="clear" w:color="auto" w:fill="auto"/>
            <w:vAlign w:val="center"/>
          </w:tcPr>
          <w:p w14:paraId="66878D41" w14:textId="77777777" w:rsidR="0080773F" w:rsidRPr="001D3149" w:rsidRDefault="0080773F" w:rsidP="0080773F">
            <w:pPr>
              <w:spacing w:after="0" w:line="240" w:lineRule="auto"/>
              <w:jc w:val="center"/>
              <w:rPr>
                <w:sz w:val="20"/>
              </w:rPr>
            </w:pPr>
            <w:r w:rsidRPr="001D3149">
              <w:rPr>
                <w:color w:val="000000"/>
                <w:sz w:val="20"/>
              </w:rPr>
              <w:t>3.4%</w:t>
            </w:r>
          </w:p>
        </w:tc>
        <w:tc>
          <w:tcPr>
            <w:tcW w:w="1569" w:type="dxa"/>
            <w:tcBorders>
              <w:top w:val="nil"/>
              <w:left w:val="nil"/>
              <w:bottom w:val="nil"/>
              <w:right w:val="nil"/>
            </w:tcBorders>
            <w:shd w:val="clear" w:color="auto" w:fill="auto"/>
            <w:vAlign w:val="center"/>
          </w:tcPr>
          <w:p w14:paraId="7942D40C" w14:textId="77777777" w:rsidR="0080773F" w:rsidRPr="001D3149" w:rsidRDefault="0080773F" w:rsidP="0080773F">
            <w:pPr>
              <w:spacing w:after="0" w:line="240" w:lineRule="auto"/>
              <w:jc w:val="center"/>
              <w:rPr>
                <w:color w:val="000000"/>
                <w:sz w:val="20"/>
              </w:rPr>
            </w:pPr>
            <w:r w:rsidRPr="001D3149">
              <w:rPr>
                <w:color w:val="000000"/>
                <w:sz w:val="20"/>
              </w:rPr>
              <w:t>1.8%</w:t>
            </w:r>
          </w:p>
        </w:tc>
      </w:tr>
      <w:tr w:rsidR="0080773F" w:rsidRPr="00BA1D24" w14:paraId="2A2159BA"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56EFB6DA" w14:textId="77777777" w:rsidR="0080773F" w:rsidRPr="004728D6" w:rsidRDefault="0080773F" w:rsidP="0080773F">
            <w:pPr>
              <w:spacing w:after="0" w:line="240" w:lineRule="auto"/>
              <w:rPr>
                <w:bCs/>
                <w:color w:val="000000"/>
                <w:sz w:val="20"/>
              </w:rPr>
            </w:pPr>
            <w:r w:rsidRPr="004728D6">
              <w:rPr>
                <w:color w:val="000000"/>
                <w:sz w:val="20"/>
              </w:rPr>
              <w:t>Other</w:t>
            </w:r>
          </w:p>
        </w:tc>
        <w:tc>
          <w:tcPr>
            <w:tcW w:w="1635" w:type="dxa"/>
            <w:tcBorders>
              <w:top w:val="nil"/>
              <w:left w:val="nil"/>
              <w:bottom w:val="nil"/>
              <w:right w:val="nil"/>
            </w:tcBorders>
            <w:shd w:val="clear" w:color="auto" w:fill="auto"/>
            <w:vAlign w:val="center"/>
          </w:tcPr>
          <w:p w14:paraId="4546B757" w14:textId="77777777" w:rsidR="0080773F" w:rsidRPr="001D3149" w:rsidRDefault="0080773F" w:rsidP="0080773F">
            <w:pPr>
              <w:spacing w:after="0" w:line="240" w:lineRule="auto"/>
              <w:jc w:val="center"/>
              <w:rPr>
                <w:b/>
                <w:bCs/>
                <w:color w:val="000000"/>
                <w:sz w:val="20"/>
              </w:rPr>
            </w:pPr>
            <w:r w:rsidRPr="001D3149">
              <w:rPr>
                <w:color w:val="000000"/>
                <w:sz w:val="20"/>
              </w:rPr>
              <w:t>1</w:t>
            </w:r>
            <w:r>
              <w:rPr>
                <w:color w:val="000000"/>
                <w:sz w:val="20"/>
              </w:rPr>
              <w:t>.7</w:t>
            </w:r>
            <w:r w:rsidRPr="001D3149">
              <w:rPr>
                <w:color w:val="000000"/>
                <w:sz w:val="20"/>
              </w:rPr>
              <w:t>%</w:t>
            </w:r>
          </w:p>
        </w:tc>
        <w:tc>
          <w:tcPr>
            <w:tcW w:w="1440" w:type="dxa"/>
            <w:tcBorders>
              <w:top w:val="nil"/>
              <w:left w:val="nil"/>
              <w:bottom w:val="nil"/>
              <w:right w:val="nil"/>
            </w:tcBorders>
            <w:shd w:val="clear" w:color="auto" w:fill="auto"/>
            <w:vAlign w:val="center"/>
          </w:tcPr>
          <w:p w14:paraId="44F45EE5" w14:textId="77777777" w:rsidR="0080773F" w:rsidRPr="001D3149" w:rsidRDefault="0080773F" w:rsidP="0080773F">
            <w:pPr>
              <w:spacing w:after="0" w:line="240" w:lineRule="auto"/>
              <w:jc w:val="center"/>
              <w:rPr>
                <w:sz w:val="20"/>
              </w:rPr>
            </w:pPr>
            <w:r w:rsidRPr="001D3149">
              <w:rPr>
                <w:color w:val="000000"/>
                <w:sz w:val="20"/>
              </w:rPr>
              <w:t>1</w:t>
            </w:r>
            <w:r>
              <w:rPr>
                <w:color w:val="000000"/>
                <w:sz w:val="20"/>
              </w:rPr>
              <w:t>.9</w:t>
            </w:r>
            <w:r w:rsidRPr="001D3149">
              <w:rPr>
                <w:color w:val="000000"/>
                <w:sz w:val="20"/>
              </w:rPr>
              <w:t>%</w:t>
            </w:r>
          </w:p>
        </w:tc>
        <w:tc>
          <w:tcPr>
            <w:tcW w:w="1569" w:type="dxa"/>
            <w:tcBorders>
              <w:top w:val="nil"/>
              <w:left w:val="nil"/>
              <w:bottom w:val="nil"/>
              <w:right w:val="nil"/>
            </w:tcBorders>
            <w:shd w:val="clear" w:color="auto" w:fill="auto"/>
            <w:vAlign w:val="center"/>
          </w:tcPr>
          <w:p w14:paraId="6DE94C4F" w14:textId="77777777" w:rsidR="0080773F" w:rsidRPr="001D3149" w:rsidRDefault="0080773F" w:rsidP="0080773F">
            <w:pPr>
              <w:spacing w:after="0" w:line="240" w:lineRule="auto"/>
              <w:jc w:val="center"/>
              <w:rPr>
                <w:color w:val="000000"/>
                <w:sz w:val="20"/>
              </w:rPr>
            </w:pPr>
            <w:r>
              <w:rPr>
                <w:color w:val="000000"/>
                <w:sz w:val="20"/>
              </w:rPr>
              <w:t>1.3</w:t>
            </w:r>
            <w:r w:rsidRPr="001D3149">
              <w:rPr>
                <w:color w:val="000000"/>
                <w:sz w:val="20"/>
              </w:rPr>
              <w:t>%</w:t>
            </w:r>
          </w:p>
        </w:tc>
      </w:tr>
      <w:tr w:rsidR="0080773F" w:rsidRPr="00BA1D24" w14:paraId="2F1FFFAB" w14:textId="77777777" w:rsidTr="00AA0EB2">
        <w:trPr>
          <w:trHeight w:val="144"/>
          <w:jc w:val="center"/>
        </w:trPr>
        <w:tc>
          <w:tcPr>
            <w:tcW w:w="4536" w:type="dxa"/>
            <w:tcBorders>
              <w:top w:val="nil"/>
              <w:left w:val="nil"/>
              <w:bottom w:val="nil"/>
              <w:right w:val="nil"/>
            </w:tcBorders>
            <w:shd w:val="clear" w:color="auto" w:fill="auto"/>
            <w:vAlign w:val="center"/>
          </w:tcPr>
          <w:p w14:paraId="5C7C051E" w14:textId="77777777" w:rsidR="0080773F" w:rsidRPr="004728D6" w:rsidRDefault="0080773F" w:rsidP="0080773F">
            <w:pPr>
              <w:spacing w:after="0" w:line="240" w:lineRule="auto"/>
              <w:rPr>
                <w:bCs/>
                <w:color w:val="000000"/>
                <w:sz w:val="20"/>
              </w:rPr>
            </w:pPr>
            <w:r w:rsidRPr="004728D6">
              <w:rPr>
                <w:bCs/>
                <w:color w:val="000000"/>
                <w:sz w:val="20"/>
              </w:rPr>
              <w:t>Geographic Region</w:t>
            </w:r>
          </w:p>
        </w:tc>
        <w:tc>
          <w:tcPr>
            <w:tcW w:w="1635" w:type="dxa"/>
            <w:tcBorders>
              <w:top w:val="nil"/>
              <w:left w:val="nil"/>
              <w:bottom w:val="nil"/>
              <w:right w:val="nil"/>
            </w:tcBorders>
            <w:shd w:val="clear" w:color="auto" w:fill="auto"/>
            <w:vAlign w:val="bottom"/>
          </w:tcPr>
          <w:p w14:paraId="1CDD33DB" w14:textId="77777777" w:rsidR="0080773F" w:rsidRPr="001D3149" w:rsidRDefault="0080773F" w:rsidP="0080773F">
            <w:pPr>
              <w:spacing w:after="0" w:line="240" w:lineRule="auto"/>
              <w:jc w:val="center"/>
              <w:rPr>
                <w:b/>
                <w:bCs/>
                <w:color w:val="000000"/>
                <w:sz w:val="20"/>
              </w:rPr>
            </w:pPr>
          </w:p>
        </w:tc>
        <w:tc>
          <w:tcPr>
            <w:tcW w:w="1440" w:type="dxa"/>
            <w:tcBorders>
              <w:top w:val="nil"/>
              <w:left w:val="nil"/>
              <w:bottom w:val="nil"/>
              <w:right w:val="nil"/>
            </w:tcBorders>
            <w:shd w:val="clear" w:color="auto" w:fill="auto"/>
            <w:vAlign w:val="center"/>
          </w:tcPr>
          <w:p w14:paraId="6D1B17DF" w14:textId="77777777" w:rsidR="0080773F" w:rsidRPr="001D3149" w:rsidRDefault="0080773F" w:rsidP="0080773F">
            <w:pPr>
              <w:spacing w:after="0" w:line="240" w:lineRule="auto"/>
              <w:jc w:val="center"/>
              <w:rPr>
                <w:sz w:val="20"/>
              </w:rPr>
            </w:pPr>
          </w:p>
        </w:tc>
        <w:tc>
          <w:tcPr>
            <w:tcW w:w="1569" w:type="dxa"/>
            <w:tcBorders>
              <w:top w:val="nil"/>
              <w:left w:val="nil"/>
              <w:bottom w:val="nil"/>
              <w:right w:val="nil"/>
            </w:tcBorders>
            <w:shd w:val="clear" w:color="auto" w:fill="auto"/>
            <w:vAlign w:val="center"/>
          </w:tcPr>
          <w:p w14:paraId="436FB282" w14:textId="77777777" w:rsidR="0080773F" w:rsidRPr="001D3149" w:rsidRDefault="0080773F" w:rsidP="0080773F">
            <w:pPr>
              <w:spacing w:after="0" w:line="240" w:lineRule="auto"/>
              <w:jc w:val="center"/>
              <w:rPr>
                <w:color w:val="000000"/>
                <w:sz w:val="20"/>
              </w:rPr>
            </w:pPr>
          </w:p>
        </w:tc>
      </w:tr>
      <w:tr w:rsidR="0080773F" w:rsidRPr="00BA1D24" w14:paraId="5D5214E2"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799FFFCF" w14:textId="77777777" w:rsidR="0080773F" w:rsidRPr="004728D6" w:rsidRDefault="0080773F" w:rsidP="0080773F">
            <w:pPr>
              <w:spacing w:after="0" w:line="240" w:lineRule="auto"/>
              <w:rPr>
                <w:bCs/>
                <w:color w:val="000000"/>
                <w:sz w:val="20"/>
              </w:rPr>
            </w:pPr>
            <w:r w:rsidRPr="004728D6">
              <w:rPr>
                <w:color w:val="000000"/>
                <w:sz w:val="20"/>
              </w:rPr>
              <w:t>Midwest</w:t>
            </w:r>
          </w:p>
        </w:tc>
        <w:tc>
          <w:tcPr>
            <w:tcW w:w="1635" w:type="dxa"/>
            <w:tcBorders>
              <w:top w:val="nil"/>
              <w:left w:val="nil"/>
              <w:bottom w:val="nil"/>
              <w:right w:val="nil"/>
            </w:tcBorders>
            <w:shd w:val="clear" w:color="auto" w:fill="auto"/>
            <w:vAlign w:val="center"/>
          </w:tcPr>
          <w:p w14:paraId="0A25AD5A" w14:textId="77777777" w:rsidR="0080773F" w:rsidRPr="001D3149" w:rsidRDefault="0080773F" w:rsidP="0080773F">
            <w:pPr>
              <w:spacing w:after="0" w:line="240" w:lineRule="auto"/>
              <w:jc w:val="center"/>
              <w:rPr>
                <w:b/>
                <w:bCs/>
                <w:color w:val="000000"/>
                <w:sz w:val="20"/>
              </w:rPr>
            </w:pPr>
            <w:r w:rsidRPr="001D3149">
              <w:rPr>
                <w:color w:val="000000"/>
                <w:sz w:val="20"/>
              </w:rPr>
              <w:t>16.1%</w:t>
            </w:r>
          </w:p>
        </w:tc>
        <w:tc>
          <w:tcPr>
            <w:tcW w:w="1440" w:type="dxa"/>
            <w:tcBorders>
              <w:top w:val="nil"/>
              <w:left w:val="nil"/>
              <w:bottom w:val="nil"/>
              <w:right w:val="nil"/>
            </w:tcBorders>
            <w:shd w:val="clear" w:color="auto" w:fill="auto"/>
            <w:vAlign w:val="center"/>
          </w:tcPr>
          <w:p w14:paraId="627800A1" w14:textId="77777777" w:rsidR="0080773F" w:rsidRPr="001D3149" w:rsidRDefault="0080773F" w:rsidP="0080773F">
            <w:pPr>
              <w:spacing w:after="0" w:line="240" w:lineRule="auto"/>
              <w:jc w:val="center"/>
              <w:rPr>
                <w:sz w:val="20"/>
              </w:rPr>
            </w:pPr>
            <w:r w:rsidRPr="001D3149">
              <w:rPr>
                <w:color w:val="000000"/>
                <w:sz w:val="20"/>
              </w:rPr>
              <w:t>15.1%</w:t>
            </w:r>
          </w:p>
        </w:tc>
        <w:tc>
          <w:tcPr>
            <w:tcW w:w="1569" w:type="dxa"/>
            <w:tcBorders>
              <w:top w:val="nil"/>
              <w:left w:val="nil"/>
              <w:bottom w:val="nil"/>
              <w:right w:val="nil"/>
            </w:tcBorders>
            <w:shd w:val="clear" w:color="auto" w:fill="auto"/>
            <w:vAlign w:val="center"/>
          </w:tcPr>
          <w:p w14:paraId="30BCFD67" w14:textId="77777777" w:rsidR="0080773F" w:rsidRPr="001D3149" w:rsidRDefault="0080773F" w:rsidP="0080773F">
            <w:pPr>
              <w:spacing w:after="0" w:line="240" w:lineRule="auto"/>
              <w:jc w:val="center"/>
              <w:rPr>
                <w:color w:val="000000"/>
                <w:sz w:val="20"/>
              </w:rPr>
            </w:pPr>
            <w:r w:rsidRPr="001D3149">
              <w:rPr>
                <w:color w:val="000000"/>
                <w:sz w:val="20"/>
              </w:rPr>
              <w:t>17.8%</w:t>
            </w:r>
          </w:p>
        </w:tc>
      </w:tr>
      <w:tr w:rsidR="0080773F" w:rsidRPr="00BA1D24" w14:paraId="2DA280C8"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30F81258" w14:textId="77777777" w:rsidR="0080773F" w:rsidRPr="004728D6" w:rsidRDefault="0080773F" w:rsidP="0080773F">
            <w:pPr>
              <w:spacing w:after="0" w:line="240" w:lineRule="auto"/>
              <w:rPr>
                <w:bCs/>
                <w:color w:val="000000"/>
                <w:sz w:val="20"/>
              </w:rPr>
            </w:pPr>
            <w:r w:rsidRPr="004728D6">
              <w:rPr>
                <w:color w:val="000000"/>
                <w:sz w:val="20"/>
              </w:rPr>
              <w:t>Northeast</w:t>
            </w:r>
          </w:p>
        </w:tc>
        <w:tc>
          <w:tcPr>
            <w:tcW w:w="1635" w:type="dxa"/>
            <w:tcBorders>
              <w:top w:val="nil"/>
              <w:left w:val="nil"/>
              <w:bottom w:val="nil"/>
              <w:right w:val="nil"/>
            </w:tcBorders>
            <w:shd w:val="clear" w:color="auto" w:fill="auto"/>
            <w:vAlign w:val="center"/>
          </w:tcPr>
          <w:p w14:paraId="37E4978E" w14:textId="77777777" w:rsidR="0080773F" w:rsidRPr="001D3149" w:rsidRDefault="0080773F" w:rsidP="0080773F">
            <w:pPr>
              <w:spacing w:after="0" w:line="240" w:lineRule="auto"/>
              <w:jc w:val="center"/>
              <w:rPr>
                <w:b/>
                <w:bCs/>
                <w:color w:val="000000"/>
                <w:sz w:val="20"/>
              </w:rPr>
            </w:pPr>
            <w:r w:rsidRPr="001D3149">
              <w:rPr>
                <w:color w:val="000000"/>
                <w:sz w:val="20"/>
              </w:rPr>
              <w:t>20.5%</w:t>
            </w:r>
          </w:p>
        </w:tc>
        <w:tc>
          <w:tcPr>
            <w:tcW w:w="1440" w:type="dxa"/>
            <w:tcBorders>
              <w:top w:val="nil"/>
              <w:left w:val="nil"/>
              <w:bottom w:val="nil"/>
              <w:right w:val="nil"/>
            </w:tcBorders>
            <w:shd w:val="clear" w:color="auto" w:fill="auto"/>
            <w:vAlign w:val="center"/>
          </w:tcPr>
          <w:p w14:paraId="5796F767" w14:textId="77777777" w:rsidR="0080773F" w:rsidRPr="001D3149" w:rsidRDefault="0080773F" w:rsidP="0080773F">
            <w:pPr>
              <w:spacing w:after="0" w:line="240" w:lineRule="auto"/>
              <w:jc w:val="center"/>
              <w:rPr>
                <w:sz w:val="20"/>
              </w:rPr>
            </w:pPr>
            <w:r w:rsidRPr="001D3149">
              <w:rPr>
                <w:color w:val="000000"/>
                <w:sz w:val="20"/>
              </w:rPr>
              <w:t>20.6%</w:t>
            </w:r>
          </w:p>
        </w:tc>
        <w:tc>
          <w:tcPr>
            <w:tcW w:w="1569" w:type="dxa"/>
            <w:tcBorders>
              <w:top w:val="nil"/>
              <w:left w:val="nil"/>
              <w:bottom w:val="nil"/>
              <w:right w:val="nil"/>
            </w:tcBorders>
            <w:shd w:val="clear" w:color="auto" w:fill="auto"/>
            <w:vAlign w:val="center"/>
          </w:tcPr>
          <w:p w14:paraId="559E1BEF" w14:textId="77777777" w:rsidR="0080773F" w:rsidRPr="001D3149" w:rsidRDefault="0080773F" w:rsidP="0080773F">
            <w:pPr>
              <w:spacing w:after="0" w:line="240" w:lineRule="auto"/>
              <w:jc w:val="center"/>
              <w:rPr>
                <w:color w:val="000000"/>
                <w:sz w:val="20"/>
              </w:rPr>
            </w:pPr>
            <w:r w:rsidRPr="001D3149">
              <w:rPr>
                <w:color w:val="000000"/>
                <w:sz w:val="20"/>
              </w:rPr>
              <w:t>20.3%</w:t>
            </w:r>
          </w:p>
        </w:tc>
      </w:tr>
      <w:tr w:rsidR="0080773F" w:rsidRPr="00BA1D24" w14:paraId="279E4380"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4E335425" w14:textId="77777777" w:rsidR="0080773F" w:rsidRPr="004728D6" w:rsidRDefault="0080773F" w:rsidP="0080773F">
            <w:pPr>
              <w:spacing w:after="0" w:line="240" w:lineRule="auto"/>
              <w:rPr>
                <w:bCs/>
                <w:color w:val="000000"/>
                <w:sz w:val="20"/>
              </w:rPr>
            </w:pPr>
            <w:r w:rsidRPr="004728D6">
              <w:rPr>
                <w:color w:val="000000"/>
                <w:sz w:val="20"/>
              </w:rPr>
              <w:t>South</w:t>
            </w:r>
          </w:p>
        </w:tc>
        <w:tc>
          <w:tcPr>
            <w:tcW w:w="1635" w:type="dxa"/>
            <w:tcBorders>
              <w:top w:val="nil"/>
              <w:left w:val="nil"/>
              <w:bottom w:val="nil"/>
              <w:right w:val="nil"/>
            </w:tcBorders>
            <w:shd w:val="clear" w:color="auto" w:fill="auto"/>
            <w:vAlign w:val="center"/>
          </w:tcPr>
          <w:p w14:paraId="222FE0F7" w14:textId="77777777" w:rsidR="0080773F" w:rsidRPr="001D3149" w:rsidRDefault="0080773F" w:rsidP="0080773F">
            <w:pPr>
              <w:spacing w:after="0" w:line="240" w:lineRule="auto"/>
              <w:jc w:val="center"/>
              <w:rPr>
                <w:b/>
                <w:bCs/>
                <w:color w:val="000000"/>
                <w:sz w:val="20"/>
              </w:rPr>
            </w:pPr>
            <w:r w:rsidRPr="001D3149">
              <w:rPr>
                <w:color w:val="000000"/>
                <w:sz w:val="20"/>
              </w:rPr>
              <w:t>29.0%</w:t>
            </w:r>
          </w:p>
        </w:tc>
        <w:tc>
          <w:tcPr>
            <w:tcW w:w="1440" w:type="dxa"/>
            <w:tcBorders>
              <w:top w:val="nil"/>
              <w:left w:val="nil"/>
              <w:bottom w:val="nil"/>
              <w:right w:val="nil"/>
            </w:tcBorders>
            <w:shd w:val="clear" w:color="auto" w:fill="auto"/>
            <w:vAlign w:val="center"/>
          </w:tcPr>
          <w:p w14:paraId="21D62F2F" w14:textId="77777777" w:rsidR="0080773F" w:rsidRPr="001D3149" w:rsidRDefault="0080773F" w:rsidP="0080773F">
            <w:pPr>
              <w:spacing w:after="0" w:line="240" w:lineRule="auto"/>
              <w:jc w:val="center"/>
              <w:rPr>
                <w:sz w:val="20"/>
              </w:rPr>
            </w:pPr>
            <w:r w:rsidRPr="001D3149">
              <w:rPr>
                <w:color w:val="000000"/>
                <w:sz w:val="20"/>
              </w:rPr>
              <w:t>29.0%</w:t>
            </w:r>
          </w:p>
        </w:tc>
        <w:tc>
          <w:tcPr>
            <w:tcW w:w="1569" w:type="dxa"/>
            <w:tcBorders>
              <w:top w:val="nil"/>
              <w:left w:val="nil"/>
              <w:bottom w:val="nil"/>
              <w:right w:val="nil"/>
            </w:tcBorders>
            <w:shd w:val="clear" w:color="auto" w:fill="auto"/>
            <w:vAlign w:val="center"/>
          </w:tcPr>
          <w:p w14:paraId="30DCF48B" w14:textId="77777777" w:rsidR="0080773F" w:rsidRPr="001D3149" w:rsidRDefault="0080773F" w:rsidP="0080773F">
            <w:pPr>
              <w:spacing w:after="0" w:line="240" w:lineRule="auto"/>
              <w:jc w:val="center"/>
              <w:rPr>
                <w:color w:val="000000"/>
                <w:sz w:val="20"/>
              </w:rPr>
            </w:pPr>
            <w:r w:rsidRPr="001D3149">
              <w:rPr>
                <w:color w:val="000000"/>
                <w:sz w:val="20"/>
              </w:rPr>
              <w:t>29.0%</w:t>
            </w:r>
          </w:p>
        </w:tc>
      </w:tr>
      <w:tr w:rsidR="0080773F" w:rsidRPr="00BA1D24" w14:paraId="0B08010A"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7D905884" w14:textId="77777777" w:rsidR="0080773F" w:rsidRPr="004728D6" w:rsidRDefault="0080773F" w:rsidP="0080773F">
            <w:pPr>
              <w:spacing w:after="0" w:line="240" w:lineRule="auto"/>
              <w:rPr>
                <w:bCs/>
                <w:color w:val="000000"/>
                <w:sz w:val="20"/>
              </w:rPr>
            </w:pPr>
            <w:r w:rsidRPr="004728D6">
              <w:rPr>
                <w:color w:val="000000"/>
                <w:sz w:val="20"/>
              </w:rPr>
              <w:t>West</w:t>
            </w:r>
          </w:p>
        </w:tc>
        <w:tc>
          <w:tcPr>
            <w:tcW w:w="1635" w:type="dxa"/>
            <w:tcBorders>
              <w:top w:val="nil"/>
              <w:left w:val="nil"/>
              <w:bottom w:val="nil"/>
              <w:right w:val="nil"/>
            </w:tcBorders>
            <w:shd w:val="clear" w:color="auto" w:fill="auto"/>
            <w:vAlign w:val="center"/>
          </w:tcPr>
          <w:p w14:paraId="25A0CA0C" w14:textId="77777777" w:rsidR="0080773F" w:rsidRPr="001D3149" w:rsidRDefault="0080773F" w:rsidP="0080773F">
            <w:pPr>
              <w:spacing w:after="0" w:line="240" w:lineRule="auto"/>
              <w:jc w:val="center"/>
              <w:rPr>
                <w:b/>
                <w:bCs/>
                <w:color w:val="000000"/>
                <w:sz w:val="20"/>
              </w:rPr>
            </w:pPr>
            <w:r w:rsidRPr="001D3149">
              <w:rPr>
                <w:color w:val="000000"/>
                <w:sz w:val="20"/>
              </w:rPr>
              <w:t>34.4%</w:t>
            </w:r>
          </w:p>
        </w:tc>
        <w:tc>
          <w:tcPr>
            <w:tcW w:w="1440" w:type="dxa"/>
            <w:tcBorders>
              <w:top w:val="nil"/>
              <w:left w:val="nil"/>
              <w:bottom w:val="nil"/>
              <w:right w:val="nil"/>
            </w:tcBorders>
            <w:shd w:val="clear" w:color="auto" w:fill="auto"/>
            <w:vAlign w:val="center"/>
          </w:tcPr>
          <w:p w14:paraId="2473FF36" w14:textId="77777777" w:rsidR="0080773F" w:rsidRPr="001D3149" w:rsidRDefault="0080773F" w:rsidP="0080773F">
            <w:pPr>
              <w:spacing w:after="0" w:line="240" w:lineRule="auto"/>
              <w:jc w:val="center"/>
              <w:rPr>
                <w:sz w:val="20"/>
              </w:rPr>
            </w:pPr>
            <w:r w:rsidRPr="001D3149">
              <w:rPr>
                <w:color w:val="000000"/>
                <w:sz w:val="20"/>
              </w:rPr>
              <w:t>35.3%</w:t>
            </w:r>
          </w:p>
        </w:tc>
        <w:tc>
          <w:tcPr>
            <w:tcW w:w="1569" w:type="dxa"/>
            <w:tcBorders>
              <w:top w:val="nil"/>
              <w:left w:val="nil"/>
              <w:bottom w:val="nil"/>
              <w:right w:val="nil"/>
            </w:tcBorders>
            <w:shd w:val="clear" w:color="auto" w:fill="auto"/>
            <w:vAlign w:val="center"/>
          </w:tcPr>
          <w:p w14:paraId="11126DB9" w14:textId="77777777" w:rsidR="0080773F" w:rsidRPr="001D3149" w:rsidRDefault="0080773F" w:rsidP="0080773F">
            <w:pPr>
              <w:spacing w:after="0" w:line="240" w:lineRule="auto"/>
              <w:jc w:val="center"/>
              <w:rPr>
                <w:color w:val="000000"/>
                <w:sz w:val="20"/>
              </w:rPr>
            </w:pPr>
            <w:r w:rsidRPr="001D3149">
              <w:rPr>
                <w:color w:val="000000"/>
                <w:sz w:val="20"/>
              </w:rPr>
              <w:t>32.8%</w:t>
            </w:r>
          </w:p>
        </w:tc>
      </w:tr>
      <w:tr w:rsidR="0080773F" w:rsidRPr="00BA1D24" w14:paraId="3B2387D1" w14:textId="77777777" w:rsidTr="00AA0EB2">
        <w:trPr>
          <w:trHeight w:val="144"/>
          <w:jc w:val="center"/>
        </w:trPr>
        <w:tc>
          <w:tcPr>
            <w:tcW w:w="4536" w:type="dxa"/>
            <w:tcBorders>
              <w:top w:val="nil"/>
              <w:left w:val="nil"/>
              <w:bottom w:val="nil"/>
              <w:right w:val="nil"/>
            </w:tcBorders>
            <w:shd w:val="clear" w:color="auto" w:fill="auto"/>
            <w:vAlign w:val="center"/>
            <w:hideMark/>
          </w:tcPr>
          <w:p w14:paraId="4D1CA444" w14:textId="77777777" w:rsidR="0080773F" w:rsidRPr="004728D6" w:rsidRDefault="0080773F" w:rsidP="0080773F">
            <w:pPr>
              <w:spacing w:after="0" w:line="240" w:lineRule="auto"/>
              <w:rPr>
                <w:bCs/>
                <w:color w:val="000000"/>
                <w:sz w:val="20"/>
              </w:rPr>
            </w:pPr>
            <w:r w:rsidRPr="004728D6">
              <w:rPr>
                <w:bCs/>
                <w:color w:val="000000"/>
                <w:sz w:val="20"/>
              </w:rPr>
              <w:t>Hospice Length of Stay (days)</w:t>
            </w:r>
          </w:p>
        </w:tc>
        <w:tc>
          <w:tcPr>
            <w:tcW w:w="1635" w:type="dxa"/>
            <w:tcBorders>
              <w:top w:val="nil"/>
              <w:left w:val="nil"/>
              <w:bottom w:val="nil"/>
              <w:right w:val="nil"/>
            </w:tcBorders>
            <w:shd w:val="clear" w:color="auto" w:fill="auto"/>
            <w:vAlign w:val="center"/>
            <w:hideMark/>
          </w:tcPr>
          <w:p w14:paraId="5ED6910E" w14:textId="77777777" w:rsidR="0080773F" w:rsidRPr="001D3149" w:rsidRDefault="0080773F" w:rsidP="0080773F">
            <w:pPr>
              <w:spacing w:after="0" w:line="240" w:lineRule="auto"/>
              <w:rPr>
                <w:b/>
                <w:bCs/>
                <w:color w:val="000000"/>
                <w:sz w:val="20"/>
              </w:rPr>
            </w:pPr>
          </w:p>
        </w:tc>
        <w:tc>
          <w:tcPr>
            <w:tcW w:w="1440" w:type="dxa"/>
            <w:tcBorders>
              <w:top w:val="nil"/>
              <w:left w:val="nil"/>
              <w:bottom w:val="nil"/>
              <w:right w:val="nil"/>
            </w:tcBorders>
            <w:shd w:val="clear" w:color="auto" w:fill="auto"/>
            <w:vAlign w:val="center"/>
            <w:hideMark/>
          </w:tcPr>
          <w:p w14:paraId="6887A372" w14:textId="77777777" w:rsidR="0080773F" w:rsidRPr="001D3149" w:rsidRDefault="0080773F" w:rsidP="0080773F">
            <w:pPr>
              <w:spacing w:after="0" w:line="240" w:lineRule="auto"/>
              <w:rPr>
                <w:sz w:val="20"/>
              </w:rPr>
            </w:pPr>
          </w:p>
        </w:tc>
        <w:tc>
          <w:tcPr>
            <w:tcW w:w="1569" w:type="dxa"/>
            <w:tcBorders>
              <w:top w:val="nil"/>
              <w:left w:val="nil"/>
              <w:bottom w:val="nil"/>
              <w:right w:val="nil"/>
            </w:tcBorders>
            <w:shd w:val="clear" w:color="auto" w:fill="auto"/>
            <w:vAlign w:val="center"/>
            <w:hideMark/>
          </w:tcPr>
          <w:p w14:paraId="369632B1" w14:textId="77777777" w:rsidR="0080773F" w:rsidRPr="001D3149" w:rsidRDefault="0080773F" w:rsidP="0080773F">
            <w:pPr>
              <w:spacing w:after="0" w:line="240" w:lineRule="auto"/>
              <w:jc w:val="center"/>
              <w:rPr>
                <w:color w:val="000000"/>
                <w:sz w:val="20"/>
              </w:rPr>
            </w:pPr>
            <w:r w:rsidRPr="001D3149">
              <w:rPr>
                <w:color w:val="000000"/>
                <w:sz w:val="20"/>
              </w:rPr>
              <w:t> </w:t>
            </w:r>
          </w:p>
        </w:tc>
      </w:tr>
      <w:tr w:rsidR="0080773F" w:rsidRPr="00BA1D24" w14:paraId="7ACE0E1A"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5D1E3CC2" w14:textId="77777777" w:rsidR="0080773F" w:rsidRPr="004728D6" w:rsidRDefault="0080773F" w:rsidP="0080773F">
            <w:pPr>
              <w:spacing w:after="0" w:line="240" w:lineRule="auto"/>
              <w:rPr>
                <w:color w:val="000000"/>
                <w:sz w:val="20"/>
              </w:rPr>
            </w:pPr>
            <w:r w:rsidRPr="004728D6">
              <w:rPr>
                <w:color w:val="000000"/>
                <w:sz w:val="20"/>
              </w:rPr>
              <w:t>Median (IQR)</w:t>
            </w:r>
          </w:p>
        </w:tc>
        <w:tc>
          <w:tcPr>
            <w:tcW w:w="1635" w:type="dxa"/>
            <w:tcBorders>
              <w:top w:val="nil"/>
              <w:left w:val="nil"/>
              <w:bottom w:val="nil"/>
              <w:right w:val="nil"/>
            </w:tcBorders>
            <w:shd w:val="clear" w:color="auto" w:fill="auto"/>
            <w:noWrap/>
            <w:vAlign w:val="center"/>
            <w:hideMark/>
          </w:tcPr>
          <w:p w14:paraId="6C0DC487" w14:textId="77777777" w:rsidR="0080773F" w:rsidRPr="001D3149" w:rsidRDefault="0080773F" w:rsidP="0080773F">
            <w:pPr>
              <w:spacing w:after="0" w:line="240" w:lineRule="auto"/>
              <w:jc w:val="center"/>
              <w:rPr>
                <w:color w:val="000000"/>
                <w:sz w:val="20"/>
              </w:rPr>
            </w:pPr>
            <w:r w:rsidRPr="001D3149">
              <w:rPr>
                <w:color w:val="000000"/>
                <w:sz w:val="20"/>
              </w:rPr>
              <w:t>15 (5-48)</w:t>
            </w:r>
          </w:p>
        </w:tc>
        <w:tc>
          <w:tcPr>
            <w:tcW w:w="1440" w:type="dxa"/>
            <w:tcBorders>
              <w:top w:val="nil"/>
              <w:left w:val="nil"/>
              <w:bottom w:val="nil"/>
              <w:right w:val="nil"/>
            </w:tcBorders>
            <w:shd w:val="clear" w:color="auto" w:fill="auto"/>
            <w:vAlign w:val="center"/>
            <w:hideMark/>
          </w:tcPr>
          <w:p w14:paraId="67395804" w14:textId="77777777" w:rsidR="0080773F" w:rsidRPr="001D3149" w:rsidRDefault="0080773F" w:rsidP="0080773F">
            <w:pPr>
              <w:spacing w:after="0" w:line="240" w:lineRule="auto"/>
              <w:jc w:val="center"/>
              <w:rPr>
                <w:color w:val="000000"/>
                <w:sz w:val="20"/>
              </w:rPr>
            </w:pPr>
            <w:r w:rsidRPr="001D3149">
              <w:rPr>
                <w:color w:val="000000"/>
                <w:sz w:val="20"/>
              </w:rPr>
              <w:t>17 (6-47)</w:t>
            </w:r>
          </w:p>
        </w:tc>
        <w:tc>
          <w:tcPr>
            <w:tcW w:w="1569" w:type="dxa"/>
            <w:tcBorders>
              <w:top w:val="nil"/>
              <w:left w:val="nil"/>
              <w:bottom w:val="nil"/>
              <w:right w:val="nil"/>
            </w:tcBorders>
            <w:shd w:val="clear" w:color="auto" w:fill="auto"/>
            <w:vAlign w:val="center"/>
            <w:hideMark/>
          </w:tcPr>
          <w:p w14:paraId="1DF27DBA" w14:textId="77777777" w:rsidR="0080773F" w:rsidRPr="001D3149" w:rsidRDefault="0080773F" w:rsidP="0080773F">
            <w:pPr>
              <w:spacing w:after="0" w:line="240" w:lineRule="auto"/>
              <w:jc w:val="center"/>
              <w:rPr>
                <w:color w:val="000000"/>
                <w:sz w:val="20"/>
              </w:rPr>
            </w:pPr>
            <w:r w:rsidRPr="001D3149">
              <w:rPr>
                <w:color w:val="000000"/>
                <w:sz w:val="20"/>
              </w:rPr>
              <w:t>12 (4-50)</w:t>
            </w:r>
          </w:p>
        </w:tc>
      </w:tr>
      <w:tr w:rsidR="0080773F" w:rsidRPr="00BA1D24" w14:paraId="5AE62882"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4DFFEADD" w14:textId="77777777" w:rsidR="0080773F" w:rsidRPr="004728D6" w:rsidRDefault="0080773F" w:rsidP="0080773F">
            <w:pPr>
              <w:spacing w:after="0" w:line="240" w:lineRule="auto"/>
              <w:rPr>
                <w:color w:val="000000"/>
                <w:sz w:val="20"/>
              </w:rPr>
            </w:pPr>
            <w:r w:rsidRPr="004728D6">
              <w:rPr>
                <w:color w:val="000000"/>
                <w:sz w:val="20"/>
              </w:rPr>
              <w:t xml:space="preserve">≤7 </w:t>
            </w:r>
          </w:p>
        </w:tc>
        <w:tc>
          <w:tcPr>
            <w:tcW w:w="1635" w:type="dxa"/>
            <w:tcBorders>
              <w:top w:val="nil"/>
              <w:left w:val="nil"/>
              <w:bottom w:val="nil"/>
              <w:right w:val="nil"/>
            </w:tcBorders>
            <w:shd w:val="clear" w:color="auto" w:fill="auto"/>
            <w:noWrap/>
            <w:vAlign w:val="center"/>
            <w:hideMark/>
          </w:tcPr>
          <w:p w14:paraId="6DE1FE05" w14:textId="77777777" w:rsidR="0080773F" w:rsidRPr="001D3149" w:rsidRDefault="0080773F" w:rsidP="0080773F">
            <w:pPr>
              <w:spacing w:after="0" w:line="240" w:lineRule="auto"/>
              <w:jc w:val="center"/>
              <w:rPr>
                <w:color w:val="000000"/>
                <w:sz w:val="20"/>
              </w:rPr>
            </w:pPr>
            <w:r w:rsidRPr="001D3149">
              <w:rPr>
                <w:color w:val="000000"/>
                <w:sz w:val="20"/>
              </w:rPr>
              <w:t>33.3%</w:t>
            </w:r>
          </w:p>
        </w:tc>
        <w:tc>
          <w:tcPr>
            <w:tcW w:w="1440" w:type="dxa"/>
            <w:tcBorders>
              <w:top w:val="nil"/>
              <w:left w:val="nil"/>
              <w:bottom w:val="nil"/>
              <w:right w:val="nil"/>
            </w:tcBorders>
            <w:shd w:val="clear" w:color="auto" w:fill="auto"/>
            <w:vAlign w:val="center"/>
            <w:hideMark/>
          </w:tcPr>
          <w:p w14:paraId="11DAE893" w14:textId="77777777" w:rsidR="0080773F" w:rsidRPr="001D3149" w:rsidRDefault="0080773F" w:rsidP="0080773F">
            <w:pPr>
              <w:spacing w:after="0" w:line="240" w:lineRule="auto"/>
              <w:jc w:val="center"/>
              <w:rPr>
                <w:color w:val="000000"/>
                <w:sz w:val="20"/>
              </w:rPr>
            </w:pPr>
            <w:r w:rsidRPr="001D3149">
              <w:rPr>
                <w:color w:val="000000"/>
                <w:sz w:val="20"/>
              </w:rPr>
              <w:t>29.9%</w:t>
            </w:r>
          </w:p>
        </w:tc>
        <w:tc>
          <w:tcPr>
            <w:tcW w:w="1569" w:type="dxa"/>
            <w:tcBorders>
              <w:top w:val="nil"/>
              <w:left w:val="nil"/>
              <w:bottom w:val="nil"/>
              <w:right w:val="nil"/>
            </w:tcBorders>
            <w:shd w:val="clear" w:color="auto" w:fill="auto"/>
            <w:vAlign w:val="center"/>
            <w:hideMark/>
          </w:tcPr>
          <w:p w14:paraId="16191277" w14:textId="77777777" w:rsidR="0080773F" w:rsidRPr="001D3149" w:rsidRDefault="0080773F" w:rsidP="0080773F">
            <w:pPr>
              <w:spacing w:after="0" w:line="240" w:lineRule="auto"/>
              <w:jc w:val="center"/>
              <w:rPr>
                <w:color w:val="000000"/>
                <w:sz w:val="20"/>
              </w:rPr>
            </w:pPr>
            <w:r w:rsidRPr="001D3149">
              <w:rPr>
                <w:color w:val="000000"/>
                <w:sz w:val="20"/>
              </w:rPr>
              <w:t>39.1%</w:t>
            </w:r>
          </w:p>
        </w:tc>
      </w:tr>
      <w:tr w:rsidR="0080773F" w:rsidRPr="00BA1D24" w14:paraId="725C4058"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4AACF5CB" w14:textId="77777777" w:rsidR="0080773F" w:rsidRPr="004728D6" w:rsidRDefault="0080773F" w:rsidP="0080773F">
            <w:pPr>
              <w:spacing w:after="0" w:line="240" w:lineRule="auto"/>
              <w:rPr>
                <w:color w:val="000000"/>
                <w:sz w:val="20"/>
              </w:rPr>
            </w:pPr>
            <w:r w:rsidRPr="004728D6">
              <w:rPr>
                <w:color w:val="000000"/>
                <w:sz w:val="20"/>
              </w:rPr>
              <w:t xml:space="preserve">8-14 </w:t>
            </w:r>
          </w:p>
        </w:tc>
        <w:tc>
          <w:tcPr>
            <w:tcW w:w="1635" w:type="dxa"/>
            <w:tcBorders>
              <w:top w:val="nil"/>
              <w:left w:val="nil"/>
              <w:bottom w:val="nil"/>
              <w:right w:val="nil"/>
            </w:tcBorders>
            <w:shd w:val="clear" w:color="auto" w:fill="auto"/>
            <w:noWrap/>
            <w:vAlign w:val="center"/>
            <w:hideMark/>
          </w:tcPr>
          <w:p w14:paraId="685E3C2B" w14:textId="77777777" w:rsidR="0080773F" w:rsidRPr="001D3149" w:rsidRDefault="0080773F" w:rsidP="0080773F">
            <w:pPr>
              <w:spacing w:after="0" w:line="240" w:lineRule="auto"/>
              <w:jc w:val="center"/>
              <w:rPr>
                <w:color w:val="000000"/>
                <w:sz w:val="20"/>
              </w:rPr>
            </w:pPr>
            <w:r w:rsidRPr="001D3149">
              <w:rPr>
                <w:color w:val="000000"/>
                <w:sz w:val="20"/>
              </w:rPr>
              <w:t>15.7%</w:t>
            </w:r>
          </w:p>
        </w:tc>
        <w:tc>
          <w:tcPr>
            <w:tcW w:w="1440" w:type="dxa"/>
            <w:tcBorders>
              <w:top w:val="nil"/>
              <w:left w:val="nil"/>
              <w:bottom w:val="nil"/>
              <w:right w:val="nil"/>
            </w:tcBorders>
            <w:shd w:val="clear" w:color="auto" w:fill="auto"/>
            <w:vAlign w:val="center"/>
            <w:hideMark/>
          </w:tcPr>
          <w:p w14:paraId="02372C25" w14:textId="77777777" w:rsidR="0080773F" w:rsidRPr="001D3149" w:rsidRDefault="0080773F" w:rsidP="0080773F">
            <w:pPr>
              <w:spacing w:after="0" w:line="240" w:lineRule="auto"/>
              <w:jc w:val="center"/>
              <w:rPr>
                <w:color w:val="000000"/>
                <w:sz w:val="20"/>
              </w:rPr>
            </w:pPr>
            <w:r w:rsidRPr="001D3149">
              <w:rPr>
                <w:color w:val="000000"/>
                <w:sz w:val="20"/>
              </w:rPr>
              <w:t>16.0%</w:t>
            </w:r>
          </w:p>
        </w:tc>
        <w:tc>
          <w:tcPr>
            <w:tcW w:w="1569" w:type="dxa"/>
            <w:tcBorders>
              <w:top w:val="nil"/>
              <w:left w:val="nil"/>
              <w:bottom w:val="nil"/>
              <w:right w:val="nil"/>
            </w:tcBorders>
            <w:shd w:val="clear" w:color="auto" w:fill="auto"/>
            <w:vAlign w:val="center"/>
            <w:hideMark/>
          </w:tcPr>
          <w:p w14:paraId="19A537D9" w14:textId="77777777" w:rsidR="0080773F" w:rsidRPr="001D3149" w:rsidRDefault="0080773F" w:rsidP="0080773F">
            <w:pPr>
              <w:spacing w:after="0" w:line="240" w:lineRule="auto"/>
              <w:jc w:val="center"/>
              <w:rPr>
                <w:color w:val="000000"/>
                <w:sz w:val="20"/>
              </w:rPr>
            </w:pPr>
            <w:r w:rsidRPr="001D3149">
              <w:rPr>
                <w:color w:val="000000"/>
                <w:sz w:val="20"/>
              </w:rPr>
              <w:t>15.2%</w:t>
            </w:r>
          </w:p>
        </w:tc>
      </w:tr>
      <w:tr w:rsidR="0080773F" w:rsidRPr="00BA1D24" w14:paraId="0CCD4917"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581D6FDF" w14:textId="77777777" w:rsidR="0080773F" w:rsidRPr="004728D6" w:rsidRDefault="0080773F" w:rsidP="0080773F">
            <w:pPr>
              <w:spacing w:after="0" w:line="240" w:lineRule="auto"/>
              <w:rPr>
                <w:color w:val="000000"/>
                <w:sz w:val="20"/>
              </w:rPr>
            </w:pPr>
            <w:r w:rsidRPr="004728D6">
              <w:rPr>
                <w:color w:val="000000"/>
                <w:sz w:val="20"/>
              </w:rPr>
              <w:t xml:space="preserve">15-29 </w:t>
            </w:r>
          </w:p>
        </w:tc>
        <w:tc>
          <w:tcPr>
            <w:tcW w:w="1635" w:type="dxa"/>
            <w:tcBorders>
              <w:top w:val="nil"/>
              <w:left w:val="nil"/>
              <w:bottom w:val="nil"/>
              <w:right w:val="nil"/>
            </w:tcBorders>
            <w:shd w:val="clear" w:color="auto" w:fill="auto"/>
            <w:noWrap/>
            <w:vAlign w:val="center"/>
            <w:hideMark/>
          </w:tcPr>
          <w:p w14:paraId="7C599A3F" w14:textId="77777777" w:rsidR="0080773F" w:rsidRPr="001D3149" w:rsidRDefault="0080773F" w:rsidP="0080773F">
            <w:pPr>
              <w:spacing w:after="0" w:line="240" w:lineRule="auto"/>
              <w:jc w:val="center"/>
              <w:rPr>
                <w:color w:val="000000"/>
                <w:sz w:val="20"/>
              </w:rPr>
            </w:pPr>
            <w:r w:rsidRPr="001D3149">
              <w:rPr>
                <w:color w:val="000000"/>
                <w:sz w:val="20"/>
              </w:rPr>
              <w:t>15.9%</w:t>
            </w:r>
          </w:p>
        </w:tc>
        <w:tc>
          <w:tcPr>
            <w:tcW w:w="1440" w:type="dxa"/>
            <w:tcBorders>
              <w:top w:val="nil"/>
              <w:left w:val="nil"/>
              <w:bottom w:val="nil"/>
              <w:right w:val="nil"/>
            </w:tcBorders>
            <w:shd w:val="clear" w:color="auto" w:fill="auto"/>
            <w:vAlign w:val="center"/>
            <w:hideMark/>
          </w:tcPr>
          <w:p w14:paraId="147F53BB" w14:textId="77777777" w:rsidR="0080773F" w:rsidRPr="001D3149" w:rsidRDefault="0080773F" w:rsidP="0080773F">
            <w:pPr>
              <w:spacing w:after="0" w:line="240" w:lineRule="auto"/>
              <w:jc w:val="center"/>
              <w:rPr>
                <w:color w:val="000000"/>
                <w:sz w:val="20"/>
              </w:rPr>
            </w:pPr>
            <w:r w:rsidRPr="001D3149">
              <w:rPr>
                <w:color w:val="000000"/>
                <w:sz w:val="20"/>
              </w:rPr>
              <w:t>17.8%</w:t>
            </w:r>
          </w:p>
        </w:tc>
        <w:tc>
          <w:tcPr>
            <w:tcW w:w="1569" w:type="dxa"/>
            <w:tcBorders>
              <w:top w:val="nil"/>
              <w:left w:val="nil"/>
              <w:bottom w:val="nil"/>
              <w:right w:val="nil"/>
            </w:tcBorders>
            <w:shd w:val="clear" w:color="auto" w:fill="auto"/>
            <w:vAlign w:val="center"/>
            <w:hideMark/>
          </w:tcPr>
          <w:p w14:paraId="73BBF5B0" w14:textId="77777777" w:rsidR="0080773F" w:rsidRPr="001D3149" w:rsidRDefault="0080773F" w:rsidP="0080773F">
            <w:pPr>
              <w:spacing w:after="0" w:line="240" w:lineRule="auto"/>
              <w:jc w:val="center"/>
              <w:rPr>
                <w:color w:val="000000"/>
                <w:sz w:val="20"/>
              </w:rPr>
            </w:pPr>
            <w:r w:rsidRPr="001D3149">
              <w:rPr>
                <w:color w:val="000000"/>
                <w:sz w:val="20"/>
              </w:rPr>
              <w:t>12.7%</w:t>
            </w:r>
          </w:p>
        </w:tc>
      </w:tr>
      <w:tr w:rsidR="0080773F" w:rsidRPr="00BA1D24" w14:paraId="7A57FCF9"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3A79BD6A" w14:textId="77777777" w:rsidR="0080773F" w:rsidRPr="004728D6" w:rsidRDefault="0080773F" w:rsidP="0080773F">
            <w:pPr>
              <w:spacing w:after="0" w:line="240" w:lineRule="auto"/>
              <w:rPr>
                <w:color w:val="000000"/>
                <w:sz w:val="20"/>
              </w:rPr>
            </w:pPr>
            <w:r w:rsidRPr="004728D6">
              <w:rPr>
                <w:color w:val="000000"/>
                <w:sz w:val="20"/>
              </w:rPr>
              <w:t xml:space="preserve">30-89 </w:t>
            </w:r>
          </w:p>
        </w:tc>
        <w:tc>
          <w:tcPr>
            <w:tcW w:w="1635" w:type="dxa"/>
            <w:tcBorders>
              <w:top w:val="nil"/>
              <w:left w:val="nil"/>
              <w:bottom w:val="nil"/>
              <w:right w:val="nil"/>
            </w:tcBorders>
            <w:shd w:val="clear" w:color="auto" w:fill="auto"/>
            <w:noWrap/>
            <w:vAlign w:val="center"/>
            <w:hideMark/>
          </w:tcPr>
          <w:p w14:paraId="6B645EFA" w14:textId="77777777" w:rsidR="0080773F" w:rsidRPr="001D3149" w:rsidRDefault="0080773F" w:rsidP="0080773F">
            <w:pPr>
              <w:spacing w:after="0" w:line="240" w:lineRule="auto"/>
              <w:jc w:val="center"/>
              <w:rPr>
                <w:color w:val="000000"/>
                <w:sz w:val="20"/>
              </w:rPr>
            </w:pPr>
            <w:r w:rsidRPr="001D3149">
              <w:rPr>
                <w:color w:val="000000"/>
                <w:sz w:val="20"/>
              </w:rPr>
              <w:t>20.5%</w:t>
            </w:r>
          </w:p>
        </w:tc>
        <w:tc>
          <w:tcPr>
            <w:tcW w:w="1440" w:type="dxa"/>
            <w:tcBorders>
              <w:top w:val="nil"/>
              <w:left w:val="nil"/>
              <w:bottom w:val="nil"/>
              <w:right w:val="nil"/>
            </w:tcBorders>
            <w:shd w:val="clear" w:color="auto" w:fill="auto"/>
            <w:vAlign w:val="center"/>
            <w:hideMark/>
          </w:tcPr>
          <w:p w14:paraId="049C8400" w14:textId="77777777" w:rsidR="0080773F" w:rsidRPr="001D3149" w:rsidRDefault="0080773F" w:rsidP="0080773F">
            <w:pPr>
              <w:spacing w:after="0" w:line="240" w:lineRule="auto"/>
              <w:jc w:val="center"/>
              <w:rPr>
                <w:color w:val="000000"/>
                <w:sz w:val="20"/>
              </w:rPr>
            </w:pPr>
            <w:r w:rsidRPr="001D3149">
              <w:rPr>
                <w:color w:val="000000"/>
                <w:sz w:val="20"/>
              </w:rPr>
              <w:t>23.3%</w:t>
            </w:r>
          </w:p>
        </w:tc>
        <w:tc>
          <w:tcPr>
            <w:tcW w:w="1569" w:type="dxa"/>
            <w:tcBorders>
              <w:top w:val="nil"/>
              <w:left w:val="nil"/>
              <w:bottom w:val="nil"/>
              <w:right w:val="nil"/>
            </w:tcBorders>
            <w:shd w:val="clear" w:color="auto" w:fill="auto"/>
            <w:vAlign w:val="center"/>
            <w:hideMark/>
          </w:tcPr>
          <w:p w14:paraId="0380AC20" w14:textId="77777777" w:rsidR="0080773F" w:rsidRPr="001D3149" w:rsidRDefault="0080773F" w:rsidP="0080773F">
            <w:pPr>
              <w:spacing w:after="0" w:line="240" w:lineRule="auto"/>
              <w:jc w:val="center"/>
              <w:rPr>
                <w:color w:val="000000"/>
                <w:sz w:val="20"/>
              </w:rPr>
            </w:pPr>
            <w:r w:rsidRPr="001D3149">
              <w:rPr>
                <w:color w:val="000000"/>
                <w:sz w:val="20"/>
              </w:rPr>
              <w:t>15.6%</w:t>
            </w:r>
          </w:p>
        </w:tc>
      </w:tr>
      <w:tr w:rsidR="0080773F" w:rsidRPr="00BA1D24" w14:paraId="18311CC2"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1C90C2E3" w14:textId="77777777" w:rsidR="0080773F" w:rsidRPr="004728D6" w:rsidRDefault="0080773F" w:rsidP="0080773F">
            <w:pPr>
              <w:spacing w:after="0" w:line="240" w:lineRule="auto"/>
              <w:rPr>
                <w:color w:val="000000"/>
                <w:sz w:val="20"/>
              </w:rPr>
            </w:pPr>
            <w:r w:rsidRPr="004728D6">
              <w:rPr>
                <w:color w:val="000000"/>
                <w:sz w:val="20"/>
              </w:rPr>
              <w:t xml:space="preserve">90-179 </w:t>
            </w:r>
          </w:p>
        </w:tc>
        <w:tc>
          <w:tcPr>
            <w:tcW w:w="1635" w:type="dxa"/>
            <w:tcBorders>
              <w:top w:val="nil"/>
              <w:left w:val="nil"/>
              <w:bottom w:val="nil"/>
              <w:right w:val="nil"/>
            </w:tcBorders>
            <w:shd w:val="clear" w:color="auto" w:fill="auto"/>
            <w:noWrap/>
            <w:vAlign w:val="center"/>
            <w:hideMark/>
          </w:tcPr>
          <w:p w14:paraId="78913DA0" w14:textId="77777777" w:rsidR="0080773F" w:rsidRPr="001D3149" w:rsidRDefault="0080773F" w:rsidP="0080773F">
            <w:pPr>
              <w:spacing w:after="0" w:line="240" w:lineRule="auto"/>
              <w:jc w:val="center"/>
              <w:rPr>
                <w:color w:val="000000"/>
                <w:sz w:val="20"/>
              </w:rPr>
            </w:pPr>
            <w:r w:rsidRPr="001D3149">
              <w:rPr>
                <w:color w:val="000000"/>
                <w:sz w:val="20"/>
              </w:rPr>
              <w:t>8.1%</w:t>
            </w:r>
          </w:p>
        </w:tc>
        <w:tc>
          <w:tcPr>
            <w:tcW w:w="1440" w:type="dxa"/>
            <w:tcBorders>
              <w:top w:val="nil"/>
              <w:left w:val="nil"/>
              <w:bottom w:val="nil"/>
              <w:right w:val="nil"/>
            </w:tcBorders>
            <w:shd w:val="clear" w:color="auto" w:fill="auto"/>
            <w:vAlign w:val="center"/>
            <w:hideMark/>
          </w:tcPr>
          <w:p w14:paraId="76F6280B" w14:textId="77777777" w:rsidR="0080773F" w:rsidRPr="001D3149" w:rsidRDefault="0080773F" w:rsidP="0080773F">
            <w:pPr>
              <w:spacing w:after="0" w:line="240" w:lineRule="auto"/>
              <w:jc w:val="center"/>
              <w:rPr>
                <w:color w:val="000000"/>
                <w:sz w:val="20"/>
              </w:rPr>
            </w:pPr>
            <w:r w:rsidRPr="001D3149">
              <w:rPr>
                <w:color w:val="000000"/>
                <w:sz w:val="20"/>
              </w:rPr>
              <w:t>8.1%</w:t>
            </w:r>
          </w:p>
        </w:tc>
        <w:tc>
          <w:tcPr>
            <w:tcW w:w="1569" w:type="dxa"/>
            <w:tcBorders>
              <w:top w:val="nil"/>
              <w:left w:val="nil"/>
              <w:bottom w:val="nil"/>
              <w:right w:val="nil"/>
            </w:tcBorders>
            <w:shd w:val="clear" w:color="auto" w:fill="auto"/>
            <w:vAlign w:val="center"/>
            <w:hideMark/>
          </w:tcPr>
          <w:p w14:paraId="5C6B3730" w14:textId="77777777" w:rsidR="0080773F" w:rsidRPr="001D3149" w:rsidRDefault="0080773F" w:rsidP="0080773F">
            <w:pPr>
              <w:spacing w:after="0" w:line="240" w:lineRule="auto"/>
              <w:jc w:val="center"/>
              <w:rPr>
                <w:color w:val="000000"/>
                <w:sz w:val="20"/>
              </w:rPr>
            </w:pPr>
            <w:r w:rsidRPr="001D3149">
              <w:rPr>
                <w:color w:val="000000"/>
                <w:sz w:val="20"/>
              </w:rPr>
              <w:t>8.0%</w:t>
            </w:r>
          </w:p>
        </w:tc>
      </w:tr>
      <w:tr w:rsidR="0080773F" w:rsidRPr="00BA1D24" w14:paraId="667350BE"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2F28FCAB" w14:textId="77777777" w:rsidR="0080773F" w:rsidRPr="004728D6" w:rsidRDefault="0080773F" w:rsidP="0080773F">
            <w:pPr>
              <w:spacing w:after="0" w:line="240" w:lineRule="auto"/>
              <w:rPr>
                <w:color w:val="000000"/>
                <w:sz w:val="20"/>
              </w:rPr>
            </w:pPr>
            <w:r>
              <w:rPr>
                <w:sz w:val="20"/>
              </w:rPr>
              <w:t>≥</w:t>
            </w:r>
            <w:r>
              <w:rPr>
                <w:color w:val="000000"/>
                <w:sz w:val="20"/>
              </w:rPr>
              <w:t>180</w:t>
            </w:r>
          </w:p>
        </w:tc>
        <w:tc>
          <w:tcPr>
            <w:tcW w:w="1635" w:type="dxa"/>
            <w:tcBorders>
              <w:top w:val="nil"/>
              <w:left w:val="nil"/>
              <w:bottom w:val="nil"/>
              <w:right w:val="nil"/>
            </w:tcBorders>
            <w:shd w:val="clear" w:color="auto" w:fill="auto"/>
            <w:noWrap/>
            <w:vAlign w:val="center"/>
            <w:hideMark/>
          </w:tcPr>
          <w:p w14:paraId="5271FCD1" w14:textId="77777777" w:rsidR="0080773F" w:rsidRPr="001D3149" w:rsidRDefault="0080773F" w:rsidP="0080773F">
            <w:pPr>
              <w:spacing w:after="0" w:line="240" w:lineRule="auto"/>
              <w:jc w:val="center"/>
              <w:rPr>
                <w:color w:val="000000"/>
                <w:sz w:val="20"/>
              </w:rPr>
            </w:pPr>
            <w:r w:rsidRPr="001D3149">
              <w:rPr>
                <w:color w:val="000000"/>
                <w:sz w:val="20"/>
              </w:rPr>
              <w:t>6.5%</w:t>
            </w:r>
          </w:p>
        </w:tc>
        <w:tc>
          <w:tcPr>
            <w:tcW w:w="1440" w:type="dxa"/>
            <w:tcBorders>
              <w:top w:val="nil"/>
              <w:left w:val="nil"/>
              <w:bottom w:val="nil"/>
              <w:right w:val="nil"/>
            </w:tcBorders>
            <w:shd w:val="clear" w:color="auto" w:fill="auto"/>
            <w:vAlign w:val="center"/>
            <w:hideMark/>
          </w:tcPr>
          <w:p w14:paraId="79FCCFD0" w14:textId="77777777" w:rsidR="0080773F" w:rsidRPr="001D3149" w:rsidRDefault="0080773F" w:rsidP="0080773F">
            <w:pPr>
              <w:spacing w:after="0" w:line="240" w:lineRule="auto"/>
              <w:jc w:val="center"/>
              <w:rPr>
                <w:color w:val="000000"/>
                <w:sz w:val="20"/>
              </w:rPr>
            </w:pPr>
            <w:r w:rsidRPr="001D3149">
              <w:rPr>
                <w:color w:val="000000"/>
                <w:sz w:val="20"/>
              </w:rPr>
              <w:t>4.9%</w:t>
            </w:r>
          </w:p>
        </w:tc>
        <w:tc>
          <w:tcPr>
            <w:tcW w:w="1569" w:type="dxa"/>
            <w:tcBorders>
              <w:top w:val="nil"/>
              <w:left w:val="nil"/>
              <w:bottom w:val="nil"/>
              <w:right w:val="nil"/>
            </w:tcBorders>
            <w:shd w:val="clear" w:color="auto" w:fill="auto"/>
            <w:vAlign w:val="center"/>
            <w:hideMark/>
          </w:tcPr>
          <w:p w14:paraId="72BD625C" w14:textId="77777777" w:rsidR="0080773F" w:rsidRPr="001D3149" w:rsidRDefault="0080773F" w:rsidP="0080773F">
            <w:pPr>
              <w:spacing w:after="0" w:line="240" w:lineRule="auto"/>
              <w:jc w:val="center"/>
              <w:rPr>
                <w:color w:val="000000"/>
                <w:sz w:val="20"/>
              </w:rPr>
            </w:pPr>
            <w:r w:rsidRPr="001D3149">
              <w:rPr>
                <w:color w:val="000000"/>
                <w:sz w:val="20"/>
              </w:rPr>
              <w:t>9.2%</w:t>
            </w:r>
          </w:p>
        </w:tc>
      </w:tr>
      <w:tr w:rsidR="0080773F" w:rsidRPr="00BA1D24" w14:paraId="689C7EDB" w14:textId="77777777" w:rsidTr="00AA0EB2">
        <w:trPr>
          <w:trHeight w:val="144"/>
          <w:jc w:val="center"/>
        </w:trPr>
        <w:tc>
          <w:tcPr>
            <w:tcW w:w="4536" w:type="dxa"/>
            <w:tcBorders>
              <w:top w:val="nil"/>
              <w:left w:val="nil"/>
              <w:bottom w:val="nil"/>
              <w:right w:val="nil"/>
            </w:tcBorders>
            <w:shd w:val="clear" w:color="auto" w:fill="auto"/>
            <w:noWrap/>
            <w:vAlign w:val="center"/>
            <w:hideMark/>
          </w:tcPr>
          <w:p w14:paraId="70ED6376" w14:textId="77777777" w:rsidR="0080773F" w:rsidRPr="004728D6" w:rsidRDefault="0080773F" w:rsidP="0080773F">
            <w:pPr>
              <w:spacing w:after="0" w:line="240" w:lineRule="auto"/>
              <w:rPr>
                <w:bCs/>
                <w:color w:val="000000"/>
                <w:sz w:val="20"/>
              </w:rPr>
            </w:pPr>
            <w:r w:rsidRPr="004728D6">
              <w:rPr>
                <w:bCs/>
                <w:color w:val="000000"/>
                <w:sz w:val="20"/>
              </w:rPr>
              <w:t>Primary Hospice Admission Diagnosis</w:t>
            </w:r>
          </w:p>
        </w:tc>
        <w:tc>
          <w:tcPr>
            <w:tcW w:w="1635" w:type="dxa"/>
            <w:tcBorders>
              <w:top w:val="nil"/>
              <w:left w:val="nil"/>
              <w:bottom w:val="nil"/>
              <w:right w:val="nil"/>
            </w:tcBorders>
            <w:shd w:val="clear" w:color="auto" w:fill="auto"/>
            <w:noWrap/>
            <w:vAlign w:val="bottom"/>
            <w:hideMark/>
          </w:tcPr>
          <w:p w14:paraId="5E0D88EC" w14:textId="77777777" w:rsidR="0080773F" w:rsidRPr="001D3149" w:rsidRDefault="0080773F" w:rsidP="0080773F">
            <w:pPr>
              <w:spacing w:after="0" w:line="240" w:lineRule="auto"/>
              <w:rPr>
                <w:b/>
                <w:bCs/>
                <w:color w:val="000000"/>
                <w:sz w:val="20"/>
              </w:rPr>
            </w:pPr>
          </w:p>
        </w:tc>
        <w:tc>
          <w:tcPr>
            <w:tcW w:w="1440" w:type="dxa"/>
            <w:tcBorders>
              <w:top w:val="nil"/>
              <w:left w:val="nil"/>
              <w:bottom w:val="nil"/>
              <w:right w:val="nil"/>
            </w:tcBorders>
            <w:shd w:val="clear" w:color="auto" w:fill="auto"/>
            <w:vAlign w:val="center"/>
            <w:hideMark/>
          </w:tcPr>
          <w:p w14:paraId="484AA4AB" w14:textId="77777777" w:rsidR="0080773F" w:rsidRPr="001D3149" w:rsidRDefault="0080773F" w:rsidP="0080773F">
            <w:pPr>
              <w:spacing w:after="0" w:line="240" w:lineRule="auto"/>
              <w:rPr>
                <w:sz w:val="20"/>
              </w:rPr>
            </w:pPr>
          </w:p>
        </w:tc>
        <w:tc>
          <w:tcPr>
            <w:tcW w:w="1569" w:type="dxa"/>
            <w:tcBorders>
              <w:top w:val="nil"/>
              <w:left w:val="nil"/>
              <w:bottom w:val="nil"/>
              <w:right w:val="nil"/>
            </w:tcBorders>
            <w:shd w:val="clear" w:color="auto" w:fill="auto"/>
            <w:vAlign w:val="center"/>
            <w:hideMark/>
          </w:tcPr>
          <w:p w14:paraId="729C1347" w14:textId="77777777" w:rsidR="0080773F" w:rsidRPr="001D3149" w:rsidRDefault="0080773F" w:rsidP="0080773F">
            <w:pPr>
              <w:spacing w:after="0" w:line="240" w:lineRule="auto"/>
              <w:jc w:val="center"/>
              <w:rPr>
                <w:color w:val="000000"/>
                <w:sz w:val="20"/>
              </w:rPr>
            </w:pPr>
            <w:r w:rsidRPr="001D3149">
              <w:rPr>
                <w:color w:val="000000"/>
                <w:sz w:val="20"/>
              </w:rPr>
              <w:t> </w:t>
            </w:r>
          </w:p>
        </w:tc>
      </w:tr>
      <w:tr w:rsidR="0080773F" w:rsidRPr="00BA1D24" w14:paraId="1A9B477A"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56BB7F55" w14:textId="77777777" w:rsidR="0080773F" w:rsidRPr="004728D6" w:rsidRDefault="0080773F" w:rsidP="0080773F">
            <w:pPr>
              <w:spacing w:after="0" w:line="240" w:lineRule="auto"/>
              <w:rPr>
                <w:color w:val="000000"/>
                <w:sz w:val="20"/>
              </w:rPr>
            </w:pPr>
            <w:r w:rsidRPr="004728D6">
              <w:rPr>
                <w:color w:val="000000"/>
                <w:sz w:val="20"/>
              </w:rPr>
              <w:t>Cancer</w:t>
            </w:r>
          </w:p>
        </w:tc>
        <w:tc>
          <w:tcPr>
            <w:tcW w:w="1635" w:type="dxa"/>
            <w:tcBorders>
              <w:top w:val="nil"/>
              <w:left w:val="nil"/>
              <w:bottom w:val="nil"/>
              <w:right w:val="nil"/>
            </w:tcBorders>
            <w:shd w:val="clear" w:color="auto" w:fill="auto"/>
            <w:noWrap/>
            <w:vAlign w:val="center"/>
            <w:hideMark/>
          </w:tcPr>
          <w:p w14:paraId="7210CFAB" w14:textId="77777777" w:rsidR="0080773F" w:rsidRPr="001D3149" w:rsidRDefault="0080773F" w:rsidP="0080773F">
            <w:pPr>
              <w:spacing w:after="0" w:line="240" w:lineRule="auto"/>
              <w:jc w:val="center"/>
              <w:rPr>
                <w:color w:val="000000"/>
                <w:sz w:val="20"/>
              </w:rPr>
            </w:pPr>
            <w:r w:rsidRPr="001D3149">
              <w:rPr>
                <w:color w:val="000000"/>
                <w:sz w:val="20"/>
              </w:rPr>
              <w:t>63.1%</w:t>
            </w:r>
          </w:p>
        </w:tc>
        <w:tc>
          <w:tcPr>
            <w:tcW w:w="1440" w:type="dxa"/>
            <w:tcBorders>
              <w:top w:val="nil"/>
              <w:left w:val="nil"/>
              <w:bottom w:val="nil"/>
              <w:right w:val="nil"/>
            </w:tcBorders>
            <w:shd w:val="clear" w:color="auto" w:fill="auto"/>
            <w:vAlign w:val="center"/>
            <w:hideMark/>
          </w:tcPr>
          <w:p w14:paraId="09FBD3A0" w14:textId="77777777" w:rsidR="0080773F" w:rsidRPr="001D3149" w:rsidRDefault="0080773F" w:rsidP="0080773F">
            <w:pPr>
              <w:spacing w:after="0" w:line="240" w:lineRule="auto"/>
              <w:jc w:val="center"/>
              <w:rPr>
                <w:color w:val="000000"/>
                <w:sz w:val="20"/>
              </w:rPr>
            </w:pPr>
            <w:r w:rsidRPr="001D3149">
              <w:rPr>
                <w:color w:val="000000"/>
                <w:sz w:val="20"/>
              </w:rPr>
              <w:t>100.0%</w:t>
            </w:r>
          </w:p>
        </w:tc>
        <w:tc>
          <w:tcPr>
            <w:tcW w:w="1569" w:type="dxa"/>
            <w:tcBorders>
              <w:top w:val="nil"/>
              <w:left w:val="nil"/>
              <w:bottom w:val="nil"/>
              <w:right w:val="nil"/>
            </w:tcBorders>
            <w:shd w:val="clear" w:color="auto" w:fill="auto"/>
            <w:vAlign w:val="center"/>
            <w:hideMark/>
          </w:tcPr>
          <w:p w14:paraId="1CF26862" w14:textId="77777777" w:rsidR="0080773F" w:rsidRPr="001D3149" w:rsidRDefault="0080773F" w:rsidP="0080773F">
            <w:pPr>
              <w:spacing w:after="0" w:line="240" w:lineRule="auto"/>
              <w:jc w:val="center"/>
              <w:rPr>
                <w:color w:val="000000"/>
                <w:sz w:val="20"/>
              </w:rPr>
            </w:pPr>
            <w:r>
              <w:rPr>
                <w:color w:val="000000"/>
                <w:sz w:val="20"/>
              </w:rPr>
              <w:t>0%</w:t>
            </w:r>
          </w:p>
        </w:tc>
      </w:tr>
      <w:tr w:rsidR="0080773F" w:rsidRPr="00BA1D24" w14:paraId="7DA2940F"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5211DEEC" w14:textId="77777777" w:rsidR="0080773F" w:rsidRPr="004728D6" w:rsidRDefault="0080773F" w:rsidP="0080773F">
            <w:pPr>
              <w:spacing w:after="0" w:line="240" w:lineRule="auto"/>
              <w:rPr>
                <w:color w:val="000000"/>
                <w:sz w:val="20"/>
              </w:rPr>
            </w:pPr>
            <w:r w:rsidRPr="004728D6">
              <w:rPr>
                <w:color w:val="000000"/>
                <w:sz w:val="20"/>
              </w:rPr>
              <w:t>Debility/Failure to Thrive</w:t>
            </w:r>
          </w:p>
        </w:tc>
        <w:tc>
          <w:tcPr>
            <w:tcW w:w="1635" w:type="dxa"/>
            <w:tcBorders>
              <w:top w:val="nil"/>
              <w:left w:val="nil"/>
              <w:bottom w:val="nil"/>
              <w:right w:val="nil"/>
            </w:tcBorders>
            <w:shd w:val="clear" w:color="auto" w:fill="auto"/>
            <w:noWrap/>
            <w:vAlign w:val="center"/>
            <w:hideMark/>
          </w:tcPr>
          <w:p w14:paraId="12A1E824" w14:textId="77777777" w:rsidR="0080773F" w:rsidRPr="001D3149" w:rsidRDefault="0080773F" w:rsidP="0080773F">
            <w:pPr>
              <w:spacing w:after="0" w:line="240" w:lineRule="auto"/>
              <w:jc w:val="center"/>
              <w:rPr>
                <w:color w:val="000000"/>
                <w:sz w:val="20"/>
              </w:rPr>
            </w:pPr>
            <w:r w:rsidRPr="001D3149">
              <w:rPr>
                <w:color w:val="000000"/>
                <w:sz w:val="20"/>
              </w:rPr>
              <w:t>8.2%</w:t>
            </w:r>
          </w:p>
        </w:tc>
        <w:tc>
          <w:tcPr>
            <w:tcW w:w="1440" w:type="dxa"/>
            <w:tcBorders>
              <w:top w:val="nil"/>
              <w:left w:val="nil"/>
              <w:bottom w:val="nil"/>
              <w:right w:val="nil"/>
            </w:tcBorders>
            <w:shd w:val="clear" w:color="auto" w:fill="auto"/>
            <w:vAlign w:val="center"/>
            <w:hideMark/>
          </w:tcPr>
          <w:p w14:paraId="68536FD6" w14:textId="77777777" w:rsidR="0080773F" w:rsidRPr="001D3149" w:rsidRDefault="0080773F" w:rsidP="0080773F">
            <w:pPr>
              <w:spacing w:after="0" w:line="240" w:lineRule="auto"/>
              <w:jc w:val="center"/>
              <w:rPr>
                <w:color w:val="000000"/>
                <w:sz w:val="20"/>
              </w:rPr>
            </w:pPr>
            <w:r>
              <w:rPr>
                <w:color w:val="000000"/>
                <w:sz w:val="20"/>
              </w:rPr>
              <w:t>0%</w:t>
            </w:r>
          </w:p>
        </w:tc>
        <w:tc>
          <w:tcPr>
            <w:tcW w:w="1569" w:type="dxa"/>
            <w:tcBorders>
              <w:top w:val="nil"/>
              <w:left w:val="nil"/>
              <w:bottom w:val="nil"/>
              <w:right w:val="nil"/>
            </w:tcBorders>
            <w:shd w:val="clear" w:color="auto" w:fill="auto"/>
            <w:noWrap/>
            <w:vAlign w:val="center"/>
            <w:hideMark/>
          </w:tcPr>
          <w:p w14:paraId="63F65EE0" w14:textId="77777777" w:rsidR="0080773F" w:rsidRPr="001D3149" w:rsidRDefault="0080773F" w:rsidP="0080773F">
            <w:pPr>
              <w:spacing w:after="0" w:line="240" w:lineRule="auto"/>
              <w:jc w:val="center"/>
              <w:rPr>
                <w:color w:val="000000"/>
                <w:sz w:val="20"/>
              </w:rPr>
            </w:pPr>
            <w:r w:rsidRPr="001D3149">
              <w:rPr>
                <w:color w:val="000000"/>
                <w:sz w:val="20"/>
              </w:rPr>
              <w:t>22.3%</w:t>
            </w:r>
          </w:p>
        </w:tc>
      </w:tr>
      <w:tr w:rsidR="0080773F" w:rsidRPr="00BA1D24" w14:paraId="7910B75D"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6116F7BC" w14:textId="77777777" w:rsidR="0080773F" w:rsidRPr="004728D6" w:rsidRDefault="0080773F" w:rsidP="0080773F">
            <w:pPr>
              <w:spacing w:after="0" w:line="240" w:lineRule="auto"/>
              <w:rPr>
                <w:color w:val="000000"/>
                <w:sz w:val="20"/>
              </w:rPr>
            </w:pPr>
            <w:r w:rsidRPr="004728D6">
              <w:rPr>
                <w:color w:val="000000"/>
                <w:sz w:val="20"/>
              </w:rPr>
              <w:t>Dementia</w:t>
            </w:r>
          </w:p>
        </w:tc>
        <w:tc>
          <w:tcPr>
            <w:tcW w:w="1635" w:type="dxa"/>
            <w:tcBorders>
              <w:top w:val="nil"/>
              <w:left w:val="nil"/>
              <w:bottom w:val="nil"/>
              <w:right w:val="nil"/>
            </w:tcBorders>
            <w:shd w:val="clear" w:color="auto" w:fill="auto"/>
            <w:noWrap/>
            <w:vAlign w:val="center"/>
            <w:hideMark/>
          </w:tcPr>
          <w:p w14:paraId="492AE3E7" w14:textId="77777777" w:rsidR="0080773F" w:rsidRPr="001D3149" w:rsidRDefault="0080773F" w:rsidP="0080773F">
            <w:pPr>
              <w:spacing w:after="0" w:line="240" w:lineRule="auto"/>
              <w:jc w:val="center"/>
              <w:rPr>
                <w:color w:val="000000"/>
                <w:sz w:val="20"/>
              </w:rPr>
            </w:pPr>
            <w:r w:rsidRPr="001D3149">
              <w:rPr>
                <w:color w:val="000000"/>
                <w:sz w:val="20"/>
              </w:rPr>
              <w:t>7.</w:t>
            </w:r>
            <w:r>
              <w:rPr>
                <w:color w:val="000000"/>
                <w:sz w:val="20"/>
              </w:rPr>
              <w:t>8</w:t>
            </w:r>
            <w:r w:rsidRPr="001D3149">
              <w:rPr>
                <w:color w:val="000000"/>
                <w:sz w:val="20"/>
              </w:rPr>
              <w:t>%</w:t>
            </w:r>
          </w:p>
        </w:tc>
        <w:tc>
          <w:tcPr>
            <w:tcW w:w="1440" w:type="dxa"/>
            <w:tcBorders>
              <w:top w:val="nil"/>
              <w:left w:val="nil"/>
              <w:bottom w:val="nil"/>
              <w:right w:val="nil"/>
            </w:tcBorders>
            <w:shd w:val="clear" w:color="auto" w:fill="auto"/>
            <w:vAlign w:val="center"/>
            <w:hideMark/>
          </w:tcPr>
          <w:p w14:paraId="0D75F162" w14:textId="77777777" w:rsidR="0080773F" w:rsidRPr="001D3149" w:rsidRDefault="0080773F" w:rsidP="0080773F">
            <w:pPr>
              <w:spacing w:after="0" w:line="240" w:lineRule="auto"/>
              <w:jc w:val="center"/>
              <w:rPr>
                <w:color w:val="000000"/>
                <w:sz w:val="20"/>
              </w:rPr>
            </w:pPr>
            <w:r>
              <w:rPr>
                <w:color w:val="000000"/>
                <w:sz w:val="20"/>
              </w:rPr>
              <w:t>0%</w:t>
            </w:r>
          </w:p>
        </w:tc>
        <w:tc>
          <w:tcPr>
            <w:tcW w:w="1569" w:type="dxa"/>
            <w:tcBorders>
              <w:top w:val="nil"/>
              <w:left w:val="nil"/>
              <w:bottom w:val="nil"/>
              <w:right w:val="nil"/>
            </w:tcBorders>
            <w:shd w:val="clear" w:color="auto" w:fill="auto"/>
            <w:noWrap/>
            <w:vAlign w:val="center"/>
            <w:hideMark/>
          </w:tcPr>
          <w:p w14:paraId="00B9F5A0" w14:textId="77777777" w:rsidR="0080773F" w:rsidRPr="001D3149" w:rsidRDefault="0080773F" w:rsidP="0080773F">
            <w:pPr>
              <w:spacing w:after="0" w:line="240" w:lineRule="auto"/>
              <w:jc w:val="center"/>
              <w:rPr>
                <w:color w:val="000000"/>
                <w:sz w:val="20"/>
              </w:rPr>
            </w:pPr>
            <w:r w:rsidRPr="001D3149">
              <w:rPr>
                <w:color w:val="000000"/>
                <w:sz w:val="20"/>
              </w:rPr>
              <w:t>21.0%</w:t>
            </w:r>
          </w:p>
        </w:tc>
      </w:tr>
      <w:tr w:rsidR="0080773F" w:rsidRPr="00BA1D24" w14:paraId="0EA3D510"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11576C7E" w14:textId="77777777" w:rsidR="0080773F" w:rsidRPr="004728D6" w:rsidRDefault="0080773F" w:rsidP="0080773F">
            <w:pPr>
              <w:spacing w:after="0" w:line="240" w:lineRule="auto"/>
              <w:rPr>
                <w:color w:val="000000"/>
                <w:sz w:val="20"/>
              </w:rPr>
            </w:pPr>
            <w:r w:rsidRPr="004728D6">
              <w:rPr>
                <w:color w:val="000000"/>
                <w:sz w:val="20"/>
              </w:rPr>
              <w:t>Lung Disease</w:t>
            </w:r>
          </w:p>
        </w:tc>
        <w:tc>
          <w:tcPr>
            <w:tcW w:w="1635" w:type="dxa"/>
            <w:tcBorders>
              <w:top w:val="nil"/>
              <w:left w:val="nil"/>
              <w:bottom w:val="nil"/>
              <w:right w:val="nil"/>
            </w:tcBorders>
            <w:shd w:val="clear" w:color="auto" w:fill="auto"/>
            <w:noWrap/>
            <w:vAlign w:val="center"/>
            <w:hideMark/>
          </w:tcPr>
          <w:p w14:paraId="61E9C69C" w14:textId="77777777" w:rsidR="0080773F" w:rsidRPr="001D3149" w:rsidRDefault="0080773F" w:rsidP="0080773F">
            <w:pPr>
              <w:spacing w:after="0" w:line="240" w:lineRule="auto"/>
              <w:jc w:val="center"/>
              <w:rPr>
                <w:color w:val="000000"/>
                <w:sz w:val="20"/>
              </w:rPr>
            </w:pPr>
            <w:r w:rsidRPr="001D3149">
              <w:rPr>
                <w:color w:val="000000"/>
                <w:sz w:val="20"/>
              </w:rPr>
              <w:t>5.1%</w:t>
            </w:r>
          </w:p>
        </w:tc>
        <w:tc>
          <w:tcPr>
            <w:tcW w:w="1440" w:type="dxa"/>
            <w:tcBorders>
              <w:top w:val="nil"/>
              <w:left w:val="nil"/>
              <w:bottom w:val="nil"/>
              <w:right w:val="nil"/>
            </w:tcBorders>
            <w:shd w:val="clear" w:color="auto" w:fill="auto"/>
            <w:vAlign w:val="center"/>
            <w:hideMark/>
          </w:tcPr>
          <w:p w14:paraId="60752849" w14:textId="77777777" w:rsidR="0080773F" w:rsidRPr="001D3149" w:rsidRDefault="0080773F" w:rsidP="0080773F">
            <w:pPr>
              <w:spacing w:after="0" w:line="240" w:lineRule="auto"/>
              <w:jc w:val="center"/>
              <w:rPr>
                <w:color w:val="000000"/>
                <w:sz w:val="20"/>
              </w:rPr>
            </w:pPr>
            <w:r>
              <w:rPr>
                <w:color w:val="000000"/>
                <w:sz w:val="20"/>
              </w:rPr>
              <w:t>0%</w:t>
            </w:r>
          </w:p>
        </w:tc>
        <w:tc>
          <w:tcPr>
            <w:tcW w:w="1569" w:type="dxa"/>
            <w:tcBorders>
              <w:top w:val="nil"/>
              <w:left w:val="nil"/>
              <w:bottom w:val="nil"/>
              <w:right w:val="nil"/>
            </w:tcBorders>
            <w:shd w:val="clear" w:color="auto" w:fill="auto"/>
            <w:noWrap/>
            <w:vAlign w:val="center"/>
            <w:hideMark/>
          </w:tcPr>
          <w:p w14:paraId="09975BA7" w14:textId="77777777" w:rsidR="0080773F" w:rsidRPr="001D3149" w:rsidRDefault="0080773F" w:rsidP="0080773F">
            <w:pPr>
              <w:spacing w:after="0" w:line="240" w:lineRule="auto"/>
              <w:jc w:val="center"/>
              <w:rPr>
                <w:color w:val="000000"/>
                <w:sz w:val="20"/>
              </w:rPr>
            </w:pPr>
            <w:r w:rsidRPr="001D3149">
              <w:rPr>
                <w:color w:val="000000"/>
                <w:sz w:val="20"/>
              </w:rPr>
              <w:t>13.8%</w:t>
            </w:r>
          </w:p>
        </w:tc>
      </w:tr>
      <w:tr w:rsidR="0080773F" w:rsidRPr="00BA1D24" w14:paraId="465DE662"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3E316D8D" w14:textId="77777777" w:rsidR="0080773F" w:rsidRPr="004728D6" w:rsidRDefault="0080773F" w:rsidP="0080773F">
            <w:pPr>
              <w:spacing w:after="0" w:line="240" w:lineRule="auto"/>
              <w:rPr>
                <w:color w:val="000000"/>
                <w:sz w:val="20"/>
              </w:rPr>
            </w:pPr>
            <w:r w:rsidRPr="004728D6">
              <w:rPr>
                <w:color w:val="000000"/>
                <w:sz w:val="20"/>
              </w:rPr>
              <w:t>Heart Disease</w:t>
            </w:r>
          </w:p>
        </w:tc>
        <w:tc>
          <w:tcPr>
            <w:tcW w:w="1635" w:type="dxa"/>
            <w:tcBorders>
              <w:top w:val="nil"/>
              <w:left w:val="nil"/>
              <w:bottom w:val="nil"/>
              <w:right w:val="nil"/>
            </w:tcBorders>
            <w:shd w:val="clear" w:color="auto" w:fill="auto"/>
            <w:noWrap/>
            <w:vAlign w:val="center"/>
            <w:hideMark/>
          </w:tcPr>
          <w:p w14:paraId="0944908B" w14:textId="77777777" w:rsidR="0080773F" w:rsidRPr="001D3149" w:rsidRDefault="0080773F" w:rsidP="0080773F">
            <w:pPr>
              <w:spacing w:after="0" w:line="240" w:lineRule="auto"/>
              <w:jc w:val="center"/>
              <w:rPr>
                <w:color w:val="000000"/>
                <w:sz w:val="20"/>
              </w:rPr>
            </w:pPr>
            <w:r w:rsidRPr="001D3149">
              <w:rPr>
                <w:color w:val="000000"/>
                <w:sz w:val="20"/>
              </w:rPr>
              <w:t>6.</w:t>
            </w:r>
            <w:r>
              <w:rPr>
                <w:color w:val="000000"/>
                <w:sz w:val="20"/>
              </w:rPr>
              <w:t>2</w:t>
            </w:r>
            <w:r w:rsidRPr="001D3149">
              <w:rPr>
                <w:color w:val="000000"/>
                <w:sz w:val="20"/>
              </w:rPr>
              <w:t>%</w:t>
            </w:r>
          </w:p>
        </w:tc>
        <w:tc>
          <w:tcPr>
            <w:tcW w:w="1440" w:type="dxa"/>
            <w:tcBorders>
              <w:top w:val="nil"/>
              <w:left w:val="nil"/>
              <w:bottom w:val="nil"/>
              <w:right w:val="nil"/>
            </w:tcBorders>
            <w:shd w:val="clear" w:color="auto" w:fill="auto"/>
            <w:vAlign w:val="center"/>
            <w:hideMark/>
          </w:tcPr>
          <w:p w14:paraId="2669E191" w14:textId="77777777" w:rsidR="0080773F" w:rsidRPr="001D3149" w:rsidRDefault="0080773F" w:rsidP="0080773F">
            <w:pPr>
              <w:spacing w:after="0" w:line="240" w:lineRule="auto"/>
              <w:jc w:val="center"/>
              <w:rPr>
                <w:color w:val="000000"/>
                <w:sz w:val="20"/>
              </w:rPr>
            </w:pPr>
            <w:r>
              <w:rPr>
                <w:color w:val="000000"/>
                <w:sz w:val="20"/>
              </w:rPr>
              <w:t>0%</w:t>
            </w:r>
          </w:p>
        </w:tc>
        <w:tc>
          <w:tcPr>
            <w:tcW w:w="1569" w:type="dxa"/>
            <w:tcBorders>
              <w:top w:val="nil"/>
              <w:left w:val="nil"/>
              <w:bottom w:val="nil"/>
              <w:right w:val="nil"/>
            </w:tcBorders>
            <w:shd w:val="clear" w:color="auto" w:fill="auto"/>
            <w:noWrap/>
            <w:vAlign w:val="center"/>
            <w:hideMark/>
          </w:tcPr>
          <w:p w14:paraId="46FF2C93" w14:textId="77777777" w:rsidR="0080773F" w:rsidRPr="001D3149" w:rsidRDefault="0080773F" w:rsidP="0080773F">
            <w:pPr>
              <w:spacing w:after="0" w:line="240" w:lineRule="auto"/>
              <w:jc w:val="center"/>
              <w:rPr>
                <w:color w:val="000000"/>
                <w:sz w:val="20"/>
              </w:rPr>
            </w:pPr>
            <w:r>
              <w:rPr>
                <w:color w:val="000000"/>
                <w:sz w:val="20"/>
              </w:rPr>
              <w:t>16.9</w:t>
            </w:r>
            <w:r w:rsidRPr="001D3149">
              <w:rPr>
                <w:color w:val="000000"/>
                <w:sz w:val="20"/>
              </w:rPr>
              <w:t>%</w:t>
            </w:r>
          </w:p>
        </w:tc>
      </w:tr>
      <w:tr w:rsidR="0080773F" w:rsidRPr="00BA1D24" w14:paraId="0F9B31FE"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1B5C156C" w14:textId="77777777" w:rsidR="0080773F" w:rsidRPr="004728D6" w:rsidRDefault="0080773F" w:rsidP="0080773F">
            <w:pPr>
              <w:spacing w:after="0" w:line="240" w:lineRule="auto"/>
              <w:rPr>
                <w:color w:val="000000"/>
                <w:sz w:val="20"/>
              </w:rPr>
            </w:pPr>
            <w:r w:rsidRPr="004728D6">
              <w:rPr>
                <w:color w:val="000000"/>
                <w:sz w:val="20"/>
              </w:rPr>
              <w:t>Ischemic Stroke</w:t>
            </w:r>
          </w:p>
        </w:tc>
        <w:tc>
          <w:tcPr>
            <w:tcW w:w="1635" w:type="dxa"/>
            <w:tcBorders>
              <w:top w:val="nil"/>
              <w:left w:val="nil"/>
              <w:bottom w:val="nil"/>
              <w:right w:val="nil"/>
            </w:tcBorders>
            <w:shd w:val="clear" w:color="auto" w:fill="auto"/>
            <w:noWrap/>
            <w:vAlign w:val="center"/>
          </w:tcPr>
          <w:p w14:paraId="36AE7F37" w14:textId="77777777" w:rsidR="0080773F" w:rsidRPr="001D3149" w:rsidRDefault="0080773F" w:rsidP="0080773F">
            <w:pPr>
              <w:spacing w:after="0" w:line="240" w:lineRule="auto"/>
              <w:jc w:val="center"/>
              <w:rPr>
                <w:color w:val="000000"/>
                <w:sz w:val="20"/>
              </w:rPr>
            </w:pPr>
            <w:r>
              <w:rPr>
                <w:color w:val="000000"/>
                <w:sz w:val="20"/>
              </w:rPr>
              <w:t>2.0%</w:t>
            </w:r>
          </w:p>
        </w:tc>
        <w:tc>
          <w:tcPr>
            <w:tcW w:w="1440" w:type="dxa"/>
            <w:tcBorders>
              <w:top w:val="nil"/>
              <w:left w:val="nil"/>
              <w:bottom w:val="nil"/>
              <w:right w:val="nil"/>
            </w:tcBorders>
            <w:shd w:val="clear" w:color="auto" w:fill="auto"/>
            <w:noWrap/>
            <w:vAlign w:val="center"/>
          </w:tcPr>
          <w:p w14:paraId="5F53368C" w14:textId="77777777" w:rsidR="0080773F" w:rsidRPr="001D3149" w:rsidRDefault="0080773F" w:rsidP="0080773F">
            <w:pPr>
              <w:spacing w:after="0" w:line="240" w:lineRule="auto"/>
              <w:jc w:val="center"/>
              <w:rPr>
                <w:color w:val="000000"/>
                <w:sz w:val="20"/>
              </w:rPr>
            </w:pPr>
            <w:r>
              <w:rPr>
                <w:color w:val="000000"/>
                <w:sz w:val="20"/>
              </w:rPr>
              <w:t>0%</w:t>
            </w:r>
          </w:p>
        </w:tc>
        <w:tc>
          <w:tcPr>
            <w:tcW w:w="1569" w:type="dxa"/>
            <w:tcBorders>
              <w:top w:val="nil"/>
              <w:left w:val="nil"/>
              <w:bottom w:val="nil"/>
              <w:right w:val="nil"/>
            </w:tcBorders>
            <w:shd w:val="clear" w:color="auto" w:fill="auto"/>
            <w:noWrap/>
            <w:vAlign w:val="center"/>
          </w:tcPr>
          <w:p w14:paraId="16608356" w14:textId="77777777" w:rsidR="0080773F" w:rsidRPr="001D3149" w:rsidRDefault="0080773F" w:rsidP="0080773F">
            <w:pPr>
              <w:spacing w:after="0" w:line="240" w:lineRule="auto"/>
              <w:jc w:val="center"/>
              <w:rPr>
                <w:color w:val="000000"/>
                <w:sz w:val="20"/>
              </w:rPr>
            </w:pPr>
            <w:r>
              <w:rPr>
                <w:color w:val="000000"/>
                <w:sz w:val="20"/>
              </w:rPr>
              <w:t>5.4%</w:t>
            </w:r>
          </w:p>
        </w:tc>
      </w:tr>
      <w:tr w:rsidR="0080773F" w:rsidRPr="00BA1D24" w14:paraId="2F6D4E04"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4FD99625" w14:textId="77777777" w:rsidR="0080773F" w:rsidRPr="004728D6" w:rsidRDefault="0080773F" w:rsidP="0080773F">
            <w:pPr>
              <w:spacing w:after="0" w:line="240" w:lineRule="auto"/>
              <w:rPr>
                <w:color w:val="000000"/>
                <w:sz w:val="20"/>
              </w:rPr>
            </w:pPr>
            <w:r w:rsidRPr="004728D6">
              <w:rPr>
                <w:color w:val="000000"/>
                <w:sz w:val="20"/>
              </w:rPr>
              <w:t>Renal Disease</w:t>
            </w:r>
          </w:p>
        </w:tc>
        <w:tc>
          <w:tcPr>
            <w:tcW w:w="1635" w:type="dxa"/>
            <w:tcBorders>
              <w:top w:val="nil"/>
              <w:left w:val="nil"/>
              <w:bottom w:val="nil"/>
              <w:right w:val="nil"/>
            </w:tcBorders>
            <w:shd w:val="clear" w:color="auto" w:fill="auto"/>
            <w:noWrap/>
            <w:vAlign w:val="center"/>
          </w:tcPr>
          <w:p w14:paraId="6961DE1C" w14:textId="77777777" w:rsidR="0080773F" w:rsidRPr="001D3149" w:rsidRDefault="0080773F" w:rsidP="0080773F">
            <w:pPr>
              <w:spacing w:after="0" w:line="240" w:lineRule="auto"/>
              <w:jc w:val="center"/>
              <w:rPr>
                <w:color w:val="000000"/>
                <w:sz w:val="20"/>
              </w:rPr>
            </w:pPr>
            <w:r>
              <w:rPr>
                <w:color w:val="000000"/>
                <w:sz w:val="20"/>
              </w:rPr>
              <w:t>2.2%</w:t>
            </w:r>
          </w:p>
        </w:tc>
        <w:tc>
          <w:tcPr>
            <w:tcW w:w="1440" w:type="dxa"/>
            <w:tcBorders>
              <w:top w:val="nil"/>
              <w:left w:val="nil"/>
              <w:bottom w:val="nil"/>
              <w:right w:val="nil"/>
            </w:tcBorders>
            <w:shd w:val="clear" w:color="auto" w:fill="auto"/>
            <w:noWrap/>
            <w:vAlign w:val="center"/>
          </w:tcPr>
          <w:p w14:paraId="6A92BBC0" w14:textId="77777777" w:rsidR="0080773F" w:rsidRPr="001D3149" w:rsidRDefault="0080773F" w:rsidP="0080773F">
            <w:pPr>
              <w:spacing w:after="0" w:line="240" w:lineRule="auto"/>
              <w:jc w:val="center"/>
              <w:rPr>
                <w:color w:val="000000"/>
                <w:sz w:val="20"/>
              </w:rPr>
            </w:pPr>
            <w:r>
              <w:rPr>
                <w:color w:val="000000"/>
                <w:sz w:val="20"/>
              </w:rPr>
              <w:t>0%</w:t>
            </w:r>
          </w:p>
        </w:tc>
        <w:tc>
          <w:tcPr>
            <w:tcW w:w="1569" w:type="dxa"/>
            <w:tcBorders>
              <w:top w:val="nil"/>
              <w:left w:val="nil"/>
              <w:bottom w:val="nil"/>
              <w:right w:val="nil"/>
            </w:tcBorders>
            <w:shd w:val="clear" w:color="auto" w:fill="auto"/>
            <w:noWrap/>
            <w:vAlign w:val="center"/>
          </w:tcPr>
          <w:p w14:paraId="1A399DF4" w14:textId="77777777" w:rsidR="0080773F" w:rsidRPr="001D3149" w:rsidRDefault="0080773F" w:rsidP="0080773F">
            <w:pPr>
              <w:spacing w:after="0" w:line="240" w:lineRule="auto"/>
              <w:jc w:val="center"/>
              <w:rPr>
                <w:color w:val="000000"/>
                <w:sz w:val="20"/>
              </w:rPr>
            </w:pPr>
            <w:r>
              <w:rPr>
                <w:color w:val="000000"/>
                <w:sz w:val="20"/>
              </w:rPr>
              <w:t>5.9%</w:t>
            </w:r>
          </w:p>
        </w:tc>
      </w:tr>
      <w:tr w:rsidR="0080773F" w:rsidRPr="00BA1D24" w14:paraId="775D84A7"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0F56C806" w14:textId="77777777" w:rsidR="0080773F" w:rsidRPr="004728D6" w:rsidRDefault="0080773F" w:rsidP="0080773F">
            <w:pPr>
              <w:spacing w:after="0" w:line="240" w:lineRule="auto"/>
              <w:rPr>
                <w:color w:val="000000"/>
                <w:sz w:val="20"/>
              </w:rPr>
            </w:pPr>
            <w:r w:rsidRPr="004728D6">
              <w:rPr>
                <w:color w:val="000000"/>
                <w:sz w:val="20"/>
              </w:rPr>
              <w:t>Other Non-Cancer</w:t>
            </w:r>
          </w:p>
        </w:tc>
        <w:tc>
          <w:tcPr>
            <w:tcW w:w="1635" w:type="dxa"/>
            <w:tcBorders>
              <w:top w:val="nil"/>
              <w:left w:val="nil"/>
              <w:bottom w:val="nil"/>
              <w:right w:val="nil"/>
            </w:tcBorders>
            <w:shd w:val="clear" w:color="auto" w:fill="auto"/>
            <w:noWrap/>
            <w:vAlign w:val="center"/>
            <w:hideMark/>
          </w:tcPr>
          <w:p w14:paraId="0F44361F" w14:textId="77777777" w:rsidR="0080773F" w:rsidRPr="001D3149" w:rsidRDefault="0080773F" w:rsidP="0080773F">
            <w:pPr>
              <w:spacing w:after="0" w:line="240" w:lineRule="auto"/>
              <w:jc w:val="center"/>
              <w:rPr>
                <w:color w:val="000000"/>
                <w:sz w:val="20"/>
              </w:rPr>
            </w:pPr>
            <w:r>
              <w:rPr>
                <w:color w:val="000000"/>
                <w:sz w:val="20"/>
              </w:rPr>
              <w:t>5.4</w:t>
            </w:r>
            <w:r w:rsidRPr="001D3149">
              <w:rPr>
                <w:color w:val="000000"/>
                <w:sz w:val="20"/>
              </w:rPr>
              <w:t>%</w:t>
            </w:r>
          </w:p>
        </w:tc>
        <w:tc>
          <w:tcPr>
            <w:tcW w:w="1440" w:type="dxa"/>
            <w:tcBorders>
              <w:top w:val="nil"/>
              <w:left w:val="nil"/>
              <w:bottom w:val="nil"/>
              <w:right w:val="nil"/>
            </w:tcBorders>
            <w:shd w:val="clear" w:color="auto" w:fill="auto"/>
            <w:noWrap/>
            <w:vAlign w:val="center"/>
            <w:hideMark/>
          </w:tcPr>
          <w:p w14:paraId="46DCEF9F" w14:textId="77777777" w:rsidR="0080773F" w:rsidRPr="001D3149" w:rsidRDefault="0080773F" w:rsidP="0080773F">
            <w:pPr>
              <w:spacing w:after="0" w:line="240" w:lineRule="auto"/>
              <w:jc w:val="center"/>
              <w:rPr>
                <w:color w:val="000000"/>
                <w:sz w:val="20"/>
              </w:rPr>
            </w:pPr>
            <w:r>
              <w:rPr>
                <w:color w:val="000000"/>
                <w:sz w:val="20"/>
              </w:rPr>
              <w:t>0%</w:t>
            </w:r>
          </w:p>
        </w:tc>
        <w:tc>
          <w:tcPr>
            <w:tcW w:w="1569" w:type="dxa"/>
            <w:tcBorders>
              <w:top w:val="nil"/>
              <w:left w:val="nil"/>
              <w:bottom w:val="nil"/>
              <w:right w:val="nil"/>
            </w:tcBorders>
            <w:shd w:val="clear" w:color="auto" w:fill="auto"/>
            <w:noWrap/>
            <w:vAlign w:val="center"/>
            <w:hideMark/>
          </w:tcPr>
          <w:p w14:paraId="24E16E9F" w14:textId="77777777" w:rsidR="0080773F" w:rsidRPr="001D3149" w:rsidRDefault="0080773F" w:rsidP="0080773F">
            <w:pPr>
              <w:spacing w:after="0" w:line="240" w:lineRule="auto"/>
              <w:jc w:val="center"/>
              <w:rPr>
                <w:color w:val="000000"/>
                <w:sz w:val="20"/>
              </w:rPr>
            </w:pPr>
            <w:r>
              <w:rPr>
                <w:color w:val="000000"/>
                <w:sz w:val="20"/>
              </w:rPr>
              <w:t>14.7</w:t>
            </w:r>
            <w:r w:rsidRPr="001D3149">
              <w:rPr>
                <w:color w:val="000000"/>
                <w:sz w:val="20"/>
              </w:rPr>
              <w:t>%</w:t>
            </w:r>
          </w:p>
        </w:tc>
      </w:tr>
      <w:tr w:rsidR="0080773F" w:rsidRPr="00BA1D24" w14:paraId="262FE26B" w14:textId="77777777" w:rsidTr="00AA0EB2">
        <w:trPr>
          <w:trHeight w:val="144"/>
          <w:jc w:val="center"/>
        </w:trPr>
        <w:tc>
          <w:tcPr>
            <w:tcW w:w="4536" w:type="dxa"/>
            <w:tcBorders>
              <w:top w:val="nil"/>
              <w:left w:val="nil"/>
              <w:bottom w:val="nil"/>
              <w:right w:val="nil"/>
            </w:tcBorders>
            <w:shd w:val="clear" w:color="auto" w:fill="auto"/>
            <w:vAlign w:val="center"/>
            <w:hideMark/>
          </w:tcPr>
          <w:p w14:paraId="59B6F207" w14:textId="77777777" w:rsidR="0080773F" w:rsidRPr="004728D6" w:rsidRDefault="0080773F" w:rsidP="0080773F">
            <w:pPr>
              <w:spacing w:after="0" w:line="240" w:lineRule="auto"/>
              <w:rPr>
                <w:bCs/>
                <w:color w:val="000000"/>
                <w:sz w:val="20"/>
              </w:rPr>
            </w:pPr>
            <w:r>
              <w:rPr>
                <w:bCs/>
                <w:color w:val="000000"/>
                <w:sz w:val="20"/>
              </w:rPr>
              <w:t>Admitting</w:t>
            </w:r>
            <w:r w:rsidRPr="004728D6">
              <w:rPr>
                <w:bCs/>
                <w:color w:val="000000"/>
                <w:sz w:val="20"/>
              </w:rPr>
              <w:t xml:space="preserve"> Hospice Care Setting</w:t>
            </w:r>
          </w:p>
        </w:tc>
        <w:tc>
          <w:tcPr>
            <w:tcW w:w="1635" w:type="dxa"/>
            <w:tcBorders>
              <w:top w:val="nil"/>
              <w:left w:val="nil"/>
              <w:bottom w:val="nil"/>
              <w:right w:val="nil"/>
            </w:tcBorders>
            <w:shd w:val="clear" w:color="auto" w:fill="auto"/>
            <w:noWrap/>
            <w:vAlign w:val="bottom"/>
            <w:hideMark/>
          </w:tcPr>
          <w:p w14:paraId="5A6FDE05" w14:textId="77777777" w:rsidR="0080773F" w:rsidRPr="001D3149" w:rsidRDefault="0080773F" w:rsidP="0080773F">
            <w:pPr>
              <w:spacing w:after="0" w:line="240" w:lineRule="auto"/>
              <w:rPr>
                <w:b/>
                <w:bCs/>
                <w:color w:val="000000"/>
                <w:sz w:val="20"/>
              </w:rPr>
            </w:pPr>
          </w:p>
        </w:tc>
        <w:tc>
          <w:tcPr>
            <w:tcW w:w="1440" w:type="dxa"/>
            <w:tcBorders>
              <w:top w:val="nil"/>
              <w:left w:val="nil"/>
              <w:bottom w:val="nil"/>
              <w:right w:val="nil"/>
            </w:tcBorders>
            <w:shd w:val="clear" w:color="auto" w:fill="auto"/>
            <w:vAlign w:val="center"/>
            <w:hideMark/>
          </w:tcPr>
          <w:p w14:paraId="10A539BD" w14:textId="77777777" w:rsidR="0080773F" w:rsidRPr="001D3149" w:rsidRDefault="0080773F" w:rsidP="0080773F">
            <w:pPr>
              <w:spacing w:after="0" w:line="240" w:lineRule="auto"/>
              <w:rPr>
                <w:sz w:val="20"/>
              </w:rPr>
            </w:pPr>
          </w:p>
        </w:tc>
        <w:tc>
          <w:tcPr>
            <w:tcW w:w="1569" w:type="dxa"/>
            <w:tcBorders>
              <w:top w:val="nil"/>
              <w:left w:val="nil"/>
              <w:bottom w:val="nil"/>
              <w:right w:val="nil"/>
            </w:tcBorders>
            <w:shd w:val="clear" w:color="auto" w:fill="auto"/>
            <w:vAlign w:val="center"/>
            <w:hideMark/>
          </w:tcPr>
          <w:p w14:paraId="2DA4CBEC" w14:textId="77777777" w:rsidR="0080773F" w:rsidRPr="001D3149" w:rsidRDefault="0080773F" w:rsidP="0080773F">
            <w:pPr>
              <w:spacing w:after="0" w:line="240" w:lineRule="auto"/>
              <w:jc w:val="center"/>
              <w:rPr>
                <w:color w:val="000000"/>
                <w:sz w:val="20"/>
              </w:rPr>
            </w:pPr>
            <w:r w:rsidRPr="001D3149">
              <w:rPr>
                <w:color w:val="000000"/>
                <w:sz w:val="20"/>
              </w:rPr>
              <w:t> </w:t>
            </w:r>
          </w:p>
        </w:tc>
      </w:tr>
      <w:tr w:rsidR="0080773F" w:rsidRPr="00BA1D24" w14:paraId="484CE143"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160DF9DE" w14:textId="77777777" w:rsidR="0080773F" w:rsidRPr="004728D6" w:rsidRDefault="0080773F" w:rsidP="0080773F">
            <w:pPr>
              <w:spacing w:after="0" w:line="240" w:lineRule="auto"/>
              <w:rPr>
                <w:color w:val="000000"/>
                <w:sz w:val="20"/>
              </w:rPr>
            </w:pPr>
            <w:r>
              <w:rPr>
                <w:color w:val="000000"/>
                <w:sz w:val="20"/>
              </w:rPr>
              <w:t>Private Home</w:t>
            </w:r>
          </w:p>
        </w:tc>
        <w:tc>
          <w:tcPr>
            <w:tcW w:w="1635" w:type="dxa"/>
            <w:tcBorders>
              <w:top w:val="nil"/>
              <w:left w:val="nil"/>
              <w:bottom w:val="nil"/>
              <w:right w:val="nil"/>
            </w:tcBorders>
            <w:shd w:val="clear" w:color="auto" w:fill="auto"/>
            <w:noWrap/>
            <w:vAlign w:val="center"/>
            <w:hideMark/>
          </w:tcPr>
          <w:p w14:paraId="313768B4" w14:textId="77777777" w:rsidR="0080773F" w:rsidRPr="001D3149" w:rsidRDefault="0080773F" w:rsidP="0080773F">
            <w:pPr>
              <w:spacing w:after="0" w:line="240" w:lineRule="auto"/>
              <w:jc w:val="center"/>
              <w:rPr>
                <w:color w:val="000000"/>
                <w:sz w:val="20"/>
              </w:rPr>
            </w:pPr>
            <w:r w:rsidRPr="001D3149">
              <w:rPr>
                <w:color w:val="000000"/>
                <w:sz w:val="20"/>
              </w:rPr>
              <w:t>57.5%</w:t>
            </w:r>
          </w:p>
        </w:tc>
        <w:tc>
          <w:tcPr>
            <w:tcW w:w="1440" w:type="dxa"/>
            <w:tcBorders>
              <w:top w:val="nil"/>
              <w:left w:val="nil"/>
              <w:bottom w:val="nil"/>
              <w:right w:val="nil"/>
            </w:tcBorders>
            <w:shd w:val="clear" w:color="auto" w:fill="auto"/>
            <w:vAlign w:val="center"/>
            <w:hideMark/>
          </w:tcPr>
          <w:p w14:paraId="35B89DEE" w14:textId="77777777" w:rsidR="0080773F" w:rsidRPr="001D3149" w:rsidRDefault="0080773F" w:rsidP="0080773F">
            <w:pPr>
              <w:spacing w:after="0" w:line="240" w:lineRule="auto"/>
              <w:jc w:val="center"/>
              <w:rPr>
                <w:color w:val="000000"/>
                <w:sz w:val="20"/>
              </w:rPr>
            </w:pPr>
            <w:r w:rsidRPr="001D3149">
              <w:rPr>
                <w:color w:val="000000"/>
                <w:sz w:val="20"/>
              </w:rPr>
              <w:t>68.7%</w:t>
            </w:r>
          </w:p>
        </w:tc>
        <w:tc>
          <w:tcPr>
            <w:tcW w:w="1569" w:type="dxa"/>
            <w:tcBorders>
              <w:top w:val="nil"/>
              <w:left w:val="nil"/>
              <w:bottom w:val="nil"/>
              <w:right w:val="nil"/>
            </w:tcBorders>
            <w:shd w:val="clear" w:color="auto" w:fill="auto"/>
            <w:vAlign w:val="center"/>
            <w:hideMark/>
          </w:tcPr>
          <w:p w14:paraId="068F7374" w14:textId="77777777" w:rsidR="0080773F" w:rsidRPr="001D3149" w:rsidRDefault="0080773F" w:rsidP="0080773F">
            <w:pPr>
              <w:spacing w:after="0" w:line="240" w:lineRule="auto"/>
              <w:jc w:val="center"/>
              <w:rPr>
                <w:color w:val="000000"/>
                <w:sz w:val="20"/>
              </w:rPr>
            </w:pPr>
            <w:r w:rsidRPr="001D3149">
              <w:rPr>
                <w:color w:val="000000"/>
                <w:sz w:val="20"/>
              </w:rPr>
              <w:t>38.2%</w:t>
            </w:r>
          </w:p>
        </w:tc>
      </w:tr>
      <w:tr w:rsidR="0080773F" w:rsidRPr="00BA1D24" w14:paraId="58B06F7A"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486AA30D" w14:textId="77777777" w:rsidR="0080773F" w:rsidRPr="004728D6" w:rsidRDefault="0080773F" w:rsidP="0080773F">
            <w:pPr>
              <w:spacing w:after="0" w:line="240" w:lineRule="auto"/>
              <w:rPr>
                <w:color w:val="000000"/>
                <w:sz w:val="20"/>
              </w:rPr>
            </w:pPr>
            <w:r w:rsidRPr="004728D6">
              <w:rPr>
                <w:color w:val="000000"/>
                <w:sz w:val="20"/>
              </w:rPr>
              <w:t>Assisted Living Facility</w:t>
            </w:r>
          </w:p>
        </w:tc>
        <w:tc>
          <w:tcPr>
            <w:tcW w:w="1635" w:type="dxa"/>
            <w:tcBorders>
              <w:top w:val="nil"/>
              <w:left w:val="nil"/>
              <w:bottom w:val="nil"/>
              <w:right w:val="nil"/>
            </w:tcBorders>
            <w:shd w:val="clear" w:color="auto" w:fill="auto"/>
            <w:noWrap/>
            <w:vAlign w:val="center"/>
            <w:hideMark/>
          </w:tcPr>
          <w:p w14:paraId="3DFE1026" w14:textId="77777777" w:rsidR="0080773F" w:rsidRPr="001D3149" w:rsidRDefault="0080773F" w:rsidP="0080773F">
            <w:pPr>
              <w:spacing w:after="0" w:line="240" w:lineRule="auto"/>
              <w:jc w:val="center"/>
              <w:rPr>
                <w:color w:val="000000"/>
                <w:sz w:val="20"/>
              </w:rPr>
            </w:pPr>
            <w:r w:rsidRPr="001D3149">
              <w:rPr>
                <w:color w:val="000000"/>
                <w:sz w:val="20"/>
              </w:rPr>
              <w:t>4.4%</w:t>
            </w:r>
          </w:p>
        </w:tc>
        <w:tc>
          <w:tcPr>
            <w:tcW w:w="1440" w:type="dxa"/>
            <w:tcBorders>
              <w:top w:val="nil"/>
              <w:left w:val="nil"/>
              <w:bottom w:val="nil"/>
              <w:right w:val="nil"/>
            </w:tcBorders>
            <w:shd w:val="clear" w:color="auto" w:fill="auto"/>
            <w:vAlign w:val="center"/>
            <w:hideMark/>
          </w:tcPr>
          <w:p w14:paraId="56BE6742" w14:textId="77777777" w:rsidR="0080773F" w:rsidRPr="001D3149" w:rsidRDefault="0080773F" w:rsidP="0080773F">
            <w:pPr>
              <w:spacing w:after="0" w:line="240" w:lineRule="auto"/>
              <w:jc w:val="center"/>
              <w:rPr>
                <w:color w:val="000000"/>
                <w:sz w:val="20"/>
              </w:rPr>
            </w:pPr>
            <w:r w:rsidRPr="001D3149">
              <w:rPr>
                <w:color w:val="000000"/>
                <w:sz w:val="20"/>
              </w:rPr>
              <w:t>2.6%</w:t>
            </w:r>
          </w:p>
        </w:tc>
        <w:tc>
          <w:tcPr>
            <w:tcW w:w="1569" w:type="dxa"/>
            <w:tcBorders>
              <w:top w:val="nil"/>
              <w:left w:val="nil"/>
              <w:bottom w:val="nil"/>
              <w:right w:val="nil"/>
            </w:tcBorders>
            <w:shd w:val="clear" w:color="auto" w:fill="auto"/>
            <w:vAlign w:val="center"/>
            <w:hideMark/>
          </w:tcPr>
          <w:p w14:paraId="618C2691" w14:textId="77777777" w:rsidR="0080773F" w:rsidRPr="001D3149" w:rsidRDefault="0080773F" w:rsidP="0080773F">
            <w:pPr>
              <w:spacing w:after="0" w:line="240" w:lineRule="auto"/>
              <w:jc w:val="center"/>
              <w:rPr>
                <w:color w:val="000000"/>
                <w:sz w:val="20"/>
              </w:rPr>
            </w:pPr>
            <w:r w:rsidRPr="001D3149">
              <w:rPr>
                <w:color w:val="000000"/>
                <w:sz w:val="20"/>
              </w:rPr>
              <w:t>7.6%</w:t>
            </w:r>
          </w:p>
        </w:tc>
      </w:tr>
      <w:tr w:rsidR="0080773F" w:rsidRPr="00BA1D24" w14:paraId="67D35005"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03B17D41" w14:textId="77777777" w:rsidR="0080773F" w:rsidRPr="004728D6" w:rsidRDefault="0080773F" w:rsidP="0080773F">
            <w:pPr>
              <w:spacing w:after="0" w:line="240" w:lineRule="auto"/>
              <w:rPr>
                <w:color w:val="000000"/>
                <w:sz w:val="20"/>
              </w:rPr>
            </w:pPr>
            <w:r w:rsidRPr="004728D6">
              <w:rPr>
                <w:color w:val="000000"/>
                <w:sz w:val="20"/>
              </w:rPr>
              <w:t>Non-Skilled Nursing Facility</w:t>
            </w:r>
          </w:p>
        </w:tc>
        <w:tc>
          <w:tcPr>
            <w:tcW w:w="1635" w:type="dxa"/>
            <w:tcBorders>
              <w:top w:val="nil"/>
              <w:left w:val="nil"/>
              <w:bottom w:val="nil"/>
              <w:right w:val="nil"/>
            </w:tcBorders>
            <w:shd w:val="clear" w:color="auto" w:fill="auto"/>
            <w:noWrap/>
            <w:vAlign w:val="center"/>
            <w:hideMark/>
          </w:tcPr>
          <w:p w14:paraId="4B1EE999" w14:textId="77777777" w:rsidR="0080773F" w:rsidRPr="001D3149" w:rsidRDefault="0080773F" w:rsidP="0080773F">
            <w:pPr>
              <w:spacing w:after="0" w:line="240" w:lineRule="auto"/>
              <w:jc w:val="center"/>
              <w:rPr>
                <w:color w:val="000000"/>
                <w:sz w:val="20"/>
              </w:rPr>
            </w:pPr>
            <w:r w:rsidRPr="001D3149">
              <w:rPr>
                <w:color w:val="000000"/>
                <w:sz w:val="20"/>
              </w:rPr>
              <w:t>12.3%</w:t>
            </w:r>
          </w:p>
        </w:tc>
        <w:tc>
          <w:tcPr>
            <w:tcW w:w="1440" w:type="dxa"/>
            <w:tcBorders>
              <w:top w:val="nil"/>
              <w:left w:val="nil"/>
              <w:bottom w:val="nil"/>
              <w:right w:val="nil"/>
            </w:tcBorders>
            <w:shd w:val="clear" w:color="auto" w:fill="auto"/>
            <w:vAlign w:val="center"/>
            <w:hideMark/>
          </w:tcPr>
          <w:p w14:paraId="7BF47B41" w14:textId="77777777" w:rsidR="0080773F" w:rsidRPr="001D3149" w:rsidRDefault="0080773F" w:rsidP="0080773F">
            <w:pPr>
              <w:spacing w:after="0" w:line="240" w:lineRule="auto"/>
              <w:jc w:val="center"/>
              <w:rPr>
                <w:color w:val="000000"/>
                <w:sz w:val="20"/>
              </w:rPr>
            </w:pPr>
            <w:r w:rsidRPr="001D3149">
              <w:rPr>
                <w:color w:val="000000"/>
                <w:sz w:val="20"/>
              </w:rPr>
              <w:t>7.8%</w:t>
            </w:r>
          </w:p>
        </w:tc>
        <w:tc>
          <w:tcPr>
            <w:tcW w:w="1569" w:type="dxa"/>
            <w:tcBorders>
              <w:top w:val="nil"/>
              <w:left w:val="nil"/>
              <w:bottom w:val="nil"/>
              <w:right w:val="nil"/>
            </w:tcBorders>
            <w:shd w:val="clear" w:color="auto" w:fill="auto"/>
            <w:vAlign w:val="center"/>
            <w:hideMark/>
          </w:tcPr>
          <w:p w14:paraId="6D29634C" w14:textId="77777777" w:rsidR="0080773F" w:rsidRPr="001D3149" w:rsidRDefault="0080773F" w:rsidP="0080773F">
            <w:pPr>
              <w:spacing w:after="0" w:line="240" w:lineRule="auto"/>
              <w:jc w:val="center"/>
              <w:rPr>
                <w:color w:val="000000"/>
                <w:sz w:val="20"/>
              </w:rPr>
            </w:pPr>
            <w:r w:rsidRPr="001D3149">
              <w:rPr>
                <w:color w:val="000000"/>
                <w:sz w:val="20"/>
              </w:rPr>
              <w:t>20.0%</w:t>
            </w:r>
          </w:p>
        </w:tc>
      </w:tr>
      <w:tr w:rsidR="0080773F" w:rsidRPr="00BA1D24" w14:paraId="0932FC6A"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30B1C1EF" w14:textId="77777777" w:rsidR="0080773F" w:rsidRPr="004728D6" w:rsidRDefault="0080773F" w:rsidP="0080773F">
            <w:pPr>
              <w:spacing w:after="0" w:line="240" w:lineRule="auto"/>
              <w:rPr>
                <w:color w:val="000000"/>
                <w:sz w:val="20"/>
              </w:rPr>
            </w:pPr>
            <w:r w:rsidRPr="004728D6">
              <w:rPr>
                <w:color w:val="000000"/>
                <w:sz w:val="20"/>
              </w:rPr>
              <w:t>Skilled Nursing Facility</w:t>
            </w:r>
          </w:p>
        </w:tc>
        <w:tc>
          <w:tcPr>
            <w:tcW w:w="1635" w:type="dxa"/>
            <w:tcBorders>
              <w:top w:val="nil"/>
              <w:left w:val="nil"/>
              <w:bottom w:val="nil"/>
              <w:right w:val="nil"/>
            </w:tcBorders>
            <w:shd w:val="clear" w:color="auto" w:fill="auto"/>
            <w:noWrap/>
            <w:vAlign w:val="center"/>
            <w:hideMark/>
          </w:tcPr>
          <w:p w14:paraId="2E69B9CE" w14:textId="77777777" w:rsidR="0080773F" w:rsidRPr="001D3149" w:rsidRDefault="0080773F" w:rsidP="0080773F">
            <w:pPr>
              <w:spacing w:after="0" w:line="240" w:lineRule="auto"/>
              <w:jc w:val="center"/>
              <w:rPr>
                <w:color w:val="000000"/>
                <w:sz w:val="20"/>
              </w:rPr>
            </w:pPr>
            <w:r w:rsidRPr="001D3149">
              <w:rPr>
                <w:color w:val="000000"/>
                <w:sz w:val="20"/>
              </w:rPr>
              <w:t>8.3%</w:t>
            </w:r>
          </w:p>
        </w:tc>
        <w:tc>
          <w:tcPr>
            <w:tcW w:w="1440" w:type="dxa"/>
            <w:tcBorders>
              <w:top w:val="nil"/>
              <w:left w:val="nil"/>
              <w:bottom w:val="nil"/>
              <w:right w:val="nil"/>
            </w:tcBorders>
            <w:shd w:val="clear" w:color="auto" w:fill="auto"/>
            <w:vAlign w:val="center"/>
            <w:hideMark/>
          </w:tcPr>
          <w:p w14:paraId="2909CE5B" w14:textId="77777777" w:rsidR="0080773F" w:rsidRPr="001D3149" w:rsidRDefault="0080773F" w:rsidP="0080773F">
            <w:pPr>
              <w:spacing w:after="0" w:line="240" w:lineRule="auto"/>
              <w:jc w:val="center"/>
              <w:rPr>
                <w:color w:val="000000"/>
                <w:sz w:val="20"/>
              </w:rPr>
            </w:pPr>
            <w:r w:rsidRPr="001D3149">
              <w:rPr>
                <w:color w:val="000000"/>
                <w:sz w:val="20"/>
              </w:rPr>
              <w:t>5.8%</w:t>
            </w:r>
          </w:p>
        </w:tc>
        <w:tc>
          <w:tcPr>
            <w:tcW w:w="1569" w:type="dxa"/>
            <w:tcBorders>
              <w:top w:val="nil"/>
              <w:left w:val="nil"/>
              <w:bottom w:val="nil"/>
              <w:right w:val="nil"/>
            </w:tcBorders>
            <w:shd w:val="clear" w:color="auto" w:fill="auto"/>
            <w:vAlign w:val="center"/>
            <w:hideMark/>
          </w:tcPr>
          <w:p w14:paraId="783E4D93" w14:textId="77777777" w:rsidR="0080773F" w:rsidRPr="001D3149" w:rsidRDefault="0080773F" w:rsidP="0080773F">
            <w:pPr>
              <w:spacing w:after="0" w:line="240" w:lineRule="auto"/>
              <w:jc w:val="center"/>
              <w:rPr>
                <w:color w:val="000000"/>
                <w:sz w:val="20"/>
              </w:rPr>
            </w:pPr>
            <w:r w:rsidRPr="001D3149">
              <w:rPr>
                <w:color w:val="000000"/>
                <w:sz w:val="20"/>
              </w:rPr>
              <w:t>12.5%</w:t>
            </w:r>
          </w:p>
        </w:tc>
      </w:tr>
      <w:tr w:rsidR="0080773F" w:rsidRPr="00BA1D24" w14:paraId="4AA18D1C"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040A134D" w14:textId="77777777" w:rsidR="0080773F" w:rsidRPr="004728D6" w:rsidRDefault="0080773F" w:rsidP="0080773F">
            <w:pPr>
              <w:spacing w:after="0" w:line="240" w:lineRule="auto"/>
              <w:rPr>
                <w:color w:val="000000"/>
                <w:sz w:val="20"/>
              </w:rPr>
            </w:pPr>
            <w:r w:rsidRPr="004728D6">
              <w:rPr>
                <w:color w:val="000000"/>
                <w:sz w:val="20"/>
              </w:rPr>
              <w:t>Inpatient (Acute Care) Hospital</w:t>
            </w:r>
          </w:p>
        </w:tc>
        <w:tc>
          <w:tcPr>
            <w:tcW w:w="1635" w:type="dxa"/>
            <w:tcBorders>
              <w:top w:val="nil"/>
              <w:left w:val="nil"/>
              <w:bottom w:val="nil"/>
              <w:right w:val="nil"/>
            </w:tcBorders>
            <w:shd w:val="clear" w:color="auto" w:fill="auto"/>
            <w:noWrap/>
            <w:vAlign w:val="center"/>
            <w:hideMark/>
          </w:tcPr>
          <w:p w14:paraId="11932B92" w14:textId="77777777" w:rsidR="0080773F" w:rsidRPr="001D3149" w:rsidRDefault="0080773F" w:rsidP="0080773F">
            <w:pPr>
              <w:spacing w:after="0" w:line="240" w:lineRule="auto"/>
              <w:jc w:val="center"/>
              <w:rPr>
                <w:color w:val="000000"/>
                <w:sz w:val="20"/>
              </w:rPr>
            </w:pPr>
            <w:r w:rsidRPr="001D3149">
              <w:rPr>
                <w:color w:val="000000"/>
                <w:sz w:val="20"/>
              </w:rPr>
              <w:t>8.2%</w:t>
            </w:r>
          </w:p>
        </w:tc>
        <w:tc>
          <w:tcPr>
            <w:tcW w:w="1440" w:type="dxa"/>
            <w:tcBorders>
              <w:top w:val="nil"/>
              <w:left w:val="nil"/>
              <w:bottom w:val="nil"/>
              <w:right w:val="nil"/>
            </w:tcBorders>
            <w:shd w:val="clear" w:color="auto" w:fill="auto"/>
            <w:vAlign w:val="center"/>
            <w:hideMark/>
          </w:tcPr>
          <w:p w14:paraId="55FB352A" w14:textId="77777777" w:rsidR="0080773F" w:rsidRPr="001D3149" w:rsidRDefault="0080773F" w:rsidP="0080773F">
            <w:pPr>
              <w:spacing w:after="0" w:line="240" w:lineRule="auto"/>
              <w:jc w:val="center"/>
              <w:rPr>
                <w:color w:val="000000"/>
                <w:sz w:val="20"/>
              </w:rPr>
            </w:pPr>
            <w:r w:rsidRPr="001D3149">
              <w:rPr>
                <w:color w:val="000000"/>
                <w:sz w:val="20"/>
              </w:rPr>
              <w:t>6.6%</w:t>
            </w:r>
          </w:p>
        </w:tc>
        <w:tc>
          <w:tcPr>
            <w:tcW w:w="1569" w:type="dxa"/>
            <w:tcBorders>
              <w:top w:val="nil"/>
              <w:left w:val="nil"/>
              <w:bottom w:val="nil"/>
              <w:right w:val="nil"/>
            </w:tcBorders>
            <w:shd w:val="clear" w:color="auto" w:fill="auto"/>
            <w:vAlign w:val="center"/>
            <w:hideMark/>
          </w:tcPr>
          <w:p w14:paraId="21335DC8" w14:textId="77777777" w:rsidR="0080773F" w:rsidRPr="001D3149" w:rsidRDefault="0080773F" w:rsidP="0080773F">
            <w:pPr>
              <w:spacing w:after="0" w:line="240" w:lineRule="auto"/>
              <w:jc w:val="center"/>
              <w:rPr>
                <w:color w:val="000000"/>
                <w:sz w:val="20"/>
              </w:rPr>
            </w:pPr>
            <w:r w:rsidRPr="001D3149">
              <w:rPr>
                <w:color w:val="000000"/>
                <w:sz w:val="20"/>
              </w:rPr>
              <w:t>10.8%</w:t>
            </w:r>
          </w:p>
        </w:tc>
      </w:tr>
      <w:tr w:rsidR="0080773F" w:rsidRPr="00BA1D24" w14:paraId="45C9FF8B"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32AF41A4" w14:textId="77777777" w:rsidR="0080773F" w:rsidRPr="004728D6" w:rsidRDefault="0080773F" w:rsidP="0080773F">
            <w:pPr>
              <w:spacing w:after="0" w:line="240" w:lineRule="auto"/>
              <w:rPr>
                <w:color w:val="000000"/>
                <w:sz w:val="20"/>
              </w:rPr>
            </w:pPr>
            <w:r w:rsidRPr="004728D6">
              <w:rPr>
                <w:color w:val="000000"/>
                <w:sz w:val="20"/>
              </w:rPr>
              <w:t>Inpatient Hospice Facility</w:t>
            </w:r>
          </w:p>
        </w:tc>
        <w:tc>
          <w:tcPr>
            <w:tcW w:w="1635" w:type="dxa"/>
            <w:tcBorders>
              <w:top w:val="nil"/>
              <w:left w:val="nil"/>
              <w:bottom w:val="nil"/>
              <w:right w:val="nil"/>
            </w:tcBorders>
            <w:shd w:val="clear" w:color="auto" w:fill="auto"/>
            <w:noWrap/>
            <w:vAlign w:val="center"/>
            <w:hideMark/>
          </w:tcPr>
          <w:p w14:paraId="0875FB96" w14:textId="77777777" w:rsidR="0080773F" w:rsidRPr="001D3149" w:rsidRDefault="0080773F" w:rsidP="0080773F">
            <w:pPr>
              <w:spacing w:after="0" w:line="240" w:lineRule="auto"/>
              <w:jc w:val="center"/>
              <w:rPr>
                <w:color w:val="000000"/>
                <w:sz w:val="20"/>
              </w:rPr>
            </w:pPr>
            <w:r w:rsidRPr="001D3149">
              <w:rPr>
                <w:color w:val="000000"/>
                <w:sz w:val="20"/>
              </w:rPr>
              <w:t>8.1%</w:t>
            </w:r>
          </w:p>
        </w:tc>
        <w:tc>
          <w:tcPr>
            <w:tcW w:w="1440" w:type="dxa"/>
            <w:tcBorders>
              <w:top w:val="nil"/>
              <w:left w:val="nil"/>
              <w:bottom w:val="nil"/>
              <w:right w:val="nil"/>
            </w:tcBorders>
            <w:shd w:val="clear" w:color="auto" w:fill="auto"/>
            <w:vAlign w:val="center"/>
            <w:hideMark/>
          </w:tcPr>
          <w:p w14:paraId="31415627" w14:textId="77777777" w:rsidR="0080773F" w:rsidRPr="001D3149" w:rsidRDefault="0080773F" w:rsidP="0080773F">
            <w:pPr>
              <w:spacing w:after="0" w:line="240" w:lineRule="auto"/>
              <w:jc w:val="center"/>
              <w:rPr>
                <w:color w:val="000000"/>
                <w:sz w:val="20"/>
              </w:rPr>
            </w:pPr>
            <w:r w:rsidRPr="001D3149">
              <w:rPr>
                <w:color w:val="000000"/>
                <w:sz w:val="20"/>
              </w:rPr>
              <w:t>7.3%</w:t>
            </w:r>
          </w:p>
        </w:tc>
        <w:tc>
          <w:tcPr>
            <w:tcW w:w="1569" w:type="dxa"/>
            <w:tcBorders>
              <w:top w:val="nil"/>
              <w:left w:val="nil"/>
              <w:bottom w:val="nil"/>
              <w:right w:val="nil"/>
            </w:tcBorders>
            <w:shd w:val="clear" w:color="auto" w:fill="auto"/>
            <w:vAlign w:val="center"/>
            <w:hideMark/>
          </w:tcPr>
          <w:p w14:paraId="3292D389" w14:textId="77777777" w:rsidR="0080773F" w:rsidRPr="001D3149" w:rsidRDefault="0080773F" w:rsidP="0080773F">
            <w:pPr>
              <w:spacing w:after="0" w:line="240" w:lineRule="auto"/>
              <w:jc w:val="center"/>
              <w:rPr>
                <w:color w:val="000000"/>
                <w:sz w:val="20"/>
              </w:rPr>
            </w:pPr>
            <w:r w:rsidRPr="001D3149">
              <w:rPr>
                <w:color w:val="000000"/>
                <w:sz w:val="20"/>
              </w:rPr>
              <w:t>9.4%</w:t>
            </w:r>
          </w:p>
        </w:tc>
      </w:tr>
      <w:tr w:rsidR="0080773F" w:rsidRPr="00BA1D24" w14:paraId="156ADDC0" w14:textId="77777777" w:rsidTr="00AA0EB2">
        <w:trPr>
          <w:trHeight w:val="87"/>
          <w:jc w:val="center"/>
        </w:trPr>
        <w:tc>
          <w:tcPr>
            <w:tcW w:w="4536" w:type="dxa"/>
            <w:tcBorders>
              <w:top w:val="nil"/>
              <w:left w:val="nil"/>
              <w:bottom w:val="nil"/>
              <w:right w:val="nil"/>
            </w:tcBorders>
            <w:shd w:val="clear" w:color="auto" w:fill="auto"/>
            <w:tcMar>
              <w:left w:w="288" w:type="dxa"/>
            </w:tcMar>
            <w:vAlign w:val="center"/>
            <w:hideMark/>
          </w:tcPr>
          <w:p w14:paraId="715D49FD" w14:textId="77777777" w:rsidR="0080773F" w:rsidRPr="004728D6" w:rsidRDefault="0080773F" w:rsidP="0080773F">
            <w:pPr>
              <w:spacing w:after="0" w:line="240" w:lineRule="auto"/>
              <w:rPr>
                <w:color w:val="000000"/>
                <w:sz w:val="20"/>
              </w:rPr>
            </w:pPr>
            <w:r w:rsidRPr="004728D6">
              <w:rPr>
                <w:color w:val="000000"/>
                <w:sz w:val="20"/>
              </w:rPr>
              <w:t>Other</w:t>
            </w:r>
          </w:p>
        </w:tc>
        <w:tc>
          <w:tcPr>
            <w:tcW w:w="1635" w:type="dxa"/>
            <w:tcBorders>
              <w:top w:val="nil"/>
              <w:left w:val="nil"/>
              <w:bottom w:val="nil"/>
              <w:right w:val="nil"/>
            </w:tcBorders>
            <w:shd w:val="clear" w:color="auto" w:fill="auto"/>
            <w:noWrap/>
            <w:vAlign w:val="center"/>
            <w:hideMark/>
          </w:tcPr>
          <w:p w14:paraId="22EC6E97" w14:textId="77777777" w:rsidR="0080773F" w:rsidRPr="001D3149" w:rsidRDefault="0080773F" w:rsidP="0080773F">
            <w:pPr>
              <w:spacing w:after="0" w:line="240" w:lineRule="auto"/>
              <w:jc w:val="center"/>
              <w:rPr>
                <w:color w:val="000000"/>
                <w:sz w:val="20"/>
              </w:rPr>
            </w:pPr>
            <w:r w:rsidRPr="001D3149">
              <w:rPr>
                <w:color w:val="000000"/>
                <w:sz w:val="20"/>
              </w:rPr>
              <w:t>1.3%</w:t>
            </w:r>
          </w:p>
        </w:tc>
        <w:tc>
          <w:tcPr>
            <w:tcW w:w="1440" w:type="dxa"/>
            <w:tcBorders>
              <w:top w:val="nil"/>
              <w:left w:val="nil"/>
              <w:bottom w:val="nil"/>
              <w:right w:val="nil"/>
            </w:tcBorders>
            <w:shd w:val="clear" w:color="auto" w:fill="auto"/>
            <w:vAlign w:val="center"/>
            <w:hideMark/>
          </w:tcPr>
          <w:p w14:paraId="635B5E1C" w14:textId="77777777" w:rsidR="0080773F" w:rsidRPr="001D3149" w:rsidRDefault="0080773F" w:rsidP="0080773F">
            <w:pPr>
              <w:spacing w:after="0" w:line="240" w:lineRule="auto"/>
              <w:jc w:val="center"/>
              <w:rPr>
                <w:color w:val="000000"/>
                <w:sz w:val="20"/>
              </w:rPr>
            </w:pPr>
            <w:r w:rsidRPr="001D3149">
              <w:rPr>
                <w:color w:val="000000"/>
                <w:sz w:val="20"/>
              </w:rPr>
              <w:t>1.3%</w:t>
            </w:r>
          </w:p>
        </w:tc>
        <w:tc>
          <w:tcPr>
            <w:tcW w:w="1569" w:type="dxa"/>
            <w:tcBorders>
              <w:top w:val="nil"/>
              <w:left w:val="nil"/>
              <w:bottom w:val="nil"/>
              <w:right w:val="nil"/>
            </w:tcBorders>
            <w:shd w:val="clear" w:color="auto" w:fill="auto"/>
            <w:vAlign w:val="center"/>
            <w:hideMark/>
          </w:tcPr>
          <w:p w14:paraId="43364E69" w14:textId="77777777" w:rsidR="0080773F" w:rsidRPr="001D3149" w:rsidRDefault="0080773F" w:rsidP="0080773F">
            <w:pPr>
              <w:spacing w:after="0" w:line="240" w:lineRule="auto"/>
              <w:jc w:val="center"/>
              <w:rPr>
                <w:color w:val="000000"/>
                <w:sz w:val="20"/>
              </w:rPr>
            </w:pPr>
            <w:r w:rsidRPr="001D3149">
              <w:rPr>
                <w:color w:val="000000"/>
                <w:sz w:val="20"/>
              </w:rPr>
              <w:t>1.4%</w:t>
            </w:r>
          </w:p>
        </w:tc>
      </w:tr>
      <w:tr w:rsidR="00D904FC" w:rsidRPr="00BA1D24" w14:paraId="5C07D514" w14:textId="77777777" w:rsidTr="00AA0EB2">
        <w:trPr>
          <w:trHeight w:val="144"/>
          <w:jc w:val="center"/>
        </w:trPr>
        <w:tc>
          <w:tcPr>
            <w:tcW w:w="4536" w:type="dxa"/>
            <w:tcBorders>
              <w:top w:val="nil"/>
              <w:left w:val="nil"/>
              <w:bottom w:val="nil"/>
              <w:right w:val="nil"/>
            </w:tcBorders>
            <w:shd w:val="clear" w:color="auto" w:fill="auto"/>
            <w:noWrap/>
            <w:vAlign w:val="center"/>
            <w:hideMark/>
          </w:tcPr>
          <w:p w14:paraId="3FC9CCCA" w14:textId="77777777" w:rsidR="00D904FC" w:rsidRPr="004728D6" w:rsidRDefault="00D904FC" w:rsidP="00D904FC">
            <w:pPr>
              <w:spacing w:after="0" w:line="240" w:lineRule="auto"/>
              <w:rPr>
                <w:bCs/>
                <w:color w:val="000000"/>
                <w:sz w:val="20"/>
              </w:rPr>
            </w:pPr>
            <w:r w:rsidRPr="004728D6">
              <w:rPr>
                <w:bCs/>
                <w:color w:val="000000"/>
                <w:sz w:val="20"/>
              </w:rPr>
              <w:t>Comorbid</w:t>
            </w:r>
            <w:r>
              <w:rPr>
                <w:bCs/>
                <w:color w:val="000000"/>
                <w:sz w:val="20"/>
              </w:rPr>
              <w:t>ity</w:t>
            </w:r>
          </w:p>
        </w:tc>
        <w:tc>
          <w:tcPr>
            <w:tcW w:w="1635" w:type="dxa"/>
            <w:tcBorders>
              <w:top w:val="nil"/>
              <w:left w:val="nil"/>
              <w:bottom w:val="nil"/>
              <w:right w:val="nil"/>
            </w:tcBorders>
            <w:shd w:val="clear" w:color="auto" w:fill="auto"/>
            <w:noWrap/>
            <w:vAlign w:val="bottom"/>
            <w:hideMark/>
          </w:tcPr>
          <w:p w14:paraId="3BC24A82" w14:textId="77777777" w:rsidR="00D904FC" w:rsidRPr="001D3149" w:rsidRDefault="00D904FC" w:rsidP="00D904FC">
            <w:pPr>
              <w:spacing w:after="0" w:line="240" w:lineRule="auto"/>
              <w:rPr>
                <w:b/>
                <w:bCs/>
                <w:color w:val="000000"/>
                <w:sz w:val="20"/>
              </w:rPr>
            </w:pPr>
          </w:p>
        </w:tc>
        <w:tc>
          <w:tcPr>
            <w:tcW w:w="1440" w:type="dxa"/>
            <w:tcBorders>
              <w:top w:val="nil"/>
              <w:left w:val="nil"/>
              <w:bottom w:val="nil"/>
              <w:right w:val="nil"/>
            </w:tcBorders>
            <w:shd w:val="clear" w:color="auto" w:fill="auto"/>
            <w:vAlign w:val="center"/>
            <w:hideMark/>
          </w:tcPr>
          <w:p w14:paraId="27B13100" w14:textId="77777777" w:rsidR="00D904FC" w:rsidRPr="001D3149" w:rsidRDefault="00D904FC" w:rsidP="00D904FC">
            <w:pPr>
              <w:spacing w:after="0" w:line="240" w:lineRule="auto"/>
              <w:rPr>
                <w:sz w:val="20"/>
              </w:rPr>
            </w:pPr>
          </w:p>
        </w:tc>
        <w:tc>
          <w:tcPr>
            <w:tcW w:w="1569" w:type="dxa"/>
            <w:tcBorders>
              <w:top w:val="nil"/>
              <w:left w:val="nil"/>
              <w:bottom w:val="nil"/>
              <w:right w:val="nil"/>
            </w:tcBorders>
            <w:shd w:val="clear" w:color="auto" w:fill="auto"/>
            <w:vAlign w:val="center"/>
            <w:hideMark/>
          </w:tcPr>
          <w:p w14:paraId="53B18352" w14:textId="77777777" w:rsidR="00D904FC" w:rsidRPr="001D3149" w:rsidRDefault="00D904FC" w:rsidP="00D904FC">
            <w:pPr>
              <w:spacing w:after="0" w:line="240" w:lineRule="auto"/>
              <w:jc w:val="center"/>
              <w:rPr>
                <w:color w:val="000000"/>
                <w:sz w:val="20"/>
              </w:rPr>
            </w:pPr>
            <w:r w:rsidRPr="001D3149">
              <w:rPr>
                <w:color w:val="000000"/>
                <w:sz w:val="20"/>
              </w:rPr>
              <w:t> </w:t>
            </w:r>
          </w:p>
        </w:tc>
      </w:tr>
      <w:tr w:rsidR="00D904FC" w:rsidRPr="00BA1D24" w14:paraId="4D023A07"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33863682" w14:textId="77777777" w:rsidR="00D904FC" w:rsidRPr="004728D6" w:rsidRDefault="00D904FC" w:rsidP="00D904FC">
            <w:pPr>
              <w:spacing w:after="0" w:line="240" w:lineRule="auto"/>
              <w:rPr>
                <w:color w:val="000000"/>
                <w:sz w:val="20"/>
              </w:rPr>
            </w:pPr>
            <w:r w:rsidRPr="004728D6">
              <w:rPr>
                <w:color w:val="000000"/>
                <w:sz w:val="20"/>
              </w:rPr>
              <w:t>Hypertension</w:t>
            </w:r>
          </w:p>
        </w:tc>
        <w:tc>
          <w:tcPr>
            <w:tcW w:w="1635" w:type="dxa"/>
            <w:tcBorders>
              <w:top w:val="nil"/>
              <w:left w:val="nil"/>
              <w:bottom w:val="nil"/>
              <w:right w:val="nil"/>
            </w:tcBorders>
            <w:shd w:val="clear" w:color="auto" w:fill="auto"/>
            <w:noWrap/>
            <w:vAlign w:val="center"/>
            <w:hideMark/>
          </w:tcPr>
          <w:p w14:paraId="3EE5F5B0" w14:textId="77777777" w:rsidR="00D904FC" w:rsidRPr="001D3149" w:rsidRDefault="00D904FC" w:rsidP="00D904FC">
            <w:pPr>
              <w:spacing w:after="0" w:line="240" w:lineRule="auto"/>
              <w:jc w:val="center"/>
              <w:rPr>
                <w:color w:val="000000"/>
                <w:sz w:val="20"/>
              </w:rPr>
            </w:pPr>
            <w:r w:rsidRPr="001D3149">
              <w:rPr>
                <w:color w:val="000000"/>
                <w:sz w:val="20"/>
              </w:rPr>
              <w:t>86.4%</w:t>
            </w:r>
          </w:p>
        </w:tc>
        <w:tc>
          <w:tcPr>
            <w:tcW w:w="1440" w:type="dxa"/>
            <w:tcBorders>
              <w:top w:val="nil"/>
              <w:left w:val="nil"/>
              <w:bottom w:val="nil"/>
              <w:right w:val="nil"/>
            </w:tcBorders>
            <w:shd w:val="clear" w:color="auto" w:fill="auto"/>
            <w:vAlign w:val="center"/>
            <w:hideMark/>
          </w:tcPr>
          <w:p w14:paraId="170F4053" w14:textId="77777777" w:rsidR="00D904FC" w:rsidRPr="001D3149" w:rsidRDefault="00D904FC" w:rsidP="00D904FC">
            <w:pPr>
              <w:spacing w:after="0" w:line="240" w:lineRule="auto"/>
              <w:jc w:val="center"/>
              <w:rPr>
                <w:color w:val="000000"/>
                <w:sz w:val="20"/>
              </w:rPr>
            </w:pPr>
            <w:r w:rsidRPr="001D3149">
              <w:rPr>
                <w:color w:val="000000"/>
                <w:sz w:val="20"/>
              </w:rPr>
              <w:t>85.5%</w:t>
            </w:r>
          </w:p>
        </w:tc>
        <w:tc>
          <w:tcPr>
            <w:tcW w:w="1569" w:type="dxa"/>
            <w:tcBorders>
              <w:top w:val="nil"/>
              <w:left w:val="nil"/>
              <w:bottom w:val="nil"/>
              <w:right w:val="nil"/>
            </w:tcBorders>
            <w:shd w:val="clear" w:color="auto" w:fill="auto"/>
            <w:vAlign w:val="center"/>
            <w:hideMark/>
          </w:tcPr>
          <w:p w14:paraId="3F236C65" w14:textId="77777777" w:rsidR="00D904FC" w:rsidRPr="001D3149" w:rsidRDefault="00D904FC" w:rsidP="00D904FC">
            <w:pPr>
              <w:spacing w:after="0" w:line="240" w:lineRule="auto"/>
              <w:jc w:val="center"/>
              <w:rPr>
                <w:color w:val="000000"/>
                <w:sz w:val="20"/>
              </w:rPr>
            </w:pPr>
            <w:r w:rsidRPr="001D3149">
              <w:rPr>
                <w:color w:val="000000"/>
                <w:sz w:val="20"/>
              </w:rPr>
              <w:t>88.0%</w:t>
            </w:r>
          </w:p>
        </w:tc>
      </w:tr>
      <w:tr w:rsidR="00D904FC" w:rsidRPr="00BA1D24" w14:paraId="665B650A"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6979087D" w14:textId="77777777" w:rsidR="00D904FC" w:rsidRPr="004728D6" w:rsidRDefault="00D904FC" w:rsidP="00D904FC">
            <w:pPr>
              <w:spacing w:after="0" w:line="240" w:lineRule="auto"/>
              <w:rPr>
                <w:color w:val="000000"/>
                <w:sz w:val="20"/>
              </w:rPr>
            </w:pPr>
            <w:r w:rsidRPr="004728D6">
              <w:rPr>
                <w:color w:val="000000"/>
                <w:sz w:val="20"/>
              </w:rPr>
              <w:t>Heart Failure</w:t>
            </w:r>
          </w:p>
        </w:tc>
        <w:tc>
          <w:tcPr>
            <w:tcW w:w="1635" w:type="dxa"/>
            <w:tcBorders>
              <w:top w:val="nil"/>
              <w:left w:val="nil"/>
              <w:bottom w:val="nil"/>
              <w:right w:val="nil"/>
            </w:tcBorders>
            <w:shd w:val="clear" w:color="auto" w:fill="auto"/>
            <w:noWrap/>
            <w:vAlign w:val="center"/>
            <w:hideMark/>
          </w:tcPr>
          <w:p w14:paraId="63479D77" w14:textId="77777777" w:rsidR="00D904FC" w:rsidRPr="001D3149" w:rsidRDefault="00D904FC" w:rsidP="00D904FC">
            <w:pPr>
              <w:spacing w:after="0" w:line="240" w:lineRule="auto"/>
              <w:jc w:val="center"/>
              <w:rPr>
                <w:color w:val="000000"/>
                <w:sz w:val="20"/>
              </w:rPr>
            </w:pPr>
            <w:r w:rsidRPr="001D3149">
              <w:rPr>
                <w:color w:val="000000"/>
                <w:sz w:val="20"/>
              </w:rPr>
              <w:t>33.5%</w:t>
            </w:r>
          </w:p>
        </w:tc>
        <w:tc>
          <w:tcPr>
            <w:tcW w:w="1440" w:type="dxa"/>
            <w:tcBorders>
              <w:top w:val="nil"/>
              <w:left w:val="nil"/>
              <w:bottom w:val="nil"/>
              <w:right w:val="nil"/>
            </w:tcBorders>
            <w:shd w:val="clear" w:color="auto" w:fill="auto"/>
            <w:vAlign w:val="center"/>
            <w:hideMark/>
          </w:tcPr>
          <w:p w14:paraId="4D70DA50" w14:textId="77777777" w:rsidR="00D904FC" w:rsidRPr="001D3149" w:rsidRDefault="00D904FC" w:rsidP="00D904FC">
            <w:pPr>
              <w:spacing w:after="0" w:line="240" w:lineRule="auto"/>
              <w:jc w:val="center"/>
              <w:rPr>
                <w:color w:val="000000"/>
                <w:sz w:val="20"/>
              </w:rPr>
            </w:pPr>
            <w:r w:rsidRPr="001D3149">
              <w:rPr>
                <w:color w:val="000000"/>
                <w:sz w:val="20"/>
              </w:rPr>
              <w:t>24.6%</w:t>
            </w:r>
          </w:p>
        </w:tc>
        <w:tc>
          <w:tcPr>
            <w:tcW w:w="1569" w:type="dxa"/>
            <w:tcBorders>
              <w:top w:val="nil"/>
              <w:left w:val="nil"/>
              <w:bottom w:val="nil"/>
              <w:right w:val="nil"/>
            </w:tcBorders>
            <w:shd w:val="clear" w:color="auto" w:fill="auto"/>
            <w:vAlign w:val="center"/>
            <w:hideMark/>
          </w:tcPr>
          <w:p w14:paraId="7D74011B" w14:textId="77777777" w:rsidR="00D904FC" w:rsidRPr="001D3149" w:rsidRDefault="00D904FC" w:rsidP="00D904FC">
            <w:pPr>
              <w:spacing w:after="0" w:line="240" w:lineRule="auto"/>
              <w:jc w:val="center"/>
              <w:rPr>
                <w:color w:val="000000"/>
                <w:sz w:val="20"/>
              </w:rPr>
            </w:pPr>
            <w:r w:rsidRPr="001D3149">
              <w:rPr>
                <w:color w:val="000000"/>
                <w:sz w:val="20"/>
              </w:rPr>
              <w:t>48.8%</w:t>
            </w:r>
          </w:p>
        </w:tc>
      </w:tr>
      <w:tr w:rsidR="00D904FC" w:rsidRPr="00BA1D24" w14:paraId="743A357A" w14:textId="77777777" w:rsidTr="00AA0EB2">
        <w:trPr>
          <w:trHeight w:val="144"/>
          <w:jc w:val="center"/>
        </w:trPr>
        <w:tc>
          <w:tcPr>
            <w:tcW w:w="4536" w:type="dxa"/>
            <w:tcBorders>
              <w:top w:val="nil"/>
              <w:left w:val="nil"/>
              <w:bottom w:val="single" w:sz="6" w:space="0" w:color="auto"/>
              <w:right w:val="nil"/>
            </w:tcBorders>
            <w:shd w:val="clear" w:color="auto" w:fill="auto"/>
            <w:noWrap/>
            <w:tcMar>
              <w:left w:w="288" w:type="dxa"/>
            </w:tcMar>
            <w:vAlign w:val="center"/>
            <w:hideMark/>
          </w:tcPr>
          <w:p w14:paraId="5B4010C4" w14:textId="77777777" w:rsidR="00D904FC" w:rsidRPr="004728D6" w:rsidRDefault="00D904FC" w:rsidP="00D904FC">
            <w:pPr>
              <w:spacing w:after="0" w:line="240" w:lineRule="auto"/>
              <w:rPr>
                <w:color w:val="000000"/>
                <w:sz w:val="20"/>
              </w:rPr>
            </w:pPr>
            <w:r w:rsidRPr="004728D6">
              <w:rPr>
                <w:color w:val="000000"/>
                <w:sz w:val="20"/>
              </w:rPr>
              <w:t>Diabetes Mellitus</w:t>
            </w:r>
          </w:p>
        </w:tc>
        <w:tc>
          <w:tcPr>
            <w:tcW w:w="1635" w:type="dxa"/>
            <w:tcBorders>
              <w:top w:val="nil"/>
              <w:left w:val="nil"/>
              <w:bottom w:val="single" w:sz="6" w:space="0" w:color="auto"/>
              <w:right w:val="nil"/>
            </w:tcBorders>
            <w:shd w:val="clear" w:color="auto" w:fill="auto"/>
            <w:noWrap/>
            <w:vAlign w:val="center"/>
            <w:hideMark/>
          </w:tcPr>
          <w:p w14:paraId="43D00AC4" w14:textId="77777777" w:rsidR="00D904FC" w:rsidRPr="001D3149" w:rsidRDefault="00D904FC" w:rsidP="00D904FC">
            <w:pPr>
              <w:spacing w:after="0" w:line="240" w:lineRule="auto"/>
              <w:jc w:val="center"/>
              <w:rPr>
                <w:color w:val="000000"/>
                <w:sz w:val="20"/>
              </w:rPr>
            </w:pPr>
            <w:r w:rsidRPr="001D3149">
              <w:rPr>
                <w:color w:val="000000"/>
                <w:sz w:val="20"/>
              </w:rPr>
              <w:t>40.9%</w:t>
            </w:r>
          </w:p>
        </w:tc>
        <w:tc>
          <w:tcPr>
            <w:tcW w:w="1440" w:type="dxa"/>
            <w:tcBorders>
              <w:top w:val="nil"/>
              <w:left w:val="nil"/>
              <w:bottom w:val="single" w:sz="6" w:space="0" w:color="auto"/>
              <w:right w:val="nil"/>
            </w:tcBorders>
            <w:shd w:val="clear" w:color="auto" w:fill="auto"/>
            <w:vAlign w:val="center"/>
            <w:hideMark/>
          </w:tcPr>
          <w:p w14:paraId="1F39D9B2" w14:textId="77777777" w:rsidR="00D904FC" w:rsidRPr="001D3149" w:rsidRDefault="00D904FC" w:rsidP="00D904FC">
            <w:pPr>
              <w:spacing w:after="0" w:line="240" w:lineRule="auto"/>
              <w:jc w:val="center"/>
              <w:rPr>
                <w:color w:val="000000"/>
                <w:sz w:val="20"/>
              </w:rPr>
            </w:pPr>
            <w:r w:rsidRPr="001D3149">
              <w:rPr>
                <w:color w:val="000000"/>
                <w:sz w:val="20"/>
              </w:rPr>
              <w:t>40.4%</w:t>
            </w:r>
          </w:p>
        </w:tc>
        <w:tc>
          <w:tcPr>
            <w:tcW w:w="1569" w:type="dxa"/>
            <w:tcBorders>
              <w:top w:val="nil"/>
              <w:left w:val="nil"/>
              <w:bottom w:val="single" w:sz="6" w:space="0" w:color="auto"/>
              <w:right w:val="nil"/>
            </w:tcBorders>
            <w:shd w:val="clear" w:color="auto" w:fill="auto"/>
            <w:vAlign w:val="center"/>
            <w:hideMark/>
          </w:tcPr>
          <w:p w14:paraId="09614900" w14:textId="77777777" w:rsidR="00D904FC" w:rsidRPr="001D3149" w:rsidRDefault="00D904FC" w:rsidP="00D904FC">
            <w:pPr>
              <w:spacing w:after="0" w:line="240" w:lineRule="auto"/>
              <w:jc w:val="center"/>
              <w:rPr>
                <w:color w:val="000000"/>
                <w:sz w:val="20"/>
              </w:rPr>
            </w:pPr>
            <w:r w:rsidRPr="001D3149">
              <w:rPr>
                <w:color w:val="000000"/>
                <w:sz w:val="20"/>
              </w:rPr>
              <w:t>41.8%</w:t>
            </w:r>
          </w:p>
        </w:tc>
      </w:tr>
    </w:tbl>
    <w:p w14:paraId="71A56C4F" w14:textId="4925B017" w:rsidR="00EA4C3D" w:rsidRDefault="000F38E5" w:rsidP="00EA4C3D">
      <w:pPr>
        <w:spacing w:after="0" w:line="240" w:lineRule="auto"/>
        <w:jc w:val="center"/>
        <w:rPr>
          <w:b/>
          <w:bCs/>
          <w:color w:val="000000"/>
          <w:szCs w:val="22"/>
        </w:rPr>
      </w:pPr>
      <w:r>
        <w:rPr>
          <w:b/>
          <w:bCs/>
          <w:color w:val="000000"/>
          <w:szCs w:val="22"/>
        </w:rPr>
        <w:lastRenderedPageBreak/>
        <w:t>TABLE XI</w:t>
      </w:r>
      <w:r w:rsidR="00EA4C3D">
        <w:rPr>
          <w:b/>
          <w:bCs/>
          <w:color w:val="000000"/>
          <w:szCs w:val="22"/>
        </w:rPr>
        <w:t xml:space="preserve"> (continued)</w:t>
      </w:r>
    </w:p>
    <w:p w14:paraId="723906AF" w14:textId="77777777" w:rsidR="00EA4C3D" w:rsidRDefault="00EA4C3D" w:rsidP="00EA4C3D">
      <w:pPr>
        <w:spacing w:after="0" w:line="240" w:lineRule="auto"/>
        <w:jc w:val="center"/>
        <w:rPr>
          <w:b/>
          <w:bCs/>
          <w:color w:val="000000"/>
          <w:szCs w:val="22"/>
        </w:rPr>
      </w:pPr>
    </w:p>
    <w:p w14:paraId="03C77C8B" w14:textId="76DFE0EE" w:rsidR="00EA4C3D" w:rsidRPr="00EA4C3D" w:rsidRDefault="00EA4C3D" w:rsidP="00EA4C3D">
      <w:pPr>
        <w:tabs>
          <w:tab w:val="left" w:pos="9270"/>
        </w:tabs>
        <w:spacing w:after="0" w:line="240" w:lineRule="auto"/>
        <w:jc w:val="center"/>
        <w:rPr>
          <w:bCs/>
          <w:caps/>
          <w:color w:val="000000"/>
        </w:rPr>
      </w:pPr>
      <w:r w:rsidRPr="0080773F">
        <w:rPr>
          <w:bCs/>
          <w:caps/>
          <w:color w:val="000000"/>
        </w:rPr>
        <w:t>Demographic and Clinical Characteristics of Study Cohort</w:t>
      </w:r>
    </w:p>
    <w:tbl>
      <w:tblPr>
        <w:tblW w:w="9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536"/>
        <w:gridCol w:w="1635"/>
        <w:gridCol w:w="1440"/>
        <w:gridCol w:w="1569"/>
      </w:tblGrid>
      <w:tr w:rsidR="00043237" w:rsidRPr="00BA1D24" w14:paraId="5049578E" w14:textId="77777777" w:rsidTr="00AA0EB2">
        <w:trPr>
          <w:trHeight w:val="144"/>
          <w:jc w:val="center"/>
        </w:trPr>
        <w:tc>
          <w:tcPr>
            <w:tcW w:w="4536" w:type="dxa"/>
            <w:tcBorders>
              <w:top w:val="single" w:sz="6" w:space="0" w:color="auto"/>
              <w:left w:val="nil"/>
              <w:bottom w:val="single" w:sz="6" w:space="0" w:color="auto"/>
              <w:right w:val="nil"/>
            </w:tcBorders>
            <w:shd w:val="clear" w:color="auto" w:fill="auto"/>
            <w:noWrap/>
            <w:tcMar>
              <w:left w:w="288" w:type="dxa"/>
            </w:tcMar>
            <w:vAlign w:val="bottom"/>
          </w:tcPr>
          <w:p w14:paraId="544B6F2A" w14:textId="3F726916" w:rsidR="00043237" w:rsidRPr="004728D6" w:rsidRDefault="00043237" w:rsidP="00043237">
            <w:pPr>
              <w:spacing w:after="0" w:line="240" w:lineRule="auto"/>
              <w:rPr>
                <w:color w:val="000000"/>
                <w:sz w:val="20"/>
              </w:rPr>
            </w:pPr>
            <w:r>
              <w:rPr>
                <w:b/>
                <w:iCs/>
                <w:color w:val="000000"/>
                <w:sz w:val="20"/>
              </w:rPr>
              <w:t>Characteristic</w:t>
            </w:r>
          </w:p>
        </w:tc>
        <w:tc>
          <w:tcPr>
            <w:tcW w:w="1635" w:type="dxa"/>
            <w:tcBorders>
              <w:top w:val="single" w:sz="6" w:space="0" w:color="auto"/>
              <w:left w:val="nil"/>
              <w:bottom w:val="single" w:sz="6" w:space="0" w:color="auto"/>
              <w:right w:val="nil"/>
            </w:tcBorders>
            <w:shd w:val="clear" w:color="auto" w:fill="auto"/>
            <w:noWrap/>
            <w:vAlign w:val="bottom"/>
          </w:tcPr>
          <w:p w14:paraId="6CF47087" w14:textId="23364EF4" w:rsidR="00043237" w:rsidRPr="001D3149" w:rsidRDefault="00043237" w:rsidP="00043237">
            <w:pPr>
              <w:spacing w:after="0" w:line="240" w:lineRule="auto"/>
              <w:jc w:val="center"/>
              <w:rPr>
                <w:color w:val="000000"/>
                <w:sz w:val="20"/>
              </w:rPr>
            </w:pPr>
            <w:r>
              <w:rPr>
                <w:b/>
                <w:iCs/>
                <w:color w:val="000000"/>
                <w:sz w:val="20"/>
              </w:rPr>
              <w:t xml:space="preserve">All Patients </w:t>
            </w:r>
            <w:r w:rsidRPr="004728D6">
              <w:rPr>
                <w:b/>
                <w:color w:val="000000"/>
                <w:sz w:val="20"/>
              </w:rPr>
              <w:t>(</w:t>
            </w:r>
            <w:r w:rsidRPr="004728D6">
              <w:rPr>
                <w:b/>
                <w:iCs/>
                <w:color w:val="000000"/>
                <w:sz w:val="20"/>
              </w:rPr>
              <w:t>n</w:t>
            </w:r>
            <w:r w:rsidRPr="004728D6">
              <w:rPr>
                <w:b/>
                <w:color w:val="000000"/>
                <w:sz w:val="20"/>
              </w:rPr>
              <w:t>=70,035)</w:t>
            </w:r>
          </w:p>
        </w:tc>
        <w:tc>
          <w:tcPr>
            <w:tcW w:w="1440" w:type="dxa"/>
            <w:tcBorders>
              <w:top w:val="single" w:sz="6" w:space="0" w:color="auto"/>
              <w:left w:val="nil"/>
              <w:bottom w:val="single" w:sz="6" w:space="0" w:color="auto"/>
              <w:right w:val="nil"/>
            </w:tcBorders>
            <w:shd w:val="clear" w:color="auto" w:fill="auto"/>
            <w:vAlign w:val="bottom"/>
          </w:tcPr>
          <w:p w14:paraId="757FB7EF" w14:textId="24F210C4" w:rsidR="00043237" w:rsidRPr="004728D6" w:rsidRDefault="00043237" w:rsidP="00043237">
            <w:pPr>
              <w:spacing w:after="0" w:line="240" w:lineRule="auto"/>
              <w:jc w:val="center"/>
              <w:rPr>
                <w:b/>
                <w:iCs/>
                <w:color w:val="000000"/>
                <w:sz w:val="20"/>
              </w:rPr>
            </w:pPr>
            <w:r w:rsidRPr="004728D6">
              <w:rPr>
                <w:b/>
                <w:iCs/>
                <w:color w:val="000000"/>
                <w:sz w:val="20"/>
              </w:rPr>
              <w:t>Cancer</w:t>
            </w:r>
            <w:r w:rsidR="009468EC">
              <w:rPr>
                <w:b/>
                <w:iCs/>
                <w:color w:val="000000"/>
                <w:sz w:val="20"/>
              </w:rPr>
              <w:t>*</w:t>
            </w:r>
            <w:r w:rsidRPr="004728D6">
              <w:rPr>
                <w:b/>
                <w:iCs/>
                <w:color w:val="000000"/>
                <w:sz w:val="20"/>
              </w:rPr>
              <w:t xml:space="preserve"> </w:t>
            </w:r>
          </w:p>
          <w:p w14:paraId="788DD5D0" w14:textId="3FC04F19" w:rsidR="00043237" w:rsidRPr="001D3149" w:rsidRDefault="00043237" w:rsidP="00043237">
            <w:pPr>
              <w:spacing w:after="0" w:line="240" w:lineRule="auto"/>
              <w:jc w:val="center"/>
              <w:rPr>
                <w:color w:val="000000"/>
                <w:sz w:val="20"/>
              </w:rPr>
            </w:pPr>
            <w:r w:rsidRPr="004728D6">
              <w:rPr>
                <w:b/>
                <w:iCs/>
                <w:color w:val="000000"/>
                <w:sz w:val="20"/>
              </w:rPr>
              <w:t xml:space="preserve"> </w:t>
            </w:r>
            <w:r w:rsidRPr="004728D6">
              <w:rPr>
                <w:b/>
                <w:color w:val="000000"/>
                <w:sz w:val="20"/>
              </w:rPr>
              <w:t>(</w:t>
            </w:r>
            <w:r w:rsidRPr="004728D6">
              <w:rPr>
                <w:b/>
                <w:iCs/>
                <w:color w:val="000000"/>
                <w:sz w:val="20"/>
              </w:rPr>
              <w:t>n</w:t>
            </w:r>
            <w:r w:rsidRPr="004728D6">
              <w:rPr>
                <w:b/>
                <w:color w:val="000000"/>
                <w:sz w:val="20"/>
              </w:rPr>
              <w:t>=44,218)</w:t>
            </w:r>
          </w:p>
        </w:tc>
        <w:tc>
          <w:tcPr>
            <w:tcW w:w="1569" w:type="dxa"/>
            <w:tcBorders>
              <w:top w:val="single" w:sz="6" w:space="0" w:color="auto"/>
              <w:left w:val="nil"/>
              <w:bottom w:val="single" w:sz="6" w:space="0" w:color="auto"/>
              <w:right w:val="nil"/>
            </w:tcBorders>
            <w:shd w:val="clear" w:color="auto" w:fill="auto"/>
            <w:vAlign w:val="bottom"/>
          </w:tcPr>
          <w:p w14:paraId="7450869E" w14:textId="7579EF44" w:rsidR="00043237" w:rsidRPr="001D3149" w:rsidRDefault="00043237" w:rsidP="00043237">
            <w:pPr>
              <w:spacing w:after="0" w:line="240" w:lineRule="auto"/>
              <w:jc w:val="center"/>
              <w:rPr>
                <w:color w:val="000000"/>
                <w:sz w:val="20"/>
              </w:rPr>
            </w:pPr>
            <w:r w:rsidRPr="004728D6">
              <w:rPr>
                <w:b/>
                <w:iCs/>
                <w:color w:val="000000"/>
                <w:sz w:val="20"/>
              </w:rPr>
              <w:t>Non-Cancer</w:t>
            </w:r>
            <w:r w:rsidR="009468EC">
              <w:rPr>
                <w:b/>
                <w:iCs/>
                <w:color w:val="000000"/>
                <w:sz w:val="20"/>
              </w:rPr>
              <w:t>*</w:t>
            </w:r>
            <w:r w:rsidRPr="004728D6">
              <w:rPr>
                <w:b/>
                <w:iCs/>
                <w:color w:val="000000"/>
                <w:sz w:val="20"/>
              </w:rPr>
              <w:t xml:space="preserve"> </w:t>
            </w:r>
            <w:r w:rsidRPr="004728D6">
              <w:rPr>
                <w:b/>
                <w:color w:val="000000"/>
                <w:sz w:val="20"/>
              </w:rPr>
              <w:t>(</w:t>
            </w:r>
            <w:r w:rsidRPr="004728D6">
              <w:rPr>
                <w:b/>
                <w:iCs/>
                <w:color w:val="000000"/>
                <w:sz w:val="20"/>
              </w:rPr>
              <w:t>n</w:t>
            </w:r>
            <w:r w:rsidRPr="004728D6">
              <w:rPr>
                <w:b/>
                <w:color w:val="000000"/>
                <w:sz w:val="20"/>
              </w:rPr>
              <w:t>=25,817)</w:t>
            </w:r>
          </w:p>
        </w:tc>
      </w:tr>
      <w:tr w:rsidR="00D904FC" w:rsidRPr="00BA1D24" w14:paraId="3A8C6BFD" w14:textId="77777777" w:rsidTr="00AA0EB2">
        <w:trPr>
          <w:trHeight w:val="144"/>
          <w:jc w:val="center"/>
        </w:trPr>
        <w:tc>
          <w:tcPr>
            <w:tcW w:w="4536" w:type="dxa"/>
            <w:tcBorders>
              <w:top w:val="single" w:sz="6" w:space="0" w:color="auto"/>
              <w:left w:val="nil"/>
              <w:bottom w:val="nil"/>
              <w:right w:val="nil"/>
            </w:tcBorders>
            <w:shd w:val="clear" w:color="auto" w:fill="auto"/>
            <w:noWrap/>
            <w:tcMar>
              <w:left w:w="288" w:type="dxa"/>
            </w:tcMar>
            <w:vAlign w:val="center"/>
            <w:hideMark/>
          </w:tcPr>
          <w:p w14:paraId="78227729" w14:textId="77777777" w:rsidR="00D904FC" w:rsidRPr="004728D6" w:rsidRDefault="00D904FC" w:rsidP="00D904FC">
            <w:pPr>
              <w:spacing w:after="0" w:line="240" w:lineRule="auto"/>
              <w:rPr>
                <w:color w:val="000000"/>
                <w:sz w:val="20"/>
              </w:rPr>
            </w:pPr>
            <w:r w:rsidRPr="004728D6">
              <w:rPr>
                <w:color w:val="000000"/>
                <w:sz w:val="20"/>
              </w:rPr>
              <w:t>COPD</w:t>
            </w:r>
          </w:p>
        </w:tc>
        <w:tc>
          <w:tcPr>
            <w:tcW w:w="1635" w:type="dxa"/>
            <w:tcBorders>
              <w:top w:val="single" w:sz="6" w:space="0" w:color="auto"/>
              <w:left w:val="nil"/>
              <w:bottom w:val="nil"/>
              <w:right w:val="nil"/>
            </w:tcBorders>
            <w:shd w:val="clear" w:color="auto" w:fill="auto"/>
            <w:noWrap/>
            <w:vAlign w:val="center"/>
            <w:hideMark/>
          </w:tcPr>
          <w:p w14:paraId="5D426B2F" w14:textId="77777777" w:rsidR="00D904FC" w:rsidRPr="001D3149" w:rsidRDefault="00D904FC" w:rsidP="00D904FC">
            <w:pPr>
              <w:spacing w:after="0" w:line="240" w:lineRule="auto"/>
              <w:jc w:val="center"/>
              <w:rPr>
                <w:color w:val="000000"/>
                <w:sz w:val="20"/>
              </w:rPr>
            </w:pPr>
            <w:r w:rsidRPr="001D3149">
              <w:rPr>
                <w:color w:val="000000"/>
                <w:sz w:val="20"/>
              </w:rPr>
              <w:t>41.7%</w:t>
            </w:r>
          </w:p>
        </w:tc>
        <w:tc>
          <w:tcPr>
            <w:tcW w:w="1440" w:type="dxa"/>
            <w:tcBorders>
              <w:top w:val="single" w:sz="6" w:space="0" w:color="auto"/>
              <w:left w:val="nil"/>
              <w:bottom w:val="nil"/>
              <w:right w:val="nil"/>
            </w:tcBorders>
            <w:shd w:val="clear" w:color="auto" w:fill="auto"/>
            <w:vAlign w:val="center"/>
            <w:hideMark/>
          </w:tcPr>
          <w:p w14:paraId="5816DDB0" w14:textId="77777777" w:rsidR="00D904FC" w:rsidRPr="001D3149" w:rsidRDefault="00D904FC" w:rsidP="00D904FC">
            <w:pPr>
              <w:spacing w:after="0" w:line="240" w:lineRule="auto"/>
              <w:jc w:val="center"/>
              <w:rPr>
                <w:color w:val="000000"/>
                <w:sz w:val="20"/>
              </w:rPr>
            </w:pPr>
            <w:r w:rsidRPr="001D3149">
              <w:rPr>
                <w:color w:val="000000"/>
                <w:sz w:val="20"/>
              </w:rPr>
              <w:t>43.3%</w:t>
            </w:r>
          </w:p>
        </w:tc>
        <w:tc>
          <w:tcPr>
            <w:tcW w:w="1569" w:type="dxa"/>
            <w:tcBorders>
              <w:top w:val="single" w:sz="6" w:space="0" w:color="auto"/>
              <w:left w:val="nil"/>
              <w:bottom w:val="nil"/>
              <w:right w:val="nil"/>
            </w:tcBorders>
            <w:shd w:val="clear" w:color="auto" w:fill="auto"/>
            <w:vAlign w:val="center"/>
            <w:hideMark/>
          </w:tcPr>
          <w:p w14:paraId="00438D32" w14:textId="77777777" w:rsidR="00D904FC" w:rsidRPr="001D3149" w:rsidRDefault="00D904FC" w:rsidP="00D904FC">
            <w:pPr>
              <w:spacing w:after="0" w:line="240" w:lineRule="auto"/>
              <w:jc w:val="center"/>
              <w:rPr>
                <w:color w:val="000000"/>
                <w:sz w:val="20"/>
              </w:rPr>
            </w:pPr>
            <w:r w:rsidRPr="001D3149">
              <w:rPr>
                <w:color w:val="000000"/>
                <w:sz w:val="20"/>
              </w:rPr>
              <w:t>39.0%</w:t>
            </w:r>
          </w:p>
        </w:tc>
      </w:tr>
      <w:tr w:rsidR="00D904FC" w:rsidRPr="00BA1D24" w14:paraId="5F95B9D2"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3817A4ED" w14:textId="77777777" w:rsidR="00D904FC" w:rsidRPr="004728D6" w:rsidRDefault="00D904FC" w:rsidP="00D904FC">
            <w:pPr>
              <w:spacing w:after="0" w:line="240" w:lineRule="auto"/>
              <w:rPr>
                <w:color w:val="000000"/>
                <w:sz w:val="20"/>
              </w:rPr>
            </w:pPr>
            <w:r w:rsidRPr="004728D6">
              <w:rPr>
                <w:color w:val="000000"/>
                <w:sz w:val="20"/>
              </w:rPr>
              <w:t>Recent Ischemic Stroke</w:t>
            </w:r>
          </w:p>
        </w:tc>
        <w:tc>
          <w:tcPr>
            <w:tcW w:w="1635" w:type="dxa"/>
            <w:tcBorders>
              <w:top w:val="nil"/>
              <w:left w:val="nil"/>
              <w:bottom w:val="nil"/>
              <w:right w:val="nil"/>
            </w:tcBorders>
            <w:shd w:val="clear" w:color="auto" w:fill="auto"/>
            <w:noWrap/>
            <w:vAlign w:val="center"/>
            <w:hideMark/>
          </w:tcPr>
          <w:p w14:paraId="7E1EDC0E" w14:textId="77777777" w:rsidR="00D904FC" w:rsidRPr="001D3149" w:rsidRDefault="00D904FC" w:rsidP="00D904FC">
            <w:pPr>
              <w:spacing w:after="0" w:line="240" w:lineRule="auto"/>
              <w:jc w:val="center"/>
              <w:rPr>
                <w:color w:val="000000"/>
                <w:sz w:val="20"/>
              </w:rPr>
            </w:pPr>
            <w:r w:rsidRPr="001D3149">
              <w:rPr>
                <w:color w:val="000000"/>
                <w:sz w:val="20"/>
              </w:rPr>
              <w:t>5.9%</w:t>
            </w:r>
          </w:p>
        </w:tc>
        <w:tc>
          <w:tcPr>
            <w:tcW w:w="1440" w:type="dxa"/>
            <w:tcBorders>
              <w:top w:val="nil"/>
              <w:left w:val="nil"/>
              <w:bottom w:val="nil"/>
              <w:right w:val="nil"/>
            </w:tcBorders>
            <w:shd w:val="clear" w:color="auto" w:fill="auto"/>
            <w:vAlign w:val="center"/>
            <w:hideMark/>
          </w:tcPr>
          <w:p w14:paraId="00ECFBA0" w14:textId="77777777" w:rsidR="00D904FC" w:rsidRPr="001D3149" w:rsidRDefault="00D904FC" w:rsidP="00D904FC">
            <w:pPr>
              <w:spacing w:after="0" w:line="240" w:lineRule="auto"/>
              <w:jc w:val="center"/>
              <w:rPr>
                <w:color w:val="000000"/>
                <w:sz w:val="20"/>
              </w:rPr>
            </w:pPr>
            <w:r w:rsidRPr="001D3149">
              <w:rPr>
                <w:color w:val="000000"/>
                <w:sz w:val="20"/>
              </w:rPr>
              <w:t>3.9%</w:t>
            </w:r>
          </w:p>
        </w:tc>
        <w:tc>
          <w:tcPr>
            <w:tcW w:w="1569" w:type="dxa"/>
            <w:tcBorders>
              <w:top w:val="nil"/>
              <w:left w:val="nil"/>
              <w:bottom w:val="nil"/>
              <w:right w:val="nil"/>
            </w:tcBorders>
            <w:shd w:val="clear" w:color="auto" w:fill="auto"/>
            <w:vAlign w:val="center"/>
            <w:hideMark/>
          </w:tcPr>
          <w:p w14:paraId="1E7DEA64" w14:textId="77777777" w:rsidR="00D904FC" w:rsidRPr="001D3149" w:rsidRDefault="00D904FC" w:rsidP="00D904FC">
            <w:pPr>
              <w:spacing w:after="0" w:line="240" w:lineRule="auto"/>
              <w:jc w:val="center"/>
              <w:rPr>
                <w:color w:val="000000"/>
                <w:sz w:val="20"/>
              </w:rPr>
            </w:pPr>
            <w:r w:rsidRPr="001D3149">
              <w:rPr>
                <w:color w:val="000000"/>
                <w:sz w:val="20"/>
              </w:rPr>
              <w:t>9.5%</w:t>
            </w:r>
          </w:p>
        </w:tc>
      </w:tr>
      <w:tr w:rsidR="00D904FC" w:rsidRPr="00BA1D24" w14:paraId="6F5E1AF2"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0E069B2D" w14:textId="77777777" w:rsidR="00D904FC" w:rsidRPr="004728D6" w:rsidRDefault="00D904FC" w:rsidP="00D904FC">
            <w:pPr>
              <w:spacing w:after="0" w:line="240" w:lineRule="auto"/>
              <w:rPr>
                <w:color w:val="000000"/>
                <w:sz w:val="20"/>
              </w:rPr>
            </w:pPr>
            <w:r w:rsidRPr="004728D6">
              <w:rPr>
                <w:color w:val="000000"/>
                <w:sz w:val="20"/>
              </w:rPr>
              <w:t>Recent Myocardial Infarction</w:t>
            </w:r>
          </w:p>
        </w:tc>
        <w:tc>
          <w:tcPr>
            <w:tcW w:w="1635" w:type="dxa"/>
            <w:tcBorders>
              <w:top w:val="nil"/>
              <w:left w:val="nil"/>
              <w:bottom w:val="nil"/>
              <w:right w:val="nil"/>
            </w:tcBorders>
            <w:shd w:val="clear" w:color="auto" w:fill="auto"/>
            <w:noWrap/>
            <w:vAlign w:val="center"/>
            <w:hideMark/>
          </w:tcPr>
          <w:p w14:paraId="2E7BBC1B" w14:textId="77777777" w:rsidR="00D904FC" w:rsidRPr="001D3149" w:rsidRDefault="00D904FC" w:rsidP="00D904FC">
            <w:pPr>
              <w:spacing w:after="0" w:line="240" w:lineRule="auto"/>
              <w:jc w:val="center"/>
              <w:rPr>
                <w:color w:val="000000"/>
                <w:sz w:val="20"/>
              </w:rPr>
            </w:pPr>
            <w:r w:rsidRPr="001D3149">
              <w:rPr>
                <w:color w:val="000000"/>
                <w:sz w:val="20"/>
              </w:rPr>
              <w:t>4.6%</w:t>
            </w:r>
          </w:p>
        </w:tc>
        <w:tc>
          <w:tcPr>
            <w:tcW w:w="1440" w:type="dxa"/>
            <w:tcBorders>
              <w:top w:val="nil"/>
              <w:left w:val="nil"/>
              <w:bottom w:val="nil"/>
              <w:right w:val="nil"/>
            </w:tcBorders>
            <w:shd w:val="clear" w:color="auto" w:fill="auto"/>
            <w:vAlign w:val="center"/>
            <w:hideMark/>
          </w:tcPr>
          <w:p w14:paraId="5BEC1878" w14:textId="77777777" w:rsidR="00D904FC" w:rsidRPr="001D3149" w:rsidRDefault="00D904FC" w:rsidP="00D904FC">
            <w:pPr>
              <w:spacing w:after="0" w:line="240" w:lineRule="auto"/>
              <w:jc w:val="center"/>
              <w:rPr>
                <w:color w:val="000000"/>
                <w:sz w:val="20"/>
              </w:rPr>
            </w:pPr>
            <w:r w:rsidRPr="001D3149">
              <w:rPr>
                <w:color w:val="000000"/>
                <w:sz w:val="20"/>
              </w:rPr>
              <w:t>3.0%</w:t>
            </w:r>
          </w:p>
        </w:tc>
        <w:tc>
          <w:tcPr>
            <w:tcW w:w="1569" w:type="dxa"/>
            <w:tcBorders>
              <w:top w:val="nil"/>
              <w:left w:val="nil"/>
              <w:bottom w:val="nil"/>
              <w:right w:val="nil"/>
            </w:tcBorders>
            <w:shd w:val="clear" w:color="auto" w:fill="auto"/>
            <w:vAlign w:val="center"/>
            <w:hideMark/>
          </w:tcPr>
          <w:p w14:paraId="0B73AA6F" w14:textId="77777777" w:rsidR="00D904FC" w:rsidRPr="001D3149" w:rsidRDefault="00D904FC" w:rsidP="00D904FC">
            <w:pPr>
              <w:spacing w:after="0" w:line="240" w:lineRule="auto"/>
              <w:jc w:val="center"/>
              <w:rPr>
                <w:color w:val="000000"/>
                <w:sz w:val="20"/>
              </w:rPr>
            </w:pPr>
            <w:r w:rsidRPr="001D3149">
              <w:rPr>
                <w:color w:val="000000"/>
                <w:sz w:val="20"/>
              </w:rPr>
              <w:t>7.2%</w:t>
            </w:r>
          </w:p>
        </w:tc>
      </w:tr>
      <w:tr w:rsidR="00D904FC" w:rsidRPr="00BA1D24" w14:paraId="2C0F83DD" w14:textId="77777777" w:rsidTr="00AA0EB2">
        <w:trPr>
          <w:trHeight w:val="144"/>
          <w:jc w:val="center"/>
        </w:trPr>
        <w:tc>
          <w:tcPr>
            <w:tcW w:w="4536" w:type="dxa"/>
            <w:tcBorders>
              <w:top w:val="nil"/>
              <w:left w:val="nil"/>
              <w:bottom w:val="nil"/>
              <w:right w:val="nil"/>
            </w:tcBorders>
            <w:shd w:val="clear" w:color="auto" w:fill="auto"/>
            <w:noWrap/>
            <w:tcMar>
              <w:left w:w="288" w:type="dxa"/>
            </w:tcMar>
            <w:vAlign w:val="center"/>
            <w:hideMark/>
          </w:tcPr>
          <w:p w14:paraId="083C9FB7" w14:textId="77777777" w:rsidR="00D904FC" w:rsidRPr="004728D6" w:rsidRDefault="00D904FC" w:rsidP="00D904FC">
            <w:pPr>
              <w:spacing w:after="0" w:line="240" w:lineRule="auto"/>
              <w:rPr>
                <w:color w:val="000000"/>
                <w:sz w:val="20"/>
              </w:rPr>
            </w:pPr>
            <w:r w:rsidRPr="004728D6">
              <w:rPr>
                <w:color w:val="000000"/>
                <w:sz w:val="20"/>
              </w:rPr>
              <w:t>Coronary Atherosclerosis</w:t>
            </w:r>
          </w:p>
        </w:tc>
        <w:tc>
          <w:tcPr>
            <w:tcW w:w="1635" w:type="dxa"/>
            <w:tcBorders>
              <w:top w:val="nil"/>
              <w:left w:val="nil"/>
              <w:bottom w:val="nil"/>
              <w:right w:val="nil"/>
            </w:tcBorders>
            <w:shd w:val="clear" w:color="auto" w:fill="auto"/>
            <w:noWrap/>
            <w:vAlign w:val="center"/>
            <w:hideMark/>
          </w:tcPr>
          <w:p w14:paraId="18C7F53E" w14:textId="77777777" w:rsidR="00D904FC" w:rsidRPr="001D3149" w:rsidRDefault="00D904FC" w:rsidP="00D904FC">
            <w:pPr>
              <w:spacing w:after="0" w:line="240" w:lineRule="auto"/>
              <w:jc w:val="center"/>
              <w:rPr>
                <w:color w:val="000000"/>
                <w:sz w:val="20"/>
              </w:rPr>
            </w:pPr>
            <w:r w:rsidRPr="001D3149">
              <w:rPr>
                <w:color w:val="000000"/>
                <w:sz w:val="20"/>
              </w:rPr>
              <w:t>36.9%</w:t>
            </w:r>
          </w:p>
        </w:tc>
        <w:tc>
          <w:tcPr>
            <w:tcW w:w="1440" w:type="dxa"/>
            <w:tcBorders>
              <w:top w:val="nil"/>
              <w:left w:val="nil"/>
              <w:bottom w:val="nil"/>
              <w:right w:val="nil"/>
            </w:tcBorders>
            <w:shd w:val="clear" w:color="auto" w:fill="auto"/>
            <w:vAlign w:val="center"/>
            <w:hideMark/>
          </w:tcPr>
          <w:p w14:paraId="4A18031F" w14:textId="77777777" w:rsidR="00D904FC" w:rsidRPr="001D3149" w:rsidRDefault="00D904FC" w:rsidP="00D904FC">
            <w:pPr>
              <w:spacing w:after="0" w:line="240" w:lineRule="auto"/>
              <w:jc w:val="center"/>
              <w:rPr>
                <w:color w:val="000000"/>
                <w:sz w:val="20"/>
              </w:rPr>
            </w:pPr>
            <w:r w:rsidRPr="001D3149">
              <w:rPr>
                <w:color w:val="000000"/>
                <w:sz w:val="20"/>
              </w:rPr>
              <w:t>34.0%</w:t>
            </w:r>
          </w:p>
        </w:tc>
        <w:tc>
          <w:tcPr>
            <w:tcW w:w="1569" w:type="dxa"/>
            <w:tcBorders>
              <w:top w:val="nil"/>
              <w:left w:val="nil"/>
              <w:bottom w:val="nil"/>
              <w:right w:val="nil"/>
            </w:tcBorders>
            <w:shd w:val="clear" w:color="auto" w:fill="auto"/>
            <w:vAlign w:val="center"/>
            <w:hideMark/>
          </w:tcPr>
          <w:p w14:paraId="163C8D90" w14:textId="77777777" w:rsidR="00D904FC" w:rsidRPr="001D3149" w:rsidRDefault="00D904FC" w:rsidP="00D904FC">
            <w:pPr>
              <w:spacing w:after="0" w:line="240" w:lineRule="auto"/>
              <w:jc w:val="center"/>
              <w:rPr>
                <w:color w:val="000000"/>
                <w:sz w:val="20"/>
              </w:rPr>
            </w:pPr>
            <w:r w:rsidRPr="001D3149">
              <w:rPr>
                <w:color w:val="000000"/>
                <w:sz w:val="20"/>
              </w:rPr>
              <w:t>41.9%</w:t>
            </w:r>
          </w:p>
        </w:tc>
      </w:tr>
      <w:tr w:rsidR="00D904FC" w:rsidRPr="00BA1D24" w14:paraId="75F73F2C"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6A4271C0" w14:textId="77777777" w:rsidR="00D904FC" w:rsidRPr="004728D6" w:rsidRDefault="00D904FC" w:rsidP="00D904FC">
            <w:pPr>
              <w:spacing w:after="0" w:line="240" w:lineRule="auto"/>
              <w:rPr>
                <w:color w:val="000000"/>
                <w:sz w:val="20"/>
              </w:rPr>
            </w:pPr>
            <w:r w:rsidRPr="004728D6">
              <w:rPr>
                <w:color w:val="000000"/>
                <w:sz w:val="20"/>
              </w:rPr>
              <w:t>Cardiac Dysrhythmia</w:t>
            </w:r>
          </w:p>
        </w:tc>
        <w:tc>
          <w:tcPr>
            <w:tcW w:w="1635" w:type="dxa"/>
            <w:tcBorders>
              <w:top w:val="nil"/>
              <w:left w:val="nil"/>
              <w:bottom w:val="nil"/>
              <w:right w:val="nil"/>
            </w:tcBorders>
            <w:shd w:val="clear" w:color="auto" w:fill="auto"/>
            <w:noWrap/>
            <w:vAlign w:val="center"/>
            <w:hideMark/>
          </w:tcPr>
          <w:p w14:paraId="1212C2FF" w14:textId="77777777" w:rsidR="00D904FC" w:rsidRPr="001D3149" w:rsidRDefault="00D904FC" w:rsidP="00D904FC">
            <w:pPr>
              <w:spacing w:after="0" w:line="240" w:lineRule="auto"/>
              <w:jc w:val="center"/>
              <w:rPr>
                <w:color w:val="000000"/>
                <w:sz w:val="20"/>
              </w:rPr>
            </w:pPr>
            <w:r w:rsidRPr="001D3149">
              <w:rPr>
                <w:color w:val="000000"/>
                <w:sz w:val="20"/>
              </w:rPr>
              <w:t>43.3%</w:t>
            </w:r>
          </w:p>
        </w:tc>
        <w:tc>
          <w:tcPr>
            <w:tcW w:w="1440" w:type="dxa"/>
            <w:tcBorders>
              <w:top w:val="nil"/>
              <w:left w:val="nil"/>
              <w:bottom w:val="nil"/>
              <w:right w:val="nil"/>
            </w:tcBorders>
            <w:shd w:val="clear" w:color="auto" w:fill="auto"/>
            <w:noWrap/>
            <w:vAlign w:val="center"/>
            <w:hideMark/>
          </w:tcPr>
          <w:p w14:paraId="74CF67DB" w14:textId="77777777" w:rsidR="00D904FC" w:rsidRPr="001D3149" w:rsidRDefault="00D904FC" w:rsidP="00D904FC">
            <w:pPr>
              <w:spacing w:after="0" w:line="240" w:lineRule="auto"/>
              <w:jc w:val="center"/>
              <w:rPr>
                <w:color w:val="000000"/>
                <w:sz w:val="20"/>
              </w:rPr>
            </w:pPr>
            <w:r w:rsidRPr="001D3149">
              <w:rPr>
                <w:color w:val="000000"/>
                <w:sz w:val="20"/>
              </w:rPr>
              <w:t>38.2%</w:t>
            </w:r>
          </w:p>
        </w:tc>
        <w:tc>
          <w:tcPr>
            <w:tcW w:w="1569" w:type="dxa"/>
            <w:tcBorders>
              <w:top w:val="nil"/>
              <w:left w:val="nil"/>
              <w:bottom w:val="nil"/>
              <w:right w:val="nil"/>
            </w:tcBorders>
            <w:shd w:val="clear" w:color="auto" w:fill="auto"/>
            <w:vAlign w:val="center"/>
            <w:hideMark/>
          </w:tcPr>
          <w:p w14:paraId="53D037BD" w14:textId="77777777" w:rsidR="00D904FC" w:rsidRPr="001D3149" w:rsidRDefault="00D904FC" w:rsidP="00D904FC">
            <w:pPr>
              <w:spacing w:after="0" w:line="240" w:lineRule="auto"/>
              <w:jc w:val="center"/>
              <w:rPr>
                <w:color w:val="000000"/>
                <w:sz w:val="20"/>
              </w:rPr>
            </w:pPr>
            <w:r w:rsidRPr="001D3149">
              <w:rPr>
                <w:color w:val="000000"/>
                <w:sz w:val="20"/>
              </w:rPr>
              <w:t>51.9%</w:t>
            </w:r>
          </w:p>
        </w:tc>
      </w:tr>
      <w:tr w:rsidR="00D904FC" w:rsidRPr="00BA1D24" w14:paraId="5200BD58"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293F824E" w14:textId="77777777" w:rsidR="00D904FC" w:rsidRPr="004728D6" w:rsidRDefault="00D904FC" w:rsidP="00D904FC">
            <w:pPr>
              <w:spacing w:after="0" w:line="240" w:lineRule="auto"/>
              <w:rPr>
                <w:color w:val="000000"/>
                <w:sz w:val="20"/>
              </w:rPr>
            </w:pPr>
            <w:r w:rsidRPr="004728D6">
              <w:rPr>
                <w:color w:val="000000"/>
                <w:sz w:val="20"/>
              </w:rPr>
              <w:t>Renal Disease</w:t>
            </w:r>
          </w:p>
        </w:tc>
        <w:tc>
          <w:tcPr>
            <w:tcW w:w="1635" w:type="dxa"/>
            <w:tcBorders>
              <w:top w:val="nil"/>
              <w:left w:val="nil"/>
              <w:bottom w:val="nil"/>
              <w:right w:val="nil"/>
            </w:tcBorders>
            <w:shd w:val="clear" w:color="auto" w:fill="auto"/>
            <w:noWrap/>
            <w:vAlign w:val="center"/>
          </w:tcPr>
          <w:p w14:paraId="0476C5FA" w14:textId="77777777" w:rsidR="00D904FC" w:rsidRPr="001D3149" w:rsidRDefault="00D904FC" w:rsidP="00D904FC">
            <w:pPr>
              <w:spacing w:after="0" w:line="240" w:lineRule="auto"/>
              <w:jc w:val="center"/>
              <w:rPr>
                <w:color w:val="000000"/>
                <w:sz w:val="20"/>
              </w:rPr>
            </w:pPr>
            <w:r>
              <w:rPr>
                <w:color w:val="000000"/>
                <w:sz w:val="20"/>
              </w:rPr>
              <w:t>24.5%</w:t>
            </w:r>
          </w:p>
        </w:tc>
        <w:tc>
          <w:tcPr>
            <w:tcW w:w="1440" w:type="dxa"/>
            <w:tcBorders>
              <w:top w:val="nil"/>
              <w:left w:val="nil"/>
              <w:bottom w:val="nil"/>
              <w:right w:val="nil"/>
            </w:tcBorders>
            <w:shd w:val="clear" w:color="auto" w:fill="auto"/>
            <w:noWrap/>
            <w:vAlign w:val="center"/>
          </w:tcPr>
          <w:p w14:paraId="5B95C0EA" w14:textId="77777777" w:rsidR="00D904FC" w:rsidRPr="001D3149" w:rsidRDefault="00D904FC" w:rsidP="00D904FC">
            <w:pPr>
              <w:spacing w:after="0" w:line="240" w:lineRule="auto"/>
              <w:jc w:val="center"/>
              <w:rPr>
                <w:color w:val="000000"/>
                <w:sz w:val="20"/>
              </w:rPr>
            </w:pPr>
            <w:r>
              <w:rPr>
                <w:color w:val="000000"/>
                <w:sz w:val="20"/>
              </w:rPr>
              <w:t>19.6%</w:t>
            </w:r>
          </w:p>
        </w:tc>
        <w:tc>
          <w:tcPr>
            <w:tcW w:w="1569" w:type="dxa"/>
            <w:tcBorders>
              <w:top w:val="nil"/>
              <w:left w:val="nil"/>
              <w:bottom w:val="nil"/>
              <w:right w:val="nil"/>
            </w:tcBorders>
            <w:shd w:val="clear" w:color="auto" w:fill="auto"/>
            <w:vAlign w:val="center"/>
          </w:tcPr>
          <w:p w14:paraId="1B16BA96" w14:textId="77777777" w:rsidR="00D904FC" w:rsidRPr="001D3149" w:rsidRDefault="00D904FC" w:rsidP="00D904FC">
            <w:pPr>
              <w:spacing w:after="0" w:line="240" w:lineRule="auto"/>
              <w:jc w:val="center"/>
              <w:rPr>
                <w:color w:val="000000"/>
                <w:sz w:val="20"/>
              </w:rPr>
            </w:pPr>
            <w:r>
              <w:rPr>
                <w:color w:val="000000"/>
                <w:sz w:val="20"/>
              </w:rPr>
              <w:t>33.0%</w:t>
            </w:r>
          </w:p>
        </w:tc>
      </w:tr>
      <w:tr w:rsidR="00D904FC" w:rsidRPr="00BA1D24" w14:paraId="63547429"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016CC34C" w14:textId="77777777" w:rsidR="00D904FC" w:rsidRPr="004728D6" w:rsidRDefault="00D904FC" w:rsidP="00D904FC">
            <w:pPr>
              <w:spacing w:after="0" w:line="240" w:lineRule="auto"/>
              <w:rPr>
                <w:color w:val="000000"/>
                <w:sz w:val="20"/>
              </w:rPr>
            </w:pPr>
            <w:r w:rsidRPr="004728D6">
              <w:rPr>
                <w:color w:val="000000"/>
                <w:sz w:val="20"/>
              </w:rPr>
              <w:t>Liver Disease</w:t>
            </w:r>
          </w:p>
        </w:tc>
        <w:tc>
          <w:tcPr>
            <w:tcW w:w="1635" w:type="dxa"/>
            <w:tcBorders>
              <w:top w:val="nil"/>
              <w:left w:val="nil"/>
              <w:bottom w:val="nil"/>
              <w:right w:val="nil"/>
            </w:tcBorders>
            <w:shd w:val="clear" w:color="auto" w:fill="auto"/>
            <w:noWrap/>
            <w:vAlign w:val="center"/>
          </w:tcPr>
          <w:p w14:paraId="448CE46B" w14:textId="77777777" w:rsidR="00D904FC" w:rsidRPr="001D3149" w:rsidRDefault="00D904FC" w:rsidP="00D904FC">
            <w:pPr>
              <w:spacing w:after="0" w:line="240" w:lineRule="auto"/>
              <w:jc w:val="center"/>
              <w:rPr>
                <w:color w:val="000000"/>
                <w:sz w:val="20"/>
              </w:rPr>
            </w:pPr>
            <w:r>
              <w:rPr>
                <w:color w:val="000000"/>
                <w:sz w:val="20"/>
              </w:rPr>
              <w:t>20.2%</w:t>
            </w:r>
          </w:p>
        </w:tc>
        <w:tc>
          <w:tcPr>
            <w:tcW w:w="1440" w:type="dxa"/>
            <w:tcBorders>
              <w:top w:val="nil"/>
              <w:left w:val="nil"/>
              <w:bottom w:val="nil"/>
              <w:right w:val="nil"/>
            </w:tcBorders>
            <w:shd w:val="clear" w:color="auto" w:fill="auto"/>
            <w:noWrap/>
            <w:vAlign w:val="center"/>
          </w:tcPr>
          <w:p w14:paraId="6C23C459" w14:textId="77777777" w:rsidR="00D904FC" w:rsidRPr="001D3149" w:rsidRDefault="00D904FC" w:rsidP="00D904FC">
            <w:pPr>
              <w:spacing w:after="0" w:line="240" w:lineRule="auto"/>
              <w:jc w:val="center"/>
              <w:rPr>
                <w:color w:val="000000"/>
                <w:sz w:val="20"/>
              </w:rPr>
            </w:pPr>
            <w:r>
              <w:rPr>
                <w:color w:val="000000"/>
                <w:sz w:val="20"/>
              </w:rPr>
              <w:t>25.4%</w:t>
            </w:r>
          </w:p>
        </w:tc>
        <w:tc>
          <w:tcPr>
            <w:tcW w:w="1569" w:type="dxa"/>
            <w:tcBorders>
              <w:top w:val="nil"/>
              <w:left w:val="nil"/>
              <w:bottom w:val="nil"/>
              <w:right w:val="nil"/>
            </w:tcBorders>
            <w:shd w:val="clear" w:color="auto" w:fill="auto"/>
            <w:vAlign w:val="center"/>
          </w:tcPr>
          <w:p w14:paraId="333069B8" w14:textId="77777777" w:rsidR="00D904FC" w:rsidRPr="001D3149" w:rsidRDefault="00D904FC" w:rsidP="00D904FC">
            <w:pPr>
              <w:spacing w:after="0" w:line="240" w:lineRule="auto"/>
              <w:jc w:val="center"/>
              <w:rPr>
                <w:color w:val="000000"/>
                <w:sz w:val="20"/>
              </w:rPr>
            </w:pPr>
            <w:r>
              <w:rPr>
                <w:color w:val="000000"/>
                <w:sz w:val="20"/>
              </w:rPr>
              <w:t>11.4%</w:t>
            </w:r>
          </w:p>
        </w:tc>
      </w:tr>
      <w:tr w:rsidR="00D904FC" w:rsidRPr="00BA1D24" w14:paraId="74325EE0" w14:textId="77777777" w:rsidTr="00AA0EB2">
        <w:trPr>
          <w:trHeight w:val="144"/>
          <w:jc w:val="center"/>
        </w:trPr>
        <w:tc>
          <w:tcPr>
            <w:tcW w:w="4536" w:type="dxa"/>
            <w:tcBorders>
              <w:top w:val="nil"/>
              <w:left w:val="nil"/>
              <w:bottom w:val="nil"/>
              <w:right w:val="nil"/>
            </w:tcBorders>
            <w:shd w:val="clear" w:color="auto" w:fill="auto"/>
            <w:vAlign w:val="bottom"/>
          </w:tcPr>
          <w:p w14:paraId="39F92B33" w14:textId="77777777" w:rsidR="00D904FC" w:rsidRPr="004728D6" w:rsidRDefault="00D904FC" w:rsidP="00D904FC">
            <w:pPr>
              <w:spacing w:after="0" w:line="240" w:lineRule="auto"/>
              <w:rPr>
                <w:sz w:val="20"/>
              </w:rPr>
            </w:pPr>
            <w:r>
              <w:rPr>
                <w:sz w:val="20"/>
              </w:rPr>
              <w:t>Swallowing Difficulty</w:t>
            </w:r>
          </w:p>
        </w:tc>
        <w:tc>
          <w:tcPr>
            <w:tcW w:w="1635" w:type="dxa"/>
            <w:tcBorders>
              <w:top w:val="nil"/>
              <w:left w:val="nil"/>
              <w:bottom w:val="nil"/>
              <w:right w:val="nil"/>
            </w:tcBorders>
            <w:shd w:val="clear" w:color="auto" w:fill="auto"/>
            <w:noWrap/>
            <w:vAlign w:val="center"/>
          </w:tcPr>
          <w:p w14:paraId="26FB295B" w14:textId="77777777" w:rsidR="00D904FC" w:rsidRPr="001D3149" w:rsidRDefault="00D904FC" w:rsidP="00D904FC">
            <w:pPr>
              <w:spacing w:after="0" w:line="240" w:lineRule="auto"/>
              <w:jc w:val="center"/>
              <w:rPr>
                <w:b/>
                <w:bCs/>
                <w:color w:val="000000"/>
                <w:sz w:val="20"/>
              </w:rPr>
            </w:pPr>
            <w:r>
              <w:rPr>
                <w:bCs/>
                <w:color w:val="000000"/>
                <w:sz w:val="20"/>
              </w:rPr>
              <w:t>24.0%</w:t>
            </w:r>
          </w:p>
        </w:tc>
        <w:tc>
          <w:tcPr>
            <w:tcW w:w="1440" w:type="dxa"/>
            <w:tcBorders>
              <w:top w:val="nil"/>
              <w:left w:val="nil"/>
              <w:bottom w:val="nil"/>
              <w:right w:val="nil"/>
            </w:tcBorders>
            <w:shd w:val="clear" w:color="auto" w:fill="auto"/>
            <w:noWrap/>
            <w:vAlign w:val="center"/>
          </w:tcPr>
          <w:p w14:paraId="0C6E5C22" w14:textId="77777777" w:rsidR="00D904FC" w:rsidRPr="001D3149" w:rsidRDefault="00D904FC" w:rsidP="00D904FC">
            <w:pPr>
              <w:spacing w:after="0" w:line="240" w:lineRule="auto"/>
              <w:jc w:val="center"/>
              <w:rPr>
                <w:sz w:val="20"/>
              </w:rPr>
            </w:pPr>
            <w:r>
              <w:rPr>
                <w:sz w:val="20"/>
              </w:rPr>
              <w:t>17.4%</w:t>
            </w:r>
          </w:p>
        </w:tc>
        <w:tc>
          <w:tcPr>
            <w:tcW w:w="1569" w:type="dxa"/>
            <w:tcBorders>
              <w:top w:val="nil"/>
              <w:left w:val="nil"/>
              <w:bottom w:val="nil"/>
              <w:right w:val="nil"/>
            </w:tcBorders>
            <w:shd w:val="clear" w:color="auto" w:fill="auto"/>
            <w:noWrap/>
            <w:vAlign w:val="center"/>
          </w:tcPr>
          <w:p w14:paraId="00D13030" w14:textId="77777777" w:rsidR="00D904FC" w:rsidRPr="001D3149" w:rsidRDefault="00D904FC" w:rsidP="00D904FC">
            <w:pPr>
              <w:spacing w:after="0" w:line="240" w:lineRule="auto"/>
              <w:jc w:val="center"/>
              <w:rPr>
                <w:color w:val="000000"/>
                <w:sz w:val="20"/>
              </w:rPr>
            </w:pPr>
            <w:r>
              <w:rPr>
                <w:color w:val="000000"/>
                <w:sz w:val="20"/>
              </w:rPr>
              <w:t>35.5%</w:t>
            </w:r>
          </w:p>
        </w:tc>
      </w:tr>
      <w:tr w:rsidR="00D904FC" w:rsidRPr="00BA1D24" w14:paraId="23B1BBA0" w14:textId="77777777" w:rsidTr="00AA0EB2">
        <w:trPr>
          <w:trHeight w:val="144"/>
          <w:jc w:val="center"/>
        </w:trPr>
        <w:tc>
          <w:tcPr>
            <w:tcW w:w="4536" w:type="dxa"/>
            <w:tcBorders>
              <w:top w:val="nil"/>
              <w:left w:val="nil"/>
              <w:bottom w:val="nil"/>
              <w:right w:val="nil"/>
            </w:tcBorders>
            <w:shd w:val="clear" w:color="auto" w:fill="auto"/>
            <w:vAlign w:val="center"/>
          </w:tcPr>
          <w:p w14:paraId="4B6EB57B" w14:textId="77777777" w:rsidR="00D904FC" w:rsidRPr="00B2558C" w:rsidRDefault="00D904FC" w:rsidP="00D904FC">
            <w:pPr>
              <w:spacing w:after="0" w:line="240" w:lineRule="auto"/>
              <w:rPr>
                <w:sz w:val="20"/>
                <w:vertAlign w:val="superscript"/>
              </w:rPr>
            </w:pPr>
            <w:r>
              <w:rPr>
                <w:color w:val="000000"/>
                <w:sz w:val="20"/>
              </w:rPr>
              <w:t xml:space="preserve">Number of </w:t>
            </w:r>
            <w:r w:rsidRPr="0093649A">
              <w:rPr>
                <w:color w:val="000000"/>
                <w:sz w:val="20"/>
              </w:rPr>
              <w:t>Outpatient Providers in Year Prior to Admission</w:t>
            </w:r>
            <w:r>
              <w:rPr>
                <w:color w:val="000000"/>
                <w:sz w:val="20"/>
                <w:vertAlign w:val="superscript"/>
              </w:rPr>
              <w:t>a</w:t>
            </w:r>
          </w:p>
        </w:tc>
        <w:tc>
          <w:tcPr>
            <w:tcW w:w="1635" w:type="dxa"/>
            <w:tcBorders>
              <w:top w:val="nil"/>
              <w:left w:val="nil"/>
              <w:bottom w:val="nil"/>
              <w:right w:val="nil"/>
            </w:tcBorders>
            <w:shd w:val="clear" w:color="auto" w:fill="auto"/>
            <w:noWrap/>
            <w:vAlign w:val="center"/>
          </w:tcPr>
          <w:p w14:paraId="713509AB" w14:textId="77777777" w:rsidR="00D904FC" w:rsidRDefault="00D904FC" w:rsidP="00D904FC">
            <w:pPr>
              <w:spacing w:after="0" w:line="240" w:lineRule="auto"/>
              <w:jc w:val="center"/>
              <w:rPr>
                <w:bCs/>
                <w:color w:val="000000"/>
                <w:sz w:val="20"/>
              </w:rPr>
            </w:pPr>
          </w:p>
        </w:tc>
        <w:tc>
          <w:tcPr>
            <w:tcW w:w="1440" w:type="dxa"/>
            <w:tcBorders>
              <w:top w:val="nil"/>
              <w:left w:val="nil"/>
              <w:bottom w:val="nil"/>
              <w:right w:val="nil"/>
            </w:tcBorders>
            <w:shd w:val="clear" w:color="auto" w:fill="auto"/>
            <w:noWrap/>
            <w:vAlign w:val="center"/>
          </w:tcPr>
          <w:p w14:paraId="1AC0EB18" w14:textId="77777777" w:rsidR="00D904FC" w:rsidRDefault="00D904FC" w:rsidP="00D904FC">
            <w:pPr>
              <w:spacing w:after="0" w:line="240" w:lineRule="auto"/>
              <w:jc w:val="center"/>
              <w:rPr>
                <w:sz w:val="20"/>
              </w:rPr>
            </w:pPr>
          </w:p>
        </w:tc>
        <w:tc>
          <w:tcPr>
            <w:tcW w:w="1569" w:type="dxa"/>
            <w:tcBorders>
              <w:top w:val="nil"/>
              <w:left w:val="nil"/>
              <w:bottom w:val="nil"/>
              <w:right w:val="nil"/>
            </w:tcBorders>
            <w:shd w:val="clear" w:color="auto" w:fill="auto"/>
            <w:noWrap/>
            <w:vAlign w:val="center"/>
          </w:tcPr>
          <w:p w14:paraId="7607C8DD" w14:textId="77777777" w:rsidR="00D904FC" w:rsidRDefault="00D904FC" w:rsidP="00D904FC">
            <w:pPr>
              <w:spacing w:after="0" w:line="240" w:lineRule="auto"/>
              <w:jc w:val="center"/>
              <w:rPr>
                <w:color w:val="000000"/>
                <w:sz w:val="20"/>
              </w:rPr>
            </w:pPr>
          </w:p>
        </w:tc>
      </w:tr>
      <w:tr w:rsidR="00D904FC" w:rsidRPr="00BA1D24" w14:paraId="048D1FD1"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tcPr>
          <w:p w14:paraId="7477ADFB" w14:textId="77777777" w:rsidR="00D904FC" w:rsidRDefault="00D904FC" w:rsidP="00D904FC">
            <w:pPr>
              <w:spacing w:after="0" w:line="240" w:lineRule="auto"/>
              <w:rPr>
                <w:sz w:val="20"/>
              </w:rPr>
            </w:pPr>
            <w:r w:rsidRPr="004728D6">
              <w:rPr>
                <w:color w:val="000000"/>
                <w:sz w:val="20"/>
              </w:rPr>
              <w:t>Median (IQR)</w:t>
            </w:r>
          </w:p>
        </w:tc>
        <w:tc>
          <w:tcPr>
            <w:tcW w:w="1635" w:type="dxa"/>
            <w:tcBorders>
              <w:top w:val="nil"/>
              <w:left w:val="nil"/>
              <w:bottom w:val="nil"/>
              <w:right w:val="nil"/>
            </w:tcBorders>
            <w:shd w:val="clear" w:color="auto" w:fill="auto"/>
            <w:noWrap/>
            <w:vAlign w:val="center"/>
          </w:tcPr>
          <w:p w14:paraId="2E5A739D" w14:textId="77777777" w:rsidR="00D904FC" w:rsidRDefault="00D904FC" w:rsidP="00D904FC">
            <w:pPr>
              <w:spacing w:after="0" w:line="240" w:lineRule="auto"/>
              <w:jc w:val="center"/>
              <w:rPr>
                <w:bCs/>
                <w:color w:val="000000"/>
                <w:sz w:val="20"/>
              </w:rPr>
            </w:pPr>
            <w:r>
              <w:rPr>
                <w:color w:val="000000"/>
                <w:sz w:val="20"/>
              </w:rPr>
              <w:t>5 (3-8)</w:t>
            </w:r>
          </w:p>
        </w:tc>
        <w:tc>
          <w:tcPr>
            <w:tcW w:w="1440" w:type="dxa"/>
            <w:tcBorders>
              <w:top w:val="nil"/>
              <w:left w:val="nil"/>
              <w:bottom w:val="nil"/>
              <w:right w:val="nil"/>
            </w:tcBorders>
            <w:shd w:val="clear" w:color="auto" w:fill="auto"/>
            <w:noWrap/>
            <w:vAlign w:val="center"/>
          </w:tcPr>
          <w:p w14:paraId="5F122A92" w14:textId="77777777" w:rsidR="00D904FC" w:rsidRDefault="00D904FC" w:rsidP="00D904FC">
            <w:pPr>
              <w:spacing w:after="0" w:line="240" w:lineRule="auto"/>
              <w:jc w:val="center"/>
              <w:rPr>
                <w:sz w:val="20"/>
              </w:rPr>
            </w:pPr>
            <w:r>
              <w:rPr>
                <w:color w:val="000000"/>
                <w:sz w:val="20"/>
              </w:rPr>
              <w:t>6 (4-9)</w:t>
            </w:r>
          </w:p>
        </w:tc>
        <w:tc>
          <w:tcPr>
            <w:tcW w:w="1569" w:type="dxa"/>
            <w:tcBorders>
              <w:top w:val="nil"/>
              <w:left w:val="nil"/>
              <w:bottom w:val="nil"/>
              <w:right w:val="nil"/>
            </w:tcBorders>
            <w:shd w:val="clear" w:color="auto" w:fill="auto"/>
            <w:noWrap/>
            <w:vAlign w:val="center"/>
          </w:tcPr>
          <w:p w14:paraId="56F80964" w14:textId="77777777" w:rsidR="00D904FC" w:rsidRDefault="00D904FC" w:rsidP="00D904FC">
            <w:pPr>
              <w:spacing w:after="0" w:line="240" w:lineRule="auto"/>
              <w:jc w:val="center"/>
              <w:rPr>
                <w:color w:val="000000"/>
                <w:sz w:val="20"/>
              </w:rPr>
            </w:pPr>
            <w:r>
              <w:rPr>
                <w:color w:val="000000"/>
                <w:sz w:val="20"/>
              </w:rPr>
              <w:t>4 (3-7)</w:t>
            </w:r>
          </w:p>
        </w:tc>
      </w:tr>
      <w:tr w:rsidR="00D904FC" w:rsidRPr="00BA1D24" w14:paraId="1EEFE404" w14:textId="77777777" w:rsidTr="00AA0EB2">
        <w:trPr>
          <w:trHeight w:val="144"/>
          <w:jc w:val="center"/>
        </w:trPr>
        <w:tc>
          <w:tcPr>
            <w:tcW w:w="4536" w:type="dxa"/>
            <w:tcBorders>
              <w:top w:val="nil"/>
              <w:left w:val="nil"/>
              <w:bottom w:val="nil"/>
              <w:right w:val="nil"/>
            </w:tcBorders>
            <w:shd w:val="clear" w:color="auto" w:fill="auto"/>
            <w:vAlign w:val="center"/>
            <w:hideMark/>
          </w:tcPr>
          <w:p w14:paraId="350A4A47" w14:textId="77777777" w:rsidR="00D904FC" w:rsidRPr="004728D6" w:rsidRDefault="00D904FC" w:rsidP="00D904FC">
            <w:pPr>
              <w:spacing w:after="0" w:line="240" w:lineRule="auto"/>
              <w:rPr>
                <w:bCs/>
                <w:color w:val="000000"/>
                <w:sz w:val="20"/>
              </w:rPr>
            </w:pPr>
            <w:r>
              <w:rPr>
                <w:bCs/>
                <w:color w:val="000000"/>
                <w:sz w:val="20"/>
              </w:rPr>
              <w:t>Unique Part D</w:t>
            </w:r>
            <w:r w:rsidRPr="004728D6">
              <w:rPr>
                <w:bCs/>
                <w:color w:val="000000"/>
                <w:sz w:val="20"/>
              </w:rPr>
              <w:t xml:space="preserve"> Medications in Year Prior to Admission</w:t>
            </w:r>
          </w:p>
        </w:tc>
        <w:tc>
          <w:tcPr>
            <w:tcW w:w="1635" w:type="dxa"/>
            <w:tcBorders>
              <w:top w:val="nil"/>
              <w:left w:val="nil"/>
              <w:bottom w:val="nil"/>
              <w:right w:val="nil"/>
            </w:tcBorders>
            <w:shd w:val="clear" w:color="auto" w:fill="auto"/>
            <w:noWrap/>
            <w:vAlign w:val="center"/>
            <w:hideMark/>
          </w:tcPr>
          <w:p w14:paraId="66D045DB" w14:textId="77777777" w:rsidR="00D904FC" w:rsidRPr="001D3149" w:rsidRDefault="00D904FC" w:rsidP="00D904FC">
            <w:pPr>
              <w:spacing w:after="0" w:line="240" w:lineRule="auto"/>
              <w:rPr>
                <w:b/>
                <w:bCs/>
                <w:color w:val="000000"/>
                <w:sz w:val="20"/>
              </w:rPr>
            </w:pPr>
          </w:p>
        </w:tc>
        <w:tc>
          <w:tcPr>
            <w:tcW w:w="1440" w:type="dxa"/>
            <w:tcBorders>
              <w:top w:val="nil"/>
              <w:left w:val="nil"/>
              <w:bottom w:val="nil"/>
              <w:right w:val="nil"/>
            </w:tcBorders>
            <w:shd w:val="clear" w:color="auto" w:fill="auto"/>
            <w:noWrap/>
            <w:vAlign w:val="center"/>
            <w:hideMark/>
          </w:tcPr>
          <w:p w14:paraId="5F14C803" w14:textId="77777777" w:rsidR="00D904FC" w:rsidRPr="001D3149" w:rsidRDefault="00D904FC" w:rsidP="00D904FC">
            <w:pPr>
              <w:spacing w:after="0" w:line="240" w:lineRule="auto"/>
              <w:jc w:val="center"/>
              <w:rPr>
                <w:sz w:val="20"/>
              </w:rPr>
            </w:pPr>
          </w:p>
        </w:tc>
        <w:tc>
          <w:tcPr>
            <w:tcW w:w="1569" w:type="dxa"/>
            <w:tcBorders>
              <w:top w:val="nil"/>
              <w:left w:val="nil"/>
              <w:bottom w:val="nil"/>
              <w:right w:val="nil"/>
            </w:tcBorders>
            <w:shd w:val="clear" w:color="auto" w:fill="auto"/>
            <w:noWrap/>
            <w:vAlign w:val="center"/>
            <w:hideMark/>
          </w:tcPr>
          <w:p w14:paraId="3B49F2AE" w14:textId="77777777" w:rsidR="00D904FC" w:rsidRPr="001D3149" w:rsidRDefault="00D904FC" w:rsidP="00D904FC">
            <w:pPr>
              <w:spacing w:after="0" w:line="240" w:lineRule="auto"/>
              <w:jc w:val="center"/>
              <w:rPr>
                <w:color w:val="000000"/>
                <w:sz w:val="20"/>
              </w:rPr>
            </w:pPr>
            <w:r w:rsidRPr="001D3149">
              <w:rPr>
                <w:color w:val="000000"/>
                <w:sz w:val="20"/>
              </w:rPr>
              <w:t> </w:t>
            </w:r>
          </w:p>
        </w:tc>
      </w:tr>
      <w:tr w:rsidR="00D904FC" w:rsidRPr="00BA1D24" w14:paraId="64D48281" w14:textId="77777777" w:rsidTr="00AA0EB2">
        <w:trPr>
          <w:trHeight w:val="144"/>
          <w:jc w:val="center"/>
        </w:trPr>
        <w:tc>
          <w:tcPr>
            <w:tcW w:w="4536" w:type="dxa"/>
            <w:tcBorders>
              <w:top w:val="nil"/>
              <w:left w:val="nil"/>
              <w:bottom w:val="nil"/>
              <w:right w:val="nil"/>
            </w:tcBorders>
            <w:shd w:val="clear" w:color="auto" w:fill="auto"/>
            <w:tcMar>
              <w:left w:w="288" w:type="dxa"/>
            </w:tcMar>
            <w:vAlign w:val="center"/>
            <w:hideMark/>
          </w:tcPr>
          <w:p w14:paraId="740B2905" w14:textId="77777777" w:rsidR="00D904FC" w:rsidRPr="004728D6" w:rsidRDefault="00D904FC" w:rsidP="00D904FC">
            <w:pPr>
              <w:spacing w:after="0" w:line="240" w:lineRule="auto"/>
              <w:rPr>
                <w:color w:val="000000"/>
                <w:sz w:val="20"/>
              </w:rPr>
            </w:pPr>
            <w:r w:rsidRPr="004728D6">
              <w:rPr>
                <w:color w:val="000000"/>
                <w:sz w:val="20"/>
              </w:rPr>
              <w:t>Mean (SD)</w:t>
            </w:r>
          </w:p>
        </w:tc>
        <w:tc>
          <w:tcPr>
            <w:tcW w:w="1635" w:type="dxa"/>
            <w:tcBorders>
              <w:top w:val="nil"/>
              <w:left w:val="nil"/>
              <w:bottom w:val="nil"/>
              <w:right w:val="nil"/>
            </w:tcBorders>
            <w:shd w:val="clear" w:color="auto" w:fill="auto"/>
            <w:noWrap/>
            <w:vAlign w:val="center"/>
            <w:hideMark/>
          </w:tcPr>
          <w:p w14:paraId="6B318E2A" w14:textId="77777777" w:rsidR="00D904FC" w:rsidRPr="001D3149" w:rsidRDefault="00D904FC" w:rsidP="00D904FC">
            <w:pPr>
              <w:spacing w:after="0" w:line="240" w:lineRule="auto"/>
              <w:jc w:val="center"/>
              <w:rPr>
                <w:color w:val="000000"/>
                <w:sz w:val="20"/>
              </w:rPr>
            </w:pPr>
            <w:r w:rsidRPr="001D3149">
              <w:rPr>
                <w:color w:val="000000"/>
                <w:sz w:val="20"/>
              </w:rPr>
              <w:t>15.7 (7.0)</w:t>
            </w:r>
          </w:p>
        </w:tc>
        <w:tc>
          <w:tcPr>
            <w:tcW w:w="1440" w:type="dxa"/>
            <w:tcBorders>
              <w:top w:val="nil"/>
              <w:left w:val="nil"/>
              <w:bottom w:val="nil"/>
              <w:right w:val="nil"/>
            </w:tcBorders>
            <w:shd w:val="clear" w:color="auto" w:fill="auto"/>
            <w:noWrap/>
            <w:vAlign w:val="center"/>
            <w:hideMark/>
          </w:tcPr>
          <w:p w14:paraId="6727CA15" w14:textId="77777777" w:rsidR="00D904FC" w:rsidRPr="001D3149" w:rsidRDefault="00D904FC" w:rsidP="00D904FC">
            <w:pPr>
              <w:spacing w:after="0" w:line="240" w:lineRule="auto"/>
              <w:jc w:val="center"/>
              <w:rPr>
                <w:color w:val="000000"/>
                <w:sz w:val="20"/>
              </w:rPr>
            </w:pPr>
            <w:r w:rsidRPr="001D3149">
              <w:rPr>
                <w:color w:val="000000"/>
                <w:sz w:val="20"/>
              </w:rPr>
              <w:t>15.8 (7.0)</w:t>
            </w:r>
          </w:p>
        </w:tc>
        <w:tc>
          <w:tcPr>
            <w:tcW w:w="1569" w:type="dxa"/>
            <w:tcBorders>
              <w:top w:val="nil"/>
              <w:left w:val="nil"/>
              <w:bottom w:val="nil"/>
              <w:right w:val="nil"/>
            </w:tcBorders>
            <w:shd w:val="clear" w:color="auto" w:fill="auto"/>
            <w:noWrap/>
            <w:vAlign w:val="center"/>
            <w:hideMark/>
          </w:tcPr>
          <w:p w14:paraId="7C8065F6" w14:textId="77777777" w:rsidR="00D904FC" w:rsidRPr="001D3149" w:rsidRDefault="00D904FC" w:rsidP="00D904FC">
            <w:pPr>
              <w:spacing w:after="0" w:line="240" w:lineRule="auto"/>
              <w:jc w:val="center"/>
              <w:rPr>
                <w:color w:val="000000"/>
                <w:sz w:val="20"/>
              </w:rPr>
            </w:pPr>
            <w:r w:rsidRPr="001D3149">
              <w:rPr>
                <w:color w:val="000000"/>
                <w:sz w:val="20"/>
              </w:rPr>
              <w:t>15.5 (7.1)</w:t>
            </w:r>
          </w:p>
        </w:tc>
      </w:tr>
      <w:tr w:rsidR="00D904FC" w:rsidRPr="00BA1D24" w14:paraId="4D04C4F8" w14:textId="77777777" w:rsidTr="00AA0EB2">
        <w:trPr>
          <w:trHeight w:val="144"/>
          <w:jc w:val="center"/>
        </w:trPr>
        <w:tc>
          <w:tcPr>
            <w:tcW w:w="4536" w:type="dxa"/>
            <w:tcBorders>
              <w:top w:val="nil"/>
              <w:left w:val="nil"/>
              <w:bottom w:val="single" w:sz="6" w:space="0" w:color="auto"/>
              <w:right w:val="nil"/>
            </w:tcBorders>
            <w:shd w:val="clear" w:color="auto" w:fill="auto"/>
            <w:tcMar>
              <w:left w:w="115" w:type="dxa"/>
            </w:tcMar>
            <w:vAlign w:val="center"/>
          </w:tcPr>
          <w:p w14:paraId="479F7DAF" w14:textId="77777777" w:rsidR="00D904FC" w:rsidRPr="004728D6" w:rsidRDefault="00D904FC" w:rsidP="00D904FC">
            <w:pPr>
              <w:spacing w:after="0" w:line="240" w:lineRule="auto"/>
              <w:rPr>
                <w:color w:val="000000"/>
                <w:sz w:val="20"/>
              </w:rPr>
            </w:pPr>
            <w:r w:rsidRPr="004728D6">
              <w:rPr>
                <w:bCs/>
                <w:color w:val="000000"/>
                <w:sz w:val="20"/>
              </w:rPr>
              <w:t xml:space="preserve">Part D Low-Income Subsidy </w:t>
            </w:r>
            <w:r>
              <w:rPr>
                <w:bCs/>
                <w:color w:val="000000"/>
                <w:sz w:val="20"/>
              </w:rPr>
              <w:t>Recipient</w:t>
            </w:r>
          </w:p>
        </w:tc>
        <w:tc>
          <w:tcPr>
            <w:tcW w:w="1635" w:type="dxa"/>
            <w:tcBorders>
              <w:top w:val="nil"/>
              <w:left w:val="nil"/>
              <w:bottom w:val="single" w:sz="6" w:space="0" w:color="auto"/>
              <w:right w:val="nil"/>
            </w:tcBorders>
            <w:shd w:val="clear" w:color="auto" w:fill="auto"/>
            <w:noWrap/>
            <w:vAlign w:val="center"/>
          </w:tcPr>
          <w:p w14:paraId="4CA56EDA" w14:textId="77777777" w:rsidR="00D904FC" w:rsidRPr="001D3149" w:rsidRDefault="00D904FC" w:rsidP="00D904FC">
            <w:pPr>
              <w:spacing w:after="0" w:line="240" w:lineRule="auto"/>
              <w:jc w:val="center"/>
              <w:rPr>
                <w:color w:val="000000"/>
                <w:sz w:val="20"/>
              </w:rPr>
            </w:pPr>
            <w:r w:rsidRPr="001D3149">
              <w:rPr>
                <w:color w:val="000000"/>
                <w:sz w:val="20"/>
              </w:rPr>
              <w:t>42.9%</w:t>
            </w:r>
          </w:p>
        </w:tc>
        <w:tc>
          <w:tcPr>
            <w:tcW w:w="1440" w:type="dxa"/>
            <w:tcBorders>
              <w:top w:val="nil"/>
              <w:left w:val="nil"/>
              <w:bottom w:val="single" w:sz="6" w:space="0" w:color="auto"/>
              <w:right w:val="nil"/>
            </w:tcBorders>
            <w:shd w:val="clear" w:color="auto" w:fill="auto"/>
            <w:noWrap/>
            <w:vAlign w:val="center"/>
          </w:tcPr>
          <w:p w14:paraId="019A7797" w14:textId="77777777" w:rsidR="00D904FC" w:rsidRPr="001D3149" w:rsidRDefault="00D904FC" w:rsidP="00D904FC">
            <w:pPr>
              <w:spacing w:after="0" w:line="240" w:lineRule="auto"/>
              <w:jc w:val="center"/>
              <w:rPr>
                <w:color w:val="000000"/>
                <w:sz w:val="20"/>
              </w:rPr>
            </w:pPr>
            <w:r w:rsidRPr="001D3149">
              <w:rPr>
                <w:color w:val="000000"/>
                <w:sz w:val="20"/>
              </w:rPr>
              <w:t>39.5%</w:t>
            </w:r>
          </w:p>
        </w:tc>
        <w:tc>
          <w:tcPr>
            <w:tcW w:w="1569" w:type="dxa"/>
            <w:tcBorders>
              <w:top w:val="nil"/>
              <w:left w:val="nil"/>
              <w:bottom w:val="single" w:sz="6" w:space="0" w:color="auto"/>
              <w:right w:val="nil"/>
            </w:tcBorders>
            <w:shd w:val="clear" w:color="auto" w:fill="auto"/>
            <w:noWrap/>
            <w:vAlign w:val="center"/>
          </w:tcPr>
          <w:p w14:paraId="1DEA9FE5" w14:textId="77777777" w:rsidR="00D904FC" w:rsidRPr="001D3149" w:rsidRDefault="00D904FC" w:rsidP="00D904FC">
            <w:pPr>
              <w:spacing w:after="0" w:line="240" w:lineRule="auto"/>
              <w:jc w:val="center"/>
              <w:rPr>
                <w:color w:val="000000"/>
                <w:sz w:val="20"/>
              </w:rPr>
            </w:pPr>
            <w:r w:rsidRPr="001D3149">
              <w:rPr>
                <w:color w:val="000000"/>
                <w:sz w:val="20"/>
              </w:rPr>
              <w:t>48.7%</w:t>
            </w:r>
          </w:p>
        </w:tc>
      </w:tr>
    </w:tbl>
    <w:p w14:paraId="265A32A7" w14:textId="77777777" w:rsidR="00043237" w:rsidRPr="00043237" w:rsidRDefault="00043237" w:rsidP="00AA0EB2">
      <w:pPr>
        <w:spacing w:after="0" w:line="240" w:lineRule="auto"/>
        <w:ind w:left="144"/>
        <w:rPr>
          <w:sz w:val="20"/>
        </w:rPr>
      </w:pPr>
      <w:r w:rsidRPr="00043237">
        <w:rPr>
          <w:sz w:val="20"/>
        </w:rPr>
        <w:t>SD: standard deviation, IQR: interquartile range; COPD: chronic obstructive pulmonary disease</w:t>
      </w:r>
    </w:p>
    <w:p w14:paraId="592185E6" w14:textId="77777777" w:rsidR="00043237" w:rsidRPr="00043237" w:rsidRDefault="00043237" w:rsidP="00AA0EB2">
      <w:pPr>
        <w:spacing w:after="0" w:line="240" w:lineRule="auto"/>
        <w:ind w:left="144"/>
        <w:rPr>
          <w:sz w:val="20"/>
        </w:rPr>
      </w:pPr>
    </w:p>
    <w:p w14:paraId="6D55EB42" w14:textId="60742831" w:rsidR="00043237" w:rsidRDefault="00043237" w:rsidP="00AA0EB2">
      <w:pPr>
        <w:spacing w:after="0" w:line="240" w:lineRule="auto"/>
        <w:ind w:left="144"/>
        <w:rPr>
          <w:sz w:val="20"/>
        </w:rPr>
      </w:pPr>
      <w:r w:rsidRPr="00043237">
        <w:rPr>
          <w:sz w:val="20"/>
        </w:rPr>
        <w:t xml:space="preserve">*p &lt;0.001 for all cancer versus non-cancer group comparisons using t-tests for continuous variables </w:t>
      </w:r>
      <w:r w:rsidR="00F1421B">
        <w:rPr>
          <w:sz w:val="20"/>
        </w:rPr>
        <w:t xml:space="preserve"> </w:t>
      </w:r>
      <w:r w:rsidRPr="00043237">
        <w:rPr>
          <w:sz w:val="20"/>
        </w:rPr>
        <w:t>and Pearson’s chi-square tests for categorical variables</w:t>
      </w:r>
      <w:r w:rsidR="000F38E5">
        <w:rPr>
          <w:sz w:val="20"/>
        </w:rPr>
        <w:t>.</w:t>
      </w:r>
    </w:p>
    <w:p w14:paraId="7AF98A1A" w14:textId="77777777" w:rsidR="00043237" w:rsidRPr="00043237" w:rsidRDefault="00043237" w:rsidP="00AA0EB2">
      <w:pPr>
        <w:spacing w:after="0" w:line="240" w:lineRule="auto"/>
        <w:ind w:left="144"/>
        <w:rPr>
          <w:sz w:val="20"/>
        </w:rPr>
      </w:pPr>
    </w:p>
    <w:p w14:paraId="142F44D5" w14:textId="65E01435" w:rsidR="00043237" w:rsidRPr="00043237" w:rsidRDefault="00043237" w:rsidP="00AA0EB2">
      <w:pPr>
        <w:spacing w:after="0" w:line="240" w:lineRule="auto"/>
        <w:ind w:left="144"/>
        <w:rPr>
          <w:sz w:val="20"/>
        </w:rPr>
      </w:pPr>
      <w:r w:rsidRPr="00043237">
        <w:rPr>
          <w:sz w:val="20"/>
          <w:vertAlign w:val="superscript"/>
        </w:rPr>
        <w:t>a</w:t>
      </w:r>
      <w:r w:rsidRPr="00043237">
        <w:rPr>
          <w:sz w:val="20"/>
        </w:rPr>
        <w:t xml:space="preserve">Excludes provider claims generated in </w:t>
      </w:r>
      <w:r w:rsidR="00116443">
        <w:rPr>
          <w:sz w:val="20"/>
        </w:rPr>
        <w:t>ED</w:t>
      </w:r>
      <w:r w:rsidRPr="00043237">
        <w:rPr>
          <w:sz w:val="20"/>
        </w:rPr>
        <w:t>s, outpatient hospitals, and surgery centers; includes physicians, physician’s assistants, and nurse practitioners as providers</w:t>
      </w:r>
      <w:r w:rsidR="000F38E5">
        <w:rPr>
          <w:sz w:val="20"/>
        </w:rPr>
        <w:t>.</w:t>
      </w:r>
    </w:p>
    <w:p w14:paraId="6B50B510" w14:textId="77777777" w:rsidR="0080773F" w:rsidRDefault="0080773F" w:rsidP="0080773F">
      <w:pPr>
        <w:spacing w:after="0" w:line="240" w:lineRule="auto"/>
        <w:rPr>
          <w:bCs/>
          <w:color w:val="000000"/>
          <w:szCs w:val="22"/>
        </w:rPr>
      </w:pPr>
    </w:p>
    <w:p w14:paraId="38281EFA" w14:textId="77777777" w:rsidR="008B1200" w:rsidRDefault="008B1200" w:rsidP="0080773F">
      <w:pPr>
        <w:spacing w:after="0" w:line="240" w:lineRule="auto"/>
        <w:rPr>
          <w:bCs/>
          <w:color w:val="000000"/>
          <w:szCs w:val="22"/>
        </w:rPr>
      </w:pPr>
    </w:p>
    <w:p w14:paraId="76392F9D" w14:textId="77777777" w:rsidR="008B1200" w:rsidRDefault="008B1200" w:rsidP="0080773F">
      <w:pPr>
        <w:spacing w:after="0" w:line="240" w:lineRule="auto"/>
        <w:rPr>
          <w:bCs/>
          <w:color w:val="000000"/>
          <w:szCs w:val="22"/>
        </w:rPr>
      </w:pPr>
    </w:p>
    <w:p w14:paraId="0AE48F3A" w14:textId="77777777" w:rsidR="008B1200" w:rsidRDefault="008B1200" w:rsidP="0080773F">
      <w:pPr>
        <w:spacing w:after="0" w:line="240" w:lineRule="auto"/>
        <w:rPr>
          <w:bCs/>
          <w:color w:val="000000"/>
          <w:szCs w:val="22"/>
        </w:rPr>
      </w:pPr>
    </w:p>
    <w:p w14:paraId="7D575AD7" w14:textId="77777777" w:rsidR="008B1200" w:rsidRDefault="008B1200" w:rsidP="0080773F">
      <w:pPr>
        <w:spacing w:after="0" w:line="240" w:lineRule="auto"/>
        <w:rPr>
          <w:bCs/>
          <w:color w:val="000000"/>
          <w:szCs w:val="22"/>
        </w:rPr>
      </w:pPr>
    </w:p>
    <w:p w14:paraId="1B44E1D8" w14:textId="77777777" w:rsidR="008B1200" w:rsidRDefault="008B1200" w:rsidP="0080773F">
      <w:pPr>
        <w:spacing w:after="0" w:line="240" w:lineRule="auto"/>
        <w:rPr>
          <w:bCs/>
          <w:color w:val="000000"/>
          <w:szCs w:val="22"/>
        </w:rPr>
      </w:pPr>
    </w:p>
    <w:p w14:paraId="3C98D923" w14:textId="77777777" w:rsidR="008B1200" w:rsidRDefault="008B1200" w:rsidP="0080773F">
      <w:pPr>
        <w:spacing w:after="0" w:line="240" w:lineRule="auto"/>
        <w:rPr>
          <w:bCs/>
          <w:color w:val="000000"/>
          <w:szCs w:val="22"/>
        </w:rPr>
      </w:pPr>
    </w:p>
    <w:p w14:paraId="4ECED9FF" w14:textId="77777777" w:rsidR="008B1200" w:rsidRDefault="008B1200" w:rsidP="0080773F">
      <w:pPr>
        <w:spacing w:after="0" w:line="240" w:lineRule="auto"/>
        <w:rPr>
          <w:bCs/>
          <w:color w:val="000000"/>
          <w:szCs w:val="22"/>
        </w:rPr>
      </w:pPr>
    </w:p>
    <w:p w14:paraId="708DF402" w14:textId="77777777" w:rsidR="008B1200" w:rsidRDefault="008B1200" w:rsidP="0080773F">
      <w:pPr>
        <w:spacing w:after="0" w:line="240" w:lineRule="auto"/>
        <w:rPr>
          <w:bCs/>
          <w:color w:val="000000"/>
          <w:szCs w:val="22"/>
        </w:rPr>
      </w:pPr>
    </w:p>
    <w:p w14:paraId="10D6F1E8" w14:textId="77777777" w:rsidR="008B1200" w:rsidRDefault="008B1200" w:rsidP="0080773F">
      <w:pPr>
        <w:spacing w:after="0" w:line="240" w:lineRule="auto"/>
        <w:rPr>
          <w:bCs/>
          <w:color w:val="000000"/>
          <w:szCs w:val="22"/>
        </w:rPr>
      </w:pPr>
    </w:p>
    <w:p w14:paraId="210B0A74" w14:textId="77777777" w:rsidR="008B1200" w:rsidRDefault="008B1200" w:rsidP="0080773F">
      <w:pPr>
        <w:spacing w:after="0" w:line="240" w:lineRule="auto"/>
        <w:rPr>
          <w:bCs/>
          <w:color w:val="000000"/>
          <w:szCs w:val="22"/>
        </w:rPr>
      </w:pPr>
    </w:p>
    <w:p w14:paraId="3F9CCE52" w14:textId="77777777" w:rsidR="008B1200" w:rsidRDefault="008B1200" w:rsidP="0080773F">
      <w:pPr>
        <w:spacing w:after="0" w:line="240" w:lineRule="auto"/>
        <w:rPr>
          <w:bCs/>
          <w:color w:val="000000"/>
          <w:szCs w:val="22"/>
        </w:rPr>
      </w:pPr>
    </w:p>
    <w:p w14:paraId="7DA3F2E2" w14:textId="77777777" w:rsidR="008B1200" w:rsidRDefault="008B1200" w:rsidP="0080773F">
      <w:pPr>
        <w:spacing w:after="0" w:line="240" w:lineRule="auto"/>
        <w:rPr>
          <w:bCs/>
          <w:color w:val="000000"/>
          <w:szCs w:val="22"/>
        </w:rPr>
      </w:pPr>
    </w:p>
    <w:p w14:paraId="15A9B2CD" w14:textId="77777777" w:rsidR="008B1200" w:rsidRDefault="008B1200" w:rsidP="0080773F">
      <w:pPr>
        <w:spacing w:after="0" w:line="240" w:lineRule="auto"/>
        <w:rPr>
          <w:bCs/>
          <w:color w:val="000000"/>
          <w:szCs w:val="22"/>
        </w:rPr>
      </w:pPr>
    </w:p>
    <w:p w14:paraId="2A3D2F20" w14:textId="77777777" w:rsidR="008B1200" w:rsidRDefault="008B1200" w:rsidP="0080773F">
      <w:pPr>
        <w:spacing w:after="0" w:line="240" w:lineRule="auto"/>
        <w:rPr>
          <w:bCs/>
          <w:color w:val="000000"/>
          <w:szCs w:val="22"/>
        </w:rPr>
      </w:pPr>
    </w:p>
    <w:p w14:paraId="0845B180" w14:textId="77777777" w:rsidR="008B1200" w:rsidRDefault="008B1200" w:rsidP="0080773F">
      <w:pPr>
        <w:spacing w:after="0" w:line="240" w:lineRule="auto"/>
        <w:rPr>
          <w:bCs/>
          <w:color w:val="000000"/>
          <w:szCs w:val="22"/>
        </w:rPr>
      </w:pPr>
    </w:p>
    <w:p w14:paraId="74B72AED" w14:textId="77777777" w:rsidR="008B1200" w:rsidRDefault="008B1200" w:rsidP="0080773F">
      <w:pPr>
        <w:spacing w:after="0" w:line="240" w:lineRule="auto"/>
        <w:rPr>
          <w:bCs/>
          <w:color w:val="000000"/>
          <w:szCs w:val="22"/>
        </w:rPr>
      </w:pPr>
    </w:p>
    <w:p w14:paraId="31F6C57A" w14:textId="77777777" w:rsidR="008B1200" w:rsidRDefault="008B1200" w:rsidP="0080773F">
      <w:pPr>
        <w:spacing w:after="0" w:line="240" w:lineRule="auto"/>
        <w:rPr>
          <w:bCs/>
          <w:color w:val="000000"/>
          <w:szCs w:val="22"/>
        </w:rPr>
      </w:pPr>
    </w:p>
    <w:p w14:paraId="6302AB11" w14:textId="77777777" w:rsidR="008B1200" w:rsidRDefault="008B1200" w:rsidP="0080773F">
      <w:pPr>
        <w:spacing w:after="0" w:line="240" w:lineRule="auto"/>
        <w:rPr>
          <w:bCs/>
          <w:color w:val="000000"/>
          <w:szCs w:val="22"/>
        </w:rPr>
      </w:pPr>
    </w:p>
    <w:p w14:paraId="78698B88" w14:textId="77777777" w:rsidR="008B1200" w:rsidRDefault="008B1200" w:rsidP="0080773F">
      <w:pPr>
        <w:spacing w:after="0" w:line="240" w:lineRule="auto"/>
        <w:rPr>
          <w:bCs/>
          <w:color w:val="000000"/>
          <w:szCs w:val="22"/>
        </w:rPr>
      </w:pPr>
    </w:p>
    <w:p w14:paraId="041AD0E1" w14:textId="77777777" w:rsidR="008B1200" w:rsidRDefault="008B1200" w:rsidP="0080773F">
      <w:pPr>
        <w:spacing w:after="0" w:line="240" w:lineRule="auto"/>
        <w:rPr>
          <w:bCs/>
          <w:color w:val="000000"/>
          <w:szCs w:val="22"/>
        </w:rPr>
      </w:pPr>
    </w:p>
    <w:p w14:paraId="13CBED95" w14:textId="77777777" w:rsidR="008B1200" w:rsidRDefault="008B1200" w:rsidP="0080773F">
      <w:pPr>
        <w:spacing w:after="0" w:line="240" w:lineRule="auto"/>
        <w:rPr>
          <w:bCs/>
          <w:color w:val="000000"/>
          <w:szCs w:val="22"/>
        </w:rPr>
      </w:pPr>
    </w:p>
    <w:p w14:paraId="11661631" w14:textId="77777777" w:rsidR="008B1200" w:rsidRDefault="008B1200" w:rsidP="0080773F">
      <w:pPr>
        <w:spacing w:after="0" w:line="240" w:lineRule="auto"/>
        <w:rPr>
          <w:bCs/>
          <w:color w:val="000000"/>
          <w:szCs w:val="22"/>
        </w:rPr>
      </w:pPr>
    </w:p>
    <w:p w14:paraId="146E1DF6" w14:textId="77777777" w:rsidR="008B1200" w:rsidRDefault="008B1200" w:rsidP="0080773F">
      <w:pPr>
        <w:spacing w:after="0" w:line="240" w:lineRule="auto"/>
        <w:rPr>
          <w:bCs/>
          <w:color w:val="000000"/>
          <w:szCs w:val="22"/>
        </w:rPr>
      </w:pPr>
    </w:p>
    <w:p w14:paraId="5F8016C5" w14:textId="77777777" w:rsidR="008B1200" w:rsidRDefault="008B1200" w:rsidP="0080773F">
      <w:pPr>
        <w:spacing w:after="0" w:line="240" w:lineRule="auto"/>
        <w:rPr>
          <w:bCs/>
          <w:color w:val="000000"/>
          <w:szCs w:val="22"/>
        </w:rPr>
      </w:pPr>
    </w:p>
    <w:p w14:paraId="4FF66A71" w14:textId="77777777" w:rsidR="008B1200" w:rsidRDefault="008B1200" w:rsidP="0080773F">
      <w:pPr>
        <w:spacing w:after="0" w:line="240" w:lineRule="auto"/>
        <w:rPr>
          <w:bCs/>
          <w:color w:val="000000"/>
          <w:szCs w:val="22"/>
        </w:rPr>
      </w:pPr>
    </w:p>
    <w:p w14:paraId="7426C394" w14:textId="07ECCCD6" w:rsidR="00A22226" w:rsidRPr="00725D15" w:rsidRDefault="00A22226" w:rsidP="008B1200">
      <w:pPr>
        <w:rPr>
          <w:rFonts w:cs="Arial"/>
          <w:color w:val="000000"/>
          <w:szCs w:val="22"/>
        </w:rPr>
      </w:pPr>
      <w:r w:rsidRPr="00725D15">
        <w:rPr>
          <w:rFonts w:cs="Arial"/>
          <w:color w:val="000000"/>
          <w:szCs w:val="22"/>
        </w:rPr>
        <w:lastRenderedPageBreak/>
        <w:t>admission diagnoses in the non-cancer cohort were debility/failure to thrive (22.3%), dementia (21.0%), and heart disease (16.9%).</w:t>
      </w:r>
    </w:p>
    <w:p w14:paraId="57E42A0D" w14:textId="6B0B7568" w:rsidR="009F532C" w:rsidRDefault="00A22226" w:rsidP="008B1200">
      <w:pPr>
        <w:ind w:firstLine="720"/>
        <w:rPr>
          <w:rFonts w:cs="Arial"/>
          <w:szCs w:val="22"/>
        </w:rPr>
        <w:sectPr w:rsidR="009F532C" w:rsidSect="0080773F">
          <w:type w:val="continuous"/>
          <w:pgSz w:w="12240" w:h="15840" w:code="1"/>
          <w:pgMar w:top="1440" w:right="1440" w:bottom="1440" w:left="1440" w:header="720" w:footer="432" w:gutter="0"/>
          <w:cols w:space="720"/>
          <w:docGrid w:linePitch="360"/>
        </w:sectPr>
      </w:pPr>
      <w:r w:rsidRPr="00725D15">
        <w:rPr>
          <w:rFonts w:cs="Arial"/>
          <w:szCs w:val="22"/>
        </w:rPr>
        <w:t>Antihypertensives and anti-hyperlipidemics were the most common limited benefit therapeutic classes actively used prior to admission (</w:t>
      </w:r>
      <w:r w:rsidR="000F38E5">
        <w:rPr>
          <w:rFonts w:cs="Arial"/>
          <w:b/>
          <w:szCs w:val="22"/>
        </w:rPr>
        <w:t>TABLE XII</w:t>
      </w:r>
      <w:r w:rsidRPr="00725D15">
        <w:rPr>
          <w:rFonts w:cs="Arial"/>
          <w:szCs w:val="22"/>
        </w:rPr>
        <w:t>). Proton pump inhibitors were used by approximately 40% of patients prior to admission. Of those with active use of one or more limited benefit medication classes at baseline, 29.8% of patients admitted for cancer and 30.5% of patients admitted for a non-cancer cause continued at least one of the limited benefit medications through Part D after hospice admission. For both cancer and non-cancer patients, anti-dementia medications (33.4% and 27.3%) and antihypertensives (26.7% and 26.0%) were the most frequently continued therapeutic classes while anti-osteoporotic medications (13.2% and 15.4%) and anti-hyperlipidemic medications (15.1% and 19.0%) were continued least often (Table 3). Compared to non-cancer admissions, patients admitted to hospice for cancer had a lower absolute risk of continuing anti-hyperlipidemic (-3.9%; 95% CI, -4.9% to -2.9%) and anti-osteoporotic medications (-2.1%; 95% CI, -4.0% to -0.3%), but a higher risk of continuing anti-dementia medications (6.0%; 95% CI, 4.2% to 7.8%) (</w:t>
      </w:r>
      <w:r w:rsidR="000F38E5">
        <w:rPr>
          <w:rFonts w:cs="Arial"/>
          <w:b/>
          <w:szCs w:val="22"/>
        </w:rPr>
        <w:t>TABLE XII</w:t>
      </w:r>
      <w:r w:rsidRPr="00725D15">
        <w:rPr>
          <w:rFonts w:cs="Arial"/>
          <w:szCs w:val="22"/>
        </w:rPr>
        <w:t xml:space="preserve">). </w:t>
      </w:r>
    </w:p>
    <w:p w14:paraId="0E2A0DAA" w14:textId="7AF682A0" w:rsidR="00A22226" w:rsidRDefault="000F38E5" w:rsidP="00F1421B">
      <w:pPr>
        <w:tabs>
          <w:tab w:val="left" w:pos="630"/>
        </w:tabs>
        <w:spacing w:after="0" w:line="240" w:lineRule="auto"/>
        <w:jc w:val="center"/>
        <w:rPr>
          <w:rFonts w:cs="Arial"/>
          <w:b/>
          <w:szCs w:val="22"/>
        </w:rPr>
      </w:pPr>
      <w:r>
        <w:rPr>
          <w:rFonts w:cs="Arial"/>
          <w:b/>
          <w:szCs w:val="22"/>
        </w:rPr>
        <w:lastRenderedPageBreak/>
        <w:t>TABLE XI</w:t>
      </w:r>
      <w:r w:rsidR="009F532C">
        <w:rPr>
          <w:rFonts w:cs="Arial"/>
          <w:b/>
          <w:szCs w:val="22"/>
        </w:rPr>
        <w:t>I</w:t>
      </w:r>
    </w:p>
    <w:p w14:paraId="45C3C951" w14:textId="77777777" w:rsidR="009F532C" w:rsidRDefault="009F532C" w:rsidP="00F1421B">
      <w:pPr>
        <w:spacing w:after="0" w:line="240" w:lineRule="auto"/>
        <w:jc w:val="center"/>
        <w:rPr>
          <w:rFonts w:cs="Arial"/>
          <w:b/>
          <w:szCs w:val="22"/>
        </w:rPr>
      </w:pPr>
    </w:p>
    <w:p w14:paraId="6AFECB7D" w14:textId="58DB8F5D" w:rsidR="008B1200" w:rsidRPr="00E82F4D" w:rsidRDefault="00EC127A" w:rsidP="00EC127A">
      <w:pPr>
        <w:pStyle w:val="Caption"/>
        <w:rPr>
          <w:rFonts w:cs="Arial"/>
          <w:caps w:val="0"/>
          <w:szCs w:val="22"/>
        </w:rPr>
      </w:pPr>
      <w:bookmarkStart w:id="114" w:name="_Toc507329281"/>
      <w:r w:rsidRPr="00D115D0">
        <w:t>PRE-HOSPICE ADMISSION LIMITED BENEFIT MEDICATION USE AND POST-ADMISSION CONTINUATION AMONG PRE-ADMISSION USERS, OVERALL AND BY CANCER VERSUS NON-CANCER HOSPICE ADMISSION DIAGNOSIS</w:t>
      </w:r>
      <w:bookmarkEnd w:id="114"/>
    </w:p>
    <w:tbl>
      <w:tblPr>
        <w:tblW w:w="13665" w:type="dxa"/>
        <w:tblBorders>
          <w:top w:val="single" w:sz="4" w:space="0" w:color="auto"/>
          <w:bottom w:val="single" w:sz="4" w:space="0" w:color="auto"/>
        </w:tblBorders>
        <w:tblLook w:val="04A0" w:firstRow="1" w:lastRow="0" w:firstColumn="1" w:lastColumn="0" w:noHBand="0" w:noVBand="1"/>
      </w:tblPr>
      <w:tblGrid>
        <w:gridCol w:w="1965"/>
        <w:gridCol w:w="1800"/>
        <w:gridCol w:w="1620"/>
        <w:gridCol w:w="1890"/>
        <w:gridCol w:w="1890"/>
        <w:gridCol w:w="1350"/>
        <w:gridCol w:w="1440"/>
        <w:gridCol w:w="1710"/>
      </w:tblGrid>
      <w:tr w:rsidR="0025098B" w:rsidRPr="00BA1D24" w14:paraId="70552331" w14:textId="77777777" w:rsidTr="00567980">
        <w:trPr>
          <w:trHeight w:val="20"/>
        </w:trPr>
        <w:tc>
          <w:tcPr>
            <w:tcW w:w="1965" w:type="dxa"/>
            <w:vMerge w:val="restart"/>
            <w:tcBorders>
              <w:top w:val="single" w:sz="4" w:space="0" w:color="auto"/>
              <w:left w:val="nil"/>
              <w:bottom w:val="nil"/>
              <w:right w:val="nil"/>
            </w:tcBorders>
            <w:shd w:val="clear" w:color="auto" w:fill="auto"/>
            <w:noWrap/>
            <w:vAlign w:val="center"/>
            <w:hideMark/>
          </w:tcPr>
          <w:p w14:paraId="7EF9464F" w14:textId="77777777" w:rsidR="009F532C" w:rsidRPr="0025098B" w:rsidRDefault="009F532C" w:rsidP="009F532C">
            <w:pPr>
              <w:spacing w:after="0" w:line="240" w:lineRule="auto"/>
              <w:rPr>
                <w:rFonts w:cs="Arial"/>
                <w:b/>
                <w:color w:val="000000"/>
                <w:sz w:val="18"/>
                <w:szCs w:val="18"/>
              </w:rPr>
            </w:pPr>
            <w:r w:rsidRPr="0025098B">
              <w:rPr>
                <w:rFonts w:cs="Arial"/>
                <w:b/>
                <w:color w:val="000000"/>
                <w:sz w:val="18"/>
                <w:szCs w:val="18"/>
              </w:rPr>
              <w:t> </w:t>
            </w:r>
          </w:p>
        </w:tc>
        <w:tc>
          <w:tcPr>
            <w:tcW w:w="1800" w:type="dxa"/>
            <w:tcBorders>
              <w:top w:val="single" w:sz="4" w:space="0" w:color="auto"/>
              <w:left w:val="nil"/>
              <w:bottom w:val="single" w:sz="4" w:space="0" w:color="auto"/>
              <w:right w:val="nil"/>
            </w:tcBorders>
            <w:shd w:val="clear" w:color="auto" w:fill="auto"/>
            <w:vAlign w:val="bottom"/>
            <w:hideMark/>
          </w:tcPr>
          <w:p w14:paraId="3C0B3684" w14:textId="77777777" w:rsidR="009F532C" w:rsidRPr="00567980" w:rsidRDefault="009F532C" w:rsidP="009F532C">
            <w:pPr>
              <w:spacing w:after="0" w:line="240" w:lineRule="auto"/>
              <w:jc w:val="center"/>
              <w:rPr>
                <w:rFonts w:cs="Arial"/>
                <w:b/>
                <w:color w:val="000000"/>
                <w:sz w:val="18"/>
                <w:szCs w:val="18"/>
              </w:rPr>
            </w:pPr>
            <w:r w:rsidRPr="00567980">
              <w:rPr>
                <w:rFonts w:cs="Arial"/>
                <w:b/>
                <w:color w:val="000000"/>
                <w:sz w:val="18"/>
                <w:szCs w:val="18"/>
              </w:rPr>
              <w:t>Pre-Hospice Admission Use</w:t>
            </w:r>
          </w:p>
        </w:tc>
        <w:tc>
          <w:tcPr>
            <w:tcW w:w="1620" w:type="dxa"/>
            <w:tcBorders>
              <w:top w:val="single" w:sz="4" w:space="0" w:color="auto"/>
              <w:left w:val="nil"/>
              <w:bottom w:val="single" w:sz="4" w:space="0" w:color="auto"/>
              <w:right w:val="nil"/>
            </w:tcBorders>
            <w:shd w:val="clear" w:color="auto" w:fill="auto"/>
            <w:tcMar>
              <w:left w:w="0" w:type="dxa"/>
              <w:right w:w="0" w:type="dxa"/>
            </w:tcMar>
            <w:vAlign w:val="bottom"/>
            <w:hideMark/>
          </w:tcPr>
          <w:p w14:paraId="15373C80" w14:textId="2BCEFB55" w:rsidR="009F532C" w:rsidRPr="00567980" w:rsidRDefault="009F532C" w:rsidP="00A96CB3">
            <w:pPr>
              <w:spacing w:after="0" w:line="240" w:lineRule="auto"/>
              <w:jc w:val="center"/>
              <w:rPr>
                <w:rFonts w:cs="Arial"/>
                <w:b/>
                <w:color w:val="000000"/>
                <w:sz w:val="18"/>
                <w:szCs w:val="18"/>
                <w:vertAlign w:val="superscript"/>
              </w:rPr>
            </w:pPr>
            <w:r w:rsidRPr="00567980">
              <w:rPr>
                <w:rFonts w:cs="Arial"/>
                <w:b/>
                <w:color w:val="000000"/>
                <w:sz w:val="18"/>
                <w:szCs w:val="18"/>
              </w:rPr>
              <w:t>Proportion of Users Continuing After Admission</w:t>
            </w:r>
            <w:r w:rsidRPr="00567980">
              <w:rPr>
                <w:rFonts w:cs="Arial"/>
                <w:b/>
                <w:color w:val="000000"/>
                <w:sz w:val="20"/>
                <w:vertAlign w:val="superscript"/>
              </w:rPr>
              <w:t>a</w:t>
            </w:r>
          </w:p>
        </w:tc>
        <w:tc>
          <w:tcPr>
            <w:tcW w:w="3780" w:type="dxa"/>
            <w:gridSpan w:val="2"/>
            <w:tcBorders>
              <w:top w:val="single" w:sz="4" w:space="0" w:color="auto"/>
              <w:left w:val="nil"/>
              <w:bottom w:val="single" w:sz="4" w:space="0" w:color="auto"/>
              <w:right w:val="nil"/>
            </w:tcBorders>
            <w:shd w:val="clear" w:color="auto" w:fill="auto"/>
            <w:vAlign w:val="bottom"/>
            <w:hideMark/>
          </w:tcPr>
          <w:p w14:paraId="0318A61D" w14:textId="77777777" w:rsidR="009F532C" w:rsidRPr="00567980" w:rsidRDefault="009F532C" w:rsidP="009F532C">
            <w:pPr>
              <w:spacing w:after="0" w:line="240" w:lineRule="auto"/>
              <w:jc w:val="center"/>
              <w:rPr>
                <w:rFonts w:cs="Arial"/>
                <w:b/>
                <w:color w:val="000000"/>
                <w:sz w:val="18"/>
                <w:szCs w:val="18"/>
              </w:rPr>
            </w:pPr>
            <w:r w:rsidRPr="00567980">
              <w:rPr>
                <w:rFonts w:cs="Arial"/>
                <w:b/>
                <w:color w:val="000000"/>
                <w:sz w:val="18"/>
                <w:szCs w:val="18"/>
              </w:rPr>
              <w:t>Pre-Hospice Admission Use</w:t>
            </w:r>
          </w:p>
        </w:tc>
        <w:tc>
          <w:tcPr>
            <w:tcW w:w="2790" w:type="dxa"/>
            <w:gridSpan w:val="2"/>
            <w:tcBorders>
              <w:top w:val="single" w:sz="4" w:space="0" w:color="auto"/>
              <w:left w:val="nil"/>
              <w:bottom w:val="single" w:sz="4" w:space="0" w:color="auto"/>
              <w:right w:val="nil"/>
            </w:tcBorders>
            <w:shd w:val="clear" w:color="auto" w:fill="auto"/>
            <w:vAlign w:val="bottom"/>
            <w:hideMark/>
          </w:tcPr>
          <w:p w14:paraId="63A94F12" w14:textId="77777777" w:rsidR="009F532C" w:rsidRPr="00567980" w:rsidRDefault="009F532C" w:rsidP="009F532C">
            <w:pPr>
              <w:spacing w:after="0" w:line="240" w:lineRule="auto"/>
              <w:jc w:val="center"/>
              <w:rPr>
                <w:rFonts w:cs="Arial"/>
                <w:b/>
                <w:color w:val="000000"/>
                <w:sz w:val="18"/>
                <w:szCs w:val="18"/>
              </w:rPr>
            </w:pPr>
            <w:r w:rsidRPr="00567980">
              <w:rPr>
                <w:rFonts w:cs="Arial"/>
                <w:b/>
                <w:color w:val="000000"/>
                <w:sz w:val="18"/>
                <w:szCs w:val="18"/>
              </w:rPr>
              <w:t>Proportion of Users Continuing After Admission</w:t>
            </w:r>
            <w:r w:rsidRPr="00567980">
              <w:rPr>
                <w:rFonts w:cs="Arial"/>
                <w:b/>
                <w:color w:val="000000"/>
                <w:sz w:val="20"/>
                <w:vertAlign w:val="superscript"/>
              </w:rPr>
              <w:t>a</w:t>
            </w:r>
          </w:p>
        </w:tc>
        <w:tc>
          <w:tcPr>
            <w:tcW w:w="1710" w:type="dxa"/>
            <w:tcBorders>
              <w:top w:val="single" w:sz="4" w:space="0" w:color="auto"/>
              <w:left w:val="nil"/>
              <w:bottom w:val="single" w:sz="4" w:space="0" w:color="auto"/>
              <w:right w:val="nil"/>
            </w:tcBorders>
            <w:shd w:val="clear" w:color="auto" w:fill="auto"/>
            <w:vAlign w:val="bottom"/>
            <w:hideMark/>
          </w:tcPr>
          <w:p w14:paraId="714B49A5" w14:textId="1F374B8C" w:rsidR="009F532C" w:rsidRPr="0025098B" w:rsidRDefault="009F532C" w:rsidP="009F532C">
            <w:pPr>
              <w:spacing w:after="0" w:line="240" w:lineRule="auto"/>
              <w:jc w:val="center"/>
              <w:rPr>
                <w:rFonts w:cs="Arial"/>
                <w:b/>
                <w:color w:val="000000"/>
                <w:sz w:val="18"/>
                <w:szCs w:val="18"/>
              </w:rPr>
            </w:pPr>
            <w:r w:rsidRPr="0025098B">
              <w:rPr>
                <w:rFonts w:cs="Arial"/>
                <w:b/>
                <w:color w:val="000000"/>
                <w:sz w:val="18"/>
                <w:szCs w:val="18"/>
              </w:rPr>
              <w:t xml:space="preserve">Risk Difference, Cancer vs. </w:t>
            </w:r>
            <w:r w:rsidR="0025098B">
              <w:rPr>
                <w:rFonts w:cs="Arial"/>
                <w:b/>
                <w:color w:val="000000"/>
                <w:sz w:val="18"/>
                <w:szCs w:val="18"/>
              </w:rPr>
              <w:t xml:space="preserve">   </w:t>
            </w:r>
            <w:r w:rsidRPr="00567980">
              <w:rPr>
                <w:rFonts w:cs="Arial"/>
                <w:b/>
                <w:color w:val="000000"/>
                <w:sz w:val="18"/>
                <w:szCs w:val="18"/>
              </w:rPr>
              <w:t>Non-Cancer</w:t>
            </w:r>
            <w:r w:rsidRPr="00567980">
              <w:rPr>
                <w:rFonts w:cs="Arial"/>
                <w:b/>
                <w:color w:val="000000"/>
                <w:sz w:val="20"/>
                <w:vertAlign w:val="superscript"/>
              </w:rPr>
              <w:t>b</w:t>
            </w:r>
          </w:p>
        </w:tc>
      </w:tr>
      <w:tr w:rsidR="001F6707" w:rsidRPr="00BA1D24" w14:paraId="4472CC44" w14:textId="77777777" w:rsidTr="00567980">
        <w:trPr>
          <w:trHeight w:val="20"/>
        </w:trPr>
        <w:tc>
          <w:tcPr>
            <w:tcW w:w="1965" w:type="dxa"/>
            <w:vMerge/>
            <w:tcBorders>
              <w:top w:val="nil"/>
              <w:left w:val="nil"/>
              <w:bottom w:val="nil"/>
              <w:right w:val="nil"/>
            </w:tcBorders>
            <w:shd w:val="clear" w:color="auto" w:fill="auto"/>
            <w:noWrap/>
            <w:vAlign w:val="center"/>
          </w:tcPr>
          <w:p w14:paraId="0D341081" w14:textId="77777777" w:rsidR="009F532C" w:rsidRPr="0025098B" w:rsidRDefault="009F532C" w:rsidP="009F532C">
            <w:pPr>
              <w:spacing w:after="0" w:line="240" w:lineRule="auto"/>
              <w:rPr>
                <w:rFonts w:cs="Arial"/>
                <w:b/>
                <w:color w:val="000000"/>
                <w:sz w:val="18"/>
                <w:szCs w:val="18"/>
              </w:rPr>
            </w:pPr>
          </w:p>
        </w:tc>
        <w:tc>
          <w:tcPr>
            <w:tcW w:w="3420" w:type="dxa"/>
            <w:gridSpan w:val="2"/>
            <w:tcBorders>
              <w:top w:val="single" w:sz="4" w:space="0" w:color="auto"/>
              <w:left w:val="nil"/>
              <w:bottom w:val="nil"/>
              <w:right w:val="nil"/>
            </w:tcBorders>
            <w:shd w:val="clear" w:color="auto" w:fill="auto"/>
            <w:vAlign w:val="bottom"/>
          </w:tcPr>
          <w:p w14:paraId="5BF84963" w14:textId="77777777" w:rsidR="001F6707" w:rsidRPr="0025098B" w:rsidRDefault="001F6707" w:rsidP="0025098B">
            <w:pPr>
              <w:spacing w:after="0" w:line="240" w:lineRule="auto"/>
              <w:rPr>
                <w:rFonts w:cs="Arial"/>
                <w:b/>
                <w:iCs/>
                <w:color w:val="000000"/>
                <w:sz w:val="18"/>
                <w:szCs w:val="18"/>
              </w:rPr>
            </w:pPr>
          </w:p>
          <w:p w14:paraId="135D22E8" w14:textId="77777777" w:rsidR="001F6707"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 xml:space="preserve">All Patients </w:t>
            </w:r>
          </w:p>
          <w:p w14:paraId="2169E887" w14:textId="7710D640"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(n=70,035)</w:t>
            </w:r>
          </w:p>
        </w:tc>
        <w:tc>
          <w:tcPr>
            <w:tcW w:w="1890" w:type="dxa"/>
            <w:tcBorders>
              <w:top w:val="single" w:sz="4" w:space="0" w:color="auto"/>
              <w:left w:val="nil"/>
              <w:bottom w:val="nil"/>
              <w:right w:val="nil"/>
            </w:tcBorders>
            <w:shd w:val="clear" w:color="auto" w:fill="auto"/>
            <w:vAlign w:val="bottom"/>
          </w:tcPr>
          <w:p w14:paraId="770A3757" w14:textId="77777777"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 xml:space="preserve">Cancer </w:t>
            </w:r>
          </w:p>
          <w:p w14:paraId="5DF9FC90" w14:textId="77777777"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(n=44,218)</w:t>
            </w:r>
          </w:p>
        </w:tc>
        <w:tc>
          <w:tcPr>
            <w:tcW w:w="1890" w:type="dxa"/>
            <w:tcBorders>
              <w:top w:val="single" w:sz="4" w:space="0" w:color="auto"/>
              <w:left w:val="nil"/>
              <w:bottom w:val="nil"/>
              <w:right w:val="nil"/>
            </w:tcBorders>
            <w:vAlign w:val="bottom"/>
          </w:tcPr>
          <w:p w14:paraId="5A5B192C" w14:textId="77777777"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 xml:space="preserve">Non-Cancer </w:t>
            </w:r>
          </w:p>
          <w:p w14:paraId="73E1864C" w14:textId="77777777" w:rsidR="009F532C" w:rsidRPr="0025098B" w:rsidRDefault="009F532C" w:rsidP="009F532C">
            <w:pPr>
              <w:spacing w:after="0" w:line="240" w:lineRule="auto"/>
              <w:jc w:val="center"/>
              <w:rPr>
                <w:rFonts w:cs="Arial"/>
                <w:b/>
                <w:color w:val="000000"/>
                <w:sz w:val="18"/>
                <w:szCs w:val="18"/>
              </w:rPr>
            </w:pPr>
            <w:r w:rsidRPr="0025098B">
              <w:rPr>
                <w:rFonts w:cs="Arial"/>
                <w:b/>
                <w:iCs/>
                <w:color w:val="000000"/>
                <w:sz w:val="18"/>
                <w:szCs w:val="18"/>
              </w:rPr>
              <w:t>(n=25,817)</w:t>
            </w:r>
          </w:p>
        </w:tc>
        <w:tc>
          <w:tcPr>
            <w:tcW w:w="1350" w:type="dxa"/>
            <w:tcBorders>
              <w:top w:val="single" w:sz="4" w:space="0" w:color="auto"/>
              <w:left w:val="nil"/>
              <w:bottom w:val="nil"/>
              <w:right w:val="nil"/>
            </w:tcBorders>
            <w:shd w:val="clear" w:color="auto" w:fill="auto"/>
            <w:vAlign w:val="center"/>
          </w:tcPr>
          <w:p w14:paraId="2DE9FF3B" w14:textId="77777777"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 xml:space="preserve">Cancer </w:t>
            </w:r>
          </w:p>
        </w:tc>
        <w:tc>
          <w:tcPr>
            <w:tcW w:w="1440" w:type="dxa"/>
            <w:tcBorders>
              <w:top w:val="single" w:sz="4" w:space="0" w:color="auto"/>
              <w:left w:val="nil"/>
              <w:bottom w:val="nil"/>
              <w:right w:val="nil"/>
            </w:tcBorders>
            <w:shd w:val="clear" w:color="auto" w:fill="auto"/>
            <w:vAlign w:val="center"/>
          </w:tcPr>
          <w:p w14:paraId="04F14A63" w14:textId="77777777"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 xml:space="preserve">Non-Cancer </w:t>
            </w:r>
          </w:p>
        </w:tc>
        <w:tc>
          <w:tcPr>
            <w:tcW w:w="1710" w:type="dxa"/>
            <w:tcBorders>
              <w:top w:val="single" w:sz="4" w:space="0" w:color="auto"/>
              <w:left w:val="nil"/>
              <w:bottom w:val="nil"/>
              <w:right w:val="nil"/>
            </w:tcBorders>
            <w:shd w:val="clear" w:color="auto" w:fill="auto"/>
            <w:vAlign w:val="center"/>
          </w:tcPr>
          <w:p w14:paraId="37BF642C" w14:textId="77777777" w:rsidR="009F532C" w:rsidRPr="0025098B" w:rsidRDefault="009F532C" w:rsidP="009F532C">
            <w:pPr>
              <w:spacing w:after="0" w:line="240" w:lineRule="auto"/>
              <w:rPr>
                <w:rFonts w:cs="Arial"/>
                <w:b/>
                <w:color w:val="000000"/>
                <w:sz w:val="18"/>
                <w:szCs w:val="18"/>
              </w:rPr>
            </w:pPr>
          </w:p>
        </w:tc>
      </w:tr>
      <w:tr w:rsidR="001F6707" w:rsidRPr="00BA1D24" w14:paraId="776821DD" w14:textId="77777777" w:rsidTr="00F1421B">
        <w:trPr>
          <w:trHeight w:val="20"/>
        </w:trPr>
        <w:tc>
          <w:tcPr>
            <w:tcW w:w="1965" w:type="dxa"/>
            <w:tcBorders>
              <w:top w:val="nil"/>
              <w:left w:val="nil"/>
              <w:bottom w:val="single" w:sz="4" w:space="0" w:color="auto"/>
              <w:right w:val="nil"/>
            </w:tcBorders>
            <w:shd w:val="clear" w:color="auto" w:fill="auto"/>
            <w:noWrap/>
            <w:vAlign w:val="bottom"/>
            <w:hideMark/>
          </w:tcPr>
          <w:p w14:paraId="03133635" w14:textId="77777777" w:rsidR="009F532C" w:rsidRPr="0025098B" w:rsidRDefault="009F532C" w:rsidP="009F532C">
            <w:pPr>
              <w:spacing w:after="0" w:line="240" w:lineRule="auto"/>
              <w:rPr>
                <w:rFonts w:cs="Arial"/>
                <w:b/>
                <w:iCs/>
                <w:color w:val="000000"/>
                <w:sz w:val="18"/>
                <w:szCs w:val="18"/>
                <w:vertAlign w:val="superscript"/>
              </w:rPr>
            </w:pPr>
            <w:r w:rsidRPr="0025098B">
              <w:rPr>
                <w:rFonts w:cs="Arial"/>
                <w:b/>
                <w:iCs/>
                <w:color w:val="000000"/>
                <w:sz w:val="18"/>
                <w:szCs w:val="18"/>
              </w:rPr>
              <w:t>Therapeutic or Drug Class</w:t>
            </w:r>
            <w:r w:rsidRPr="0025098B">
              <w:rPr>
                <w:rFonts w:cs="Arial"/>
                <w:b/>
                <w:color w:val="000000"/>
                <w:sz w:val="20"/>
                <w:vertAlign w:val="superscript"/>
              </w:rPr>
              <w:t>c</w:t>
            </w:r>
          </w:p>
        </w:tc>
        <w:tc>
          <w:tcPr>
            <w:tcW w:w="1800" w:type="dxa"/>
            <w:tcBorders>
              <w:top w:val="nil"/>
              <w:left w:val="nil"/>
              <w:bottom w:val="single" w:sz="4" w:space="0" w:color="auto"/>
              <w:right w:val="nil"/>
            </w:tcBorders>
            <w:shd w:val="clear" w:color="auto" w:fill="auto"/>
            <w:vAlign w:val="bottom"/>
            <w:hideMark/>
          </w:tcPr>
          <w:p w14:paraId="13133924" w14:textId="77777777"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n</w:t>
            </w:r>
            <w:r w:rsidRPr="0025098B">
              <w:rPr>
                <w:rFonts w:cs="Arial"/>
                <w:b/>
                <w:color w:val="000000"/>
                <w:sz w:val="18"/>
                <w:szCs w:val="18"/>
              </w:rPr>
              <w:t xml:space="preserve"> (%)</w:t>
            </w:r>
          </w:p>
        </w:tc>
        <w:tc>
          <w:tcPr>
            <w:tcW w:w="1620" w:type="dxa"/>
            <w:tcBorders>
              <w:top w:val="nil"/>
              <w:left w:val="nil"/>
              <w:bottom w:val="single" w:sz="4" w:space="0" w:color="auto"/>
              <w:right w:val="nil"/>
            </w:tcBorders>
            <w:shd w:val="clear" w:color="auto" w:fill="auto"/>
            <w:vAlign w:val="bottom"/>
            <w:hideMark/>
          </w:tcPr>
          <w:p w14:paraId="6383E229" w14:textId="77777777" w:rsidR="009F532C" w:rsidRPr="0025098B" w:rsidRDefault="009F532C" w:rsidP="009F532C">
            <w:pPr>
              <w:spacing w:after="0" w:line="240" w:lineRule="auto"/>
              <w:jc w:val="center"/>
              <w:rPr>
                <w:rFonts w:cs="Arial"/>
                <w:b/>
                <w:iCs/>
                <w:color w:val="000000"/>
                <w:sz w:val="18"/>
                <w:szCs w:val="18"/>
              </w:rPr>
            </w:pPr>
            <w:r w:rsidRPr="0025098B">
              <w:rPr>
                <w:rFonts w:cs="Arial"/>
                <w:b/>
                <w:color w:val="000000"/>
                <w:sz w:val="18"/>
                <w:szCs w:val="18"/>
              </w:rPr>
              <w:t>%</w:t>
            </w:r>
          </w:p>
        </w:tc>
        <w:tc>
          <w:tcPr>
            <w:tcW w:w="1890" w:type="dxa"/>
            <w:tcBorders>
              <w:top w:val="nil"/>
              <w:left w:val="nil"/>
              <w:bottom w:val="single" w:sz="4" w:space="0" w:color="auto"/>
              <w:right w:val="nil"/>
            </w:tcBorders>
            <w:shd w:val="clear" w:color="auto" w:fill="auto"/>
            <w:vAlign w:val="bottom"/>
            <w:hideMark/>
          </w:tcPr>
          <w:p w14:paraId="558825B2" w14:textId="77777777"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n</w:t>
            </w:r>
            <w:r w:rsidRPr="0025098B">
              <w:rPr>
                <w:rFonts w:cs="Arial"/>
                <w:b/>
                <w:color w:val="000000"/>
                <w:sz w:val="18"/>
                <w:szCs w:val="18"/>
              </w:rPr>
              <w:t xml:space="preserve"> (%)</w:t>
            </w:r>
          </w:p>
        </w:tc>
        <w:tc>
          <w:tcPr>
            <w:tcW w:w="1890" w:type="dxa"/>
            <w:tcBorders>
              <w:top w:val="nil"/>
              <w:left w:val="nil"/>
              <w:bottom w:val="single" w:sz="4" w:space="0" w:color="auto"/>
              <w:right w:val="nil"/>
            </w:tcBorders>
            <w:vAlign w:val="bottom"/>
          </w:tcPr>
          <w:p w14:paraId="631AFF98" w14:textId="77777777" w:rsidR="009F532C" w:rsidRPr="0025098B" w:rsidRDefault="009F532C" w:rsidP="009F532C">
            <w:pPr>
              <w:spacing w:after="0" w:line="240" w:lineRule="auto"/>
              <w:jc w:val="center"/>
              <w:rPr>
                <w:rFonts w:cs="Arial"/>
                <w:b/>
                <w:iCs/>
                <w:color w:val="000000"/>
                <w:sz w:val="18"/>
                <w:szCs w:val="18"/>
              </w:rPr>
            </w:pPr>
            <w:r w:rsidRPr="0025098B">
              <w:rPr>
                <w:rFonts w:cs="Arial"/>
                <w:b/>
                <w:iCs/>
                <w:color w:val="000000"/>
                <w:sz w:val="18"/>
                <w:szCs w:val="18"/>
              </w:rPr>
              <w:t>n</w:t>
            </w:r>
            <w:r w:rsidRPr="0025098B">
              <w:rPr>
                <w:rFonts w:cs="Arial"/>
                <w:b/>
                <w:color w:val="000000"/>
                <w:sz w:val="18"/>
                <w:szCs w:val="18"/>
              </w:rPr>
              <w:t xml:space="preserve"> (%)</w:t>
            </w:r>
          </w:p>
        </w:tc>
        <w:tc>
          <w:tcPr>
            <w:tcW w:w="1350" w:type="dxa"/>
            <w:tcBorders>
              <w:top w:val="nil"/>
              <w:left w:val="nil"/>
              <w:bottom w:val="single" w:sz="4" w:space="0" w:color="auto"/>
              <w:right w:val="nil"/>
            </w:tcBorders>
            <w:shd w:val="clear" w:color="auto" w:fill="auto"/>
            <w:vAlign w:val="bottom"/>
            <w:hideMark/>
          </w:tcPr>
          <w:p w14:paraId="1DCC5392" w14:textId="77777777" w:rsidR="009F532C" w:rsidRPr="0025098B" w:rsidRDefault="009F532C" w:rsidP="009F532C">
            <w:pPr>
              <w:spacing w:after="0" w:line="240" w:lineRule="auto"/>
              <w:jc w:val="center"/>
              <w:rPr>
                <w:rFonts w:cs="Arial"/>
                <w:b/>
                <w:iCs/>
                <w:color w:val="000000"/>
                <w:sz w:val="18"/>
                <w:szCs w:val="18"/>
              </w:rPr>
            </w:pPr>
            <w:r w:rsidRPr="0025098B">
              <w:rPr>
                <w:rFonts w:cs="Arial"/>
                <w:b/>
                <w:color w:val="000000"/>
                <w:sz w:val="18"/>
                <w:szCs w:val="18"/>
              </w:rPr>
              <w:t>%</w:t>
            </w:r>
          </w:p>
        </w:tc>
        <w:tc>
          <w:tcPr>
            <w:tcW w:w="1440" w:type="dxa"/>
            <w:tcBorders>
              <w:top w:val="nil"/>
              <w:left w:val="nil"/>
              <w:bottom w:val="single" w:sz="4" w:space="0" w:color="auto"/>
              <w:right w:val="nil"/>
            </w:tcBorders>
            <w:shd w:val="clear" w:color="auto" w:fill="auto"/>
            <w:vAlign w:val="bottom"/>
            <w:hideMark/>
          </w:tcPr>
          <w:p w14:paraId="42AECA5A" w14:textId="77777777" w:rsidR="009F532C" w:rsidRPr="0025098B" w:rsidRDefault="009F532C" w:rsidP="009F532C">
            <w:pPr>
              <w:spacing w:after="0" w:line="240" w:lineRule="auto"/>
              <w:jc w:val="center"/>
              <w:rPr>
                <w:rFonts w:cs="Arial"/>
                <w:b/>
                <w:iCs/>
                <w:color w:val="000000"/>
                <w:sz w:val="18"/>
                <w:szCs w:val="18"/>
              </w:rPr>
            </w:pPr>
            <w:r w:rsidRPr="0025098B">
              <w:rPr>
                <w:rFonts w:cs="Arial"/>
                <w:b/>
                <w:color w:val="000000"/>
                <w:sz w:val="18"/>
                <w:szCs w:val="18"/>
              </w:rPr>
              <w:t>%</w:t>
            </w:r>
          </w:p>
        </w:tc>
        <w:tc>
          <w:tcPr>
            <w:tcW w:w="1710" w:type="dxa"/>
            <w:tcBorders>
              <w:top w:val="nil"/>
              <w:left w:val="nil"/>
              <w:bottom w:val="single" w:sz="4" w:space="0" w:color="auto"/>
              <w:right w:val="nil"/>
            </w:tcBorders>
            <w:shd w:val="clear" w:color="auto" w:fill="auto"/>
            <w:noWrap/>
            <w:vAlign w:val="bottom"/>
            <w:hideMark/>
          </w:tcPr>
          <w:p w14:paraId="4695AF05" w14:textId="77777777" w:rsidR="009F532C" w:rsidRPr="0025098B" w:rsidRDefault="009F532C" w:rsidP="009F532C">
            <w:pPr>
              <w:spacing w:after="0" w:line="240" w:lineRule="auto"/>
              <w:jc w:val="center"/>
              <w:rPr>
                <w:rFonts w:cs="Arial"/>
                <w:b/>
                <w:color w:val="000000"/>
                <w:sz w:val="18"/>
                <w:szCs w:val="18"/>
              </w:rPr>
            </w:pPr>
            <w:r w:rsidRPr="0025098B">
              <w:rPr>
                <w:rFonts w:cs="Arial"/>
                <w:b/>
                <w:color w:val="000000"/>
                <w:sz w:val="18"/>
                <w:szCs w:val="18"/>
              </w:rPr>
              <w:t> % (95% CI)</w:t>
            </w:r>
          </w:p>
        </w:tc>
      </w:tr>
      <w:tr w:rsidR="009F532C" w:rsidRPr="00BA1D24" w14:paraId="0E0B1EE4" w14:textId="77777777" w:rsidTr="00567980">
        <w:trPr>
          <w:trHeight w:val="20"/>
        </w:trPr>
        <w:tc>
          <w:tcPr>
            <w:tcW w:w="1965" w:type="dxa"/>
            <w:shd w:val="clear" w:color="auto" w:fill="auto"/>
            <w:noWrap/>
            <w:vAlign w:val="bottom"/>
            <w:hideMark/>
          </w:tcPr>
          <w:p w14:paraId="43687B61" w14:textId="77777777" w:rsidR="009F532C" w:rsidRPr="0025098B" w:rsidRDefault="009F532C" w:rsidP="009F532C">
            <w:pPr>
              <w:spacing w:after="0" w:line="240" w:lineRule="auto"/>
              <w:rPr>
                <w:rFonts w:cs="Arial"/>
                <w:bCs/>
                <w:color w:val="000000"/>
                <w:sz w:val="18"/>
                <w:szCs w:val="18"/>
              </w:rPr>
            </w:pPr>
            <w:r w:rsidRPr="0025098B">
              <w:rPr>
                <w:rFonts w:cs="Arial"/>
                <w:bCs/>
                <w:color w:val="000000"/>
                <w:sz w:val="18"/>
                <w:szCs w:val="18"/>
              </w:rPr>
              <w:t>Anti-Hyperlipidemic</w:t>
            </w:r>
          </w:p>
        </w:tc>
        <w:tc>
          <w:tcPr>
            <w:tcW w:w="1800" w:type="dxa"/>
            <w:shd w:val="clear" w:color="auto" w:fill="auto"/>
            <w:noWrap/>
            <w:tcMar>
              <w:left w:w="115" w:type="dxa"/>
              <w:right w:w="173" w:type="dxa"/>
            </w:tcMar>
            <w:vAlign w:val="bottom"/>
            <w:hideMark/>
          </w:tcPr>
          <w:p w14:paraId="1A5200B2"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26,559 (37.9%)</w:t>
            </w:r>
          </w:p>
        </w:tc>
        <w:tc>
          <w:tcPr>
            <w:tcW w:w="1620" w:type="dxa"/>
            <w:tcBorders>
              <w:top w:val="nil"/>
              <w:bottom w:val="nil"/>
              <w:right w:val="single" w:sz="4" w:space="0" w:color="auto"/>
            </w:tcBorders>
            <w:shd w:val="clear" w:color="auto" w:fill="auto"/>
            <w:vAlign w:val="bottom"/>
            <w:hideMark/>
          </w:tcPr>
          <w:p w14:paraId="56F178F1"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16.4%</w:t>
            </w:r>
          </w:p>
        </w:tc>
        <w:tc>
          <w:tcPr>
            <w:tcW w:w="1890" w:type="dxa"/>
            <w:tcBorders>
              <w:left w:val="single" w:sz="4" w:space="0" w:color="auto"/>
            </w:tcBorders>
            <w:shd w:val="clear" w:color="auto" w:fill="auto"/>
            <w:tcMar>
              <w:left w:w="115" w:type="dxa"/>
              <w:right w:w="216" w:type="dxa"/>
            </w:tcMar>
            <w:vAlign w:val="bottom"/>
            <w:hideMark/>
          </w:tcPr>
          <w:p w14:paraId="08B98BF2"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17,760 (40.2%)</w:t>
            </w:r>
          </w:p>
        </w:tc>
        <w:tc>
          <w:tcPr>
            <w:tcW w:w="1890" w:type="dxa"/>
            <w:tcMar>
              <w:left w:w="115" w:type="dxa"/>
              <w:right w:w="288" w:type="dxa"/>
            </w:tcMar>
            <w:vAlign w:val="bottom"/>
          </w:tcPr>
          <w:p w14:paraId="513A86F3"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8799 (34.1%)</w:t>
            </w:r>
          </w:p>
        </w:tc>
        <w:tc>
          <w:tcPr>
            <w:tcW w:w="1350" w:type="dxa"/>
            <w:shd w:val="clear" w:color="auto" w:fill="auto"/>
            <w:noWrap/>
            <w:vAlign w:val="bottom"/>
            <w:hideMark/>
          </w:tcPr>
          <w:p w14:paraId="4D57EF6B"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15.1%</w:t>
            </w:r>
          </w:p>
        </w:tc>
        <w:tc>
          <w:tcPr>
            <w:tcW w:w="1440" w:type="dxa"/>
            <w:shd w:val="clear" w:color="auto" w:fill="auto"/>
            <w:noWrap/>
            <w:vAlign w:val="bottom"/>
            <w:hideMark/>
          </w:tcPr>
          <w:p w14:paraId="4188BF3A"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19.0%</w:t>
            </w:r>
          </w:p>
        </w:tc>
        <w:tc>
          <w:tcPr>
            <w:tcW w:w="1710" w:type="dxa"/>
            <w:shd w:val="clear" w:color="auto" w:fill="auto"/>
            <w:noWrap/>
            <w:vAlign w:val="bottom"/>
            <w:hideMark/>
          </w:tcPr>
          <w:p w14:paraId="361CE85E"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-3.9 (-4.9, -2.9)</w:t>
            </w:r>
          </w:p>
        </w:tc>
      </w:tr>
      <w:tr w:rsidR="009F532C" w:rsidRPr="00BA1D24" w14:paraId="00D54FF4" w14:textId="77777777" w:rsidTr="00567980">
        <w:trPr>
          <w:trHeight w:val="20"/>
        </w:trPr>
        <w:tc>
          <w:tcPr>
            <w:tcW w:w="1965" w:type="dxa"/>
            <w:shd w:val="clear" w:color="auto" w:fill="auto"/>
            <w:noWrap/>
            <w:tcMar>
              <w:left w:w="216" w:type="dxa"/>
              <w:right w:w="115" w:type="dxa"/>
            </w:tcMar>
            <w:vAlign w:val="bottom"/>
            <w:hideMark/>
          </w:tcPr>
          <w:p w14:paraId="5BACC1E8"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Statin</w:t>
            </w:r>
          </w:p>
        </w:tc>
        <w:tc>
          <w:tcPr>
            <w:tcW w:w="1800" w:type="dxa"/>
            <w:shd w:val="clear" w:color="auto" w:fill="auto"/>
            <w:noWrap/>
            <w:tcMar>
              <w:left w:w="115" w:type="dxa"/>
              <w:right w:w="173" w:type="dxa"/>
            </w:tcMar>
            <w:vAlign w:val="bottom"/>
            <w:hideMark/>
          </w:tcPr>
          <w:p w14:paraId="0D97BA26"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24,387 (34.8%)</w:t>
            </w:r>
          </w:p>
        </w:tc>
        <w:tc>
          <w:tcPr>
            <w:tcW w:w="1620" w:type="dxa"/>
            <w:tcBorders>
              <w:top w:val="nil"/>
              <w:bottom w:val="nil"/>
              <w:right w:val="single" w:sz="4" w:space="0" w:color="auto"/>
            </w:tcBorders>
            <w:shd w:val="clear" w:color="auto" w:fill="auto"/>
            <w:vAlign w:val="bottom"/>
            <w:hideMark/>
          </w:tcPr>
          <w:p w14:paraId="10CD079E"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16.4%</w:t>
            </w:r>
          </w:p>
        </w:tc>
        <w:tc>
          <w:tcPr>
            <w:tcW w:w="1890" w:type="dxa"/>
            <w:tcBorders>
              <w:left w:val="single" w:sz="4" w:space="0" w:color="auto"/>
            </w:tcBorders>
            <w:shd w:val="clear" w:color="auto" w:fill="auto"/>
            <w:tcMar>
              <w:left w:w="115" w:type="dxa"/>
              <w:right w:w="216" w:type="dxa"/>
            </w:tcMar>
            <w:vAlign w:val="bottom"/>
            <w:hideMark/>
          </w:tcPr>
          <w:p w14:paraId="24A9FAA3"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16,411 (37.1%)</w:t>
            </w:r>
          </w:p>
        </w:tc>
        <w:tc>
          <w:tcPr>
            <w:tcW w:w="1890" w:type="dxa"/>
            <w:tcMar>
              <w:left w:w="115" w:type="dxa"/>
              <w:right w:w="288" w:type="dxa"/>
            </w:tcMar>
            <w:vAlign w:val="bottom"/>
          </w:tcPr>
          <w:p w14:paraId="28010892"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7976 (30.9%)</w:t>
            </w:r>
          </w:p>
        </w:tc>
        <w:tc>
          <w:tcPr>
            <w:tcW w:w="1350" w:type="dxa"/>
            <w:shd w:val="clear" w:color="auto" w:fill="auto"/>
            <w:noWrap/>
            <w:vAlign w:val="bottom"/>
            <w:hideMark/>
          </w:tcPr>
          <w:p w14:paraId="4AB29C36"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15.0%</w:t>
            </w:r>
          </w:p>
        </w:tc>
        <w:tc>
          <w:tcPr>
            <w:tcW w:w="1440" w:type="dxa"/>
            <w:shd w:val="clear" w:color="auto" w:fill="auto"/>
            <w:noWrap/>
            <w:vAlign w:val="bottom"/>
            <w:hideMark/>
          </w:tcPr>
          <w:p w14:paraId="411F8EEC"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19.2%</w:t>
            </w:r>
          </w:p>
        </w:tc>
        <w:tc>
          <w:tcPr>
            <w:tcW w:w="1710" w:type="dxa"/>
            <w:shd w:val="clear" w:color="auto" w:fill="auto"/>
            <w:noWrap/>
            <w:vAlign w:val="bottom"/>
            <w:hideMark/>
          </w:tcPr>
          <w:p w14:paraId="72BABC43"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-4.2 (-5.3, -3.2)</w:t>
            </w:r>
          </w:p>
        </w:tc>
      </w:tr>
      <w:tr w:rsidR="009F532C" w:rsidRPr="00BA1D24" w14:paraId="2A1201D3" w14:textId="77777777" w:rsidTr="00567980">
        <w:trPr>
          <w:trHeight w:val="20"/>
        </w:trPr>
        <w:tc>
          <w:tcPr>
            <w:tcW w:w="1965" w:type="dxa"/>
            <w:shd w:val="clear" w:color="auto" w:fill="auto"/>
            <w:noWrap/>
            <w:vAlign w:val="bottom"/>
            <w:hideMark/>
          </w:tcPr>
          <w:p w14:paraId="1268EFA0" w14:textId="77777777" w:rsidR="009F532C" w:rsidRPr="0025098B" w:rsidRDefault="009F532C" w:rsidP="009F532C">
            <w:pPr>
              <w:spacing w:after="0" w:line="240" w:lineRule="auto"/>
              <w:rPr>
                <w:rFonts w:cs="Arial"/>
                <w:bCs/>
                <w:color w:val="000000"/>
                <w:sz w:val="18"/>
                <w:szCs w:val="18"/>
              </w:rPr>
            </w:pPr>
            <w:r w:rsidRPr="0025098B">
              <w:rPr>
                <w:rFonts w:cs="Arial"/>
                <w:bCs/>
                <w:color w:val="000000"/>
                <w:sz w:val="18"/>
                <w:szCs w:val="18"/>
              </w:rPr>
              <w:t>Antihypertensive</w:t>
            </w:r>
          </w:p>
        </w:tc>
        <w:tc>
          <w:tcPr>
            <w:tcW w:w="1800" w:type="dxa"/>
            <w:shd w:val="clear" w:color="auto" w:fill="auto"/>
            <w:noWrap/>
            <w:tcMar>
              <w:left w:w="115" w:type="dxa"/>
              <w:right w:w="173" w:type="dxa"/>
            </w:tcMar>
            <w:vAlign w:val="bottom"/>
            <w:hideMark/>
          </w:tcPr>
          <w:p w14:paraId="5EBD9881"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45,068 (64.4%)</w:t>
            </w:r>
          </w:p>
        </w:tc>
        <w:tc>
          <w:tcPr>
            <w:tcW w:w="1620" w:type="dxa"/>
            <w:tcBorders>
              <w:top w:val="nil"/>
              <w:bottom w:val="nil"/>
              <w:right w:val="single" w:sz="4" w:space="0" w:color="auto"/>
            </w:tcBorders>
            <w:shd w:val="clear" w:color="auto" w:fill="auto"/>
            <w:vAlign w:val="bottom"/>
            <w:hideMark/>
          </w:tcPr>
          <w:p w14:paraId="2A9067DE"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26.5%</w:t>
            </w:r>
          </w:p>
        </w:tc>
        <w:tc>
          <w:tcPr>
            <w:tcW w:w="1890" w:type="dxa"/>
            <w:tcBorders>
              <w:left w:val="single" w:sz="4" w:space="0" w:color="auto"/>
            </w:tcBorders>
            <w:shd w:val="clear" w:color="auto" w:fill="auto"/>
            <w:tcMar>
              <w:left w:w="115" w:type="dxa"/>
              <w:right w:w="216" w:type="dxa"/>
            </w:tcMar>
            <w:vAlign w:val="bottom"/>
            <w:hideMark/>
          </w:tcPr>
          <w:p w14:paraId="00ED6719"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30,015 (67.9%)</w:t>
            </w:r>
          </w:p>
        </w:tc>
        <w:tc>
          <w:tcPr>
            <w:tcW w:w="1890" w:type="dxa"/>
            <w:tcMar>
              <w:left w:w="115" w:type="dxa"/>
              <w:right w:w="288" w:type="dxa"/>
            </w:tcMar>
            <w:vAlign w:val="bottom"/>
          </w:tcPr>
          <w:p w14:paraId="2E98ED72"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15,053 (58.3%)</w:t>
            </w:r>
          </w:p>
        </w:tc>
        <w:tc>
          <w:tcPr>
            <w:tcW w:w="1350" w:type="dxa"/>
            <w:shd w:val="clear" w:color="auto" w:fill="auto"/>
            <w:noWrap/>
            <w:vAlign w:val="bottom"/>
            <w:hideMark/>
          </w:tcPr>
          <w:p w14:paraId="3BD9ED35"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26.7%</w:t>
            </w:r>
          </w:p>
        </w:tc>
        <w:tc>
          <w:tcPr>
            <w:tcW w:w="1440" w:type="dxa"/>
            <w:shd w:val="clear" w:color="auto" w:fill="auto"/>
            <w:noWrap/>
            <w:vAlign w:val="bottom"/>
            <w:hideMark/>
          </w:tcPr>
          <w:p w14:paraId="326DD179"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26.0%</w:t>
            </w:r>
          </w:p>
        </w:tc>
        <w:tc>
          <w:tcPr>
            <w:tcW w:w="1710" w:type="dxa"/>
            <w:shd w:val="clear" w:color="auto" w:fill="auto"/>
            <w:noWrap/>
            <w:vAlign w:val="bottom"/>
            <w:hideMark/>
          </w:tcPr>
          <w:p w14:paraId="3A09EE91"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0.8 (-0.1, 1.6)</w:t>
            </w:r>
          </w:p>
        </w:tc>
      </w:tr>
      <w:tr w:rsidR="009F532C" w:rsidRPr="00BA1D24" w14:paraId="588599DF" w14:textId="77777777" w:rsidTr="00567980">
        <w:trPr>
          <w:trHeight w:val="20"/>
        </w:trPr>
        <w:tc>
          <w:tcPr>
            <w:tcW w:w="1965" w:type="dxa"/>
            <w:shd w:val="clear" w:color="auto" w:fill="auto"/>
            <w:noWrap/>
            <w:tcMar>
              <w:left w:w="216" w:type="dxa"/>
              <w:right w:w="115" w:type="dxa"/>
            </w:tcMar>
            <w:vAlign w:val="bottom"/>
            <w:hideMark/>
          </w:tcPr>
          <w:p w14:paraId="0FDCCAA1"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Beta-Blocker</w:t>
            </w:r>
          </w:p>
        </w:tc>
        <w:tc>
          <w:tcPr>
            <w:tcW w:w="1800" w:type="dxa"/>
            <w:shd w:val="clear" w:color="auto" w:fill="auto"/>
            <w:noWrap/>
            <w:tcMar>
              <w:left w:w="115" w:type="dxa"/>
              <w:right w:w="173" w:type="dxa"/>
            </w:tcMar>
            <w:vAlign w:val="bottom"/>
            <w:hideMark/>
          </w:tcPr>
          <w:p w14:paraId="24564733"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15,999 (22.8%)</w:t>
            </w:r>
          </w:p>
        </w:tc>
        <w:tc>
          <w:tcPr>
            <w:tcW w:w="1620" w:type="dxa"/>
            <w:tcBorders>
              <w:top w:val="nil"/>
              <w:bottom w:val="nil"/>
              <w:right w:val="single" w:sz="4" w:space="0" w:color="auto"/>
            </w:tcBorders>
            <w:shd w:val="clear" w:color="auto" w:fill="auto"/>
            <w:vAlign w:val="bottom"/>
            <w:hideMark/>
          </w:tcPr>
          <w:p w14:paraId="1CF638A9"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28.5%</w:t>
            </w:r>
          </w:p>
        </w:tc>
        <w:tc>
          <w:tcPr>
            <w:tcW w:w="1890" w:type="dxa"/>
            <w:tcBorders>
              <w:left w:val="single" w:sz="4" w:space="0" w:color="auto"/>
            </w:tcBorders>
            <w:shd w:val="clear" w:color="auto" w:fill="auto"/>
            <w:tcMar>
              <w:left w:w="115" w:type="dxa"/>
              <w:right w:w="216" w:type="dxa"/>
            </w:tcMar>
            <w:vAlign w:val="bottom"/>
            <w:hideMark/>
          </w:tcPr>
          <w:p w14:paraId="2CE869A9"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11,255 (25.5%)</w:t>
            </w:r>
          </w:p>
        </w:tc>
        <w:tc>
          <w:tcPr>
            <w:tcW w:w="1890" w:type="dxa"/>
            <w:tcMar>
              <w:left w:w="115" w:type="dxa"/>
              <w:right w:w="288" w:type="dxa"/>
            </w:tcMar>
            <w:vAlign w:val="bottom"/>
          </w:tcPr>
          <w:p w14:paraId="6B2A500F"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4744 (18.4%)</w:t>
            </w:r>
          </w:p>
        </w:tc>
        <w:tc>
          <w:tcPr>
            <w:tcW w:w="1350" w:type="dxa"/>
            <w:shd w:val="clear" w:color="auto" w:fill="auto"/>
            <w:noWrap/>
            <w:vAlign w:val="bottom"/>
            <w:hideMark/>
          </w:tcPr>
          <w:p w14:paraId="514E3D38"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27.9%</w:t>
            </w:r>
          </w:p>
        </w:tc>
        <w:tc>
          <w:tcPr>
            <w:tcW w:w="1440" w:type="dxa"/>
            <w:shd w:val="clear" w:color="auto" w:fill="auto"/>
            <w:noWrap/>
            <w:vAlign w:val="bottom"/>
            <w:hideMark/>
          </w:tcPr>
          <w:p w14:paraId="418F6B3B"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29.8%</w:t>
            </w:r>
          </w:p>
        </w:tc>
        <w:tc>
          <w:tcPr>
            <w:tcW w:w="1710" w:type="dxa"/>
            <w:shd w:val="clear" w:color="auto" w:fill="auto"/>
            <w:noWrap/>
            <w:vAlign w:val="bottom"/>
            <w:hideMark/>
          </w:tcPr>
          <w:p w14:paraId="361180C3"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-1.8 (-3.4, -0.3)</w:t>
            </w:r>
          </w:p>
        </w:tc>
      </w:tr>
      <w:tr w:rsidR="009F532C" w:rsidRPr="00BA1D24" w14:paraId="251B5B2B" w14:textId="77777777" w:rsidTr="00567980">
        <w:trPr>
          <w:trHeight w:val="20"/>
        </w:trPr>
        <w:tc>
          <w:tcPr>
            <w:tcW w:w="1965" w:type="dxa"/>
            <w:shd w:val="clear" w:color="auto" w:fill="auto"/>
            <w:noWrap/>
            <w:tcMar>
              <w:left w:w="216" w:type="dxa"/>
              <w:right w:w="115" w:type="dxa"/>
            </w:tcMar>
            <w:vAlign w:val="bottom"/>
            <w:hideMark/>
          </w:tcPr>
          <w:p w14:paraId="186CE278"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ACE Inhibitor</w:t>
            </w:r>
          </w:p>
        </w:tc>
        <w:tc>
          <w:tcPr>
            <w:tcW w:w="1800" w:type="dxa"/>
            <w:shd w:val="clear" w:color="auto" w:fill="auto"/>
            <w:noWrap/>
            <w:tcMar>
              <w:left w:w="115" w:type="dxa"/>
              <w:right w:w="173" w:type="dxa"/>
            </w:tcMar>
            <w:vAlign w:val="bottom"/>
            <w:hideMark/>
          </w:tcPr>
          <w:p w14:paraId="2438E2FF"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12,674 (18.1%)</w:t>
            </w:r>
          </w:p>
        </w:tc>
        <w:tc>
          <w:tcPr>
            <w:tcW w:w="1620" w:type="dxa"/>
            <w:tcBorders>
              <w:top w:val="nil"/>
              <w:bottom w:val="nil"/>
              <w:right w:val="single" w:sz="4" w:space="0" w:color="auto"/>
            </w:tcBorders>
            <w:shd w:val="clear" w:color="auto" w:fill="auto"/>
            <w:vAlign w:val="bottom"/>
            <w:hideMark/>
          </w:tcPr>
          <w:p w14:paraId="35691C77"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23.2%</w:t>
            </w:r>
          </w:p>
        </w:tc>
        <w:tc>
          <w:tcPr>
            <w:tcW w:w="1890" w:type="dxa"/>
            <w:tcBorders>
              <w:left w:val="single" w:sz="4" w:space="0" w:color="auto"/>
            </w:tcBorders>
            <w:shd w:val="clear" w:color="auto" w:fill="auto"/>
            <w:tcMar>
              <w:left w:w="115" w:type="dxa"/>
              <w:right w:w="216" w:type="dxa"/>
            </w:tcMar>
            <w:vAlign w:val="bottom"/>
            <w:hideMark/>
          </w:tcPr>
          <w:p w14:paraId="1C75D42E"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9211 (20.8%)</w:t>
            </w:r>
          </w:p>
        </w:tc>
        <w:tc>
          <w:tcPr>
            <w:tcW w:w="1890" w:type="dxa"/>
            <w:tcMar>
              <w:left w:w="115" w:type="dxa"/>
              <w:right w:w="288" w:type="dxa"/>
            </w:tcMar>
            <w:vAlign w:val="bottom"/>
          </w:tcPr>
          <w:p w14:paraId="6F599F1B"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3463 (13.4%)</w:t>
            </w:r>
          </w:p>
        </w:tc>
        <w:tc>
          <w:tcPr>
            <w:tcW w:w="1350" w:type="dxa"/>
            <w:shd w:val="clear" w:color="auto" w:fill="auto"/>
            <w:noWrap/>
            <w:vAlign w:val="bottom"/>
            <w:hideMark/>
          </w:tcPr>
          <w:p w14:paraId="5C39CA10"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22.0%</w:t>
            </w:r>
          </w:p>
        </w:tc>
        <w:tc>
          <w:tcPr>
            <w:tcW w:w="1440" w:type="dxa"/>
            <w:shd w:val="clear" w:color="auto" w:fill="auto"/>
            <w:noWrap/>
            <w:vAlign w:val="bottom"/>
            <w:hideMark/>
          </w:tcPr>
          <w:p w14:paraId="3009C060"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26.3%</w:t>
            </w:r>
          </w:p>
        </w:tc>
        <w:tc>
          <w:tcPr>
            <w:tcW w:w="1710" w:type="dxa"/>
            <w:shd w:val="clear" w:color="auto" w:fill="auto"/>
            <w:noWrap/>
            <w:vAlign w:val="bottom"/>
            <w:hideMark/>
          </w:tcPr>
          <w:p w14:paraId="0125E052"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-4.3 (-6.0, -2.6)</w:t>
            </w:r>
          </w:p>
        </w:tc>
      </w:tr>
      <w:tr w:rsidR="009F532C" w:rsidRPr="00BA1D24" w14:paraId="3C49395E" w14:textId="77777777" w:rsidTr="00567980">
        <w:trPr>
          <w:trHeight w:val="20"/>
        </w:trPr>
        <w:tc>
          <w:tcPr>
            <w:tcW w:w="1965" w:type="dxa"/>
            <w:shd w:val="clear" w:color="auto" w:fill="auto"/>
            <w:noWrap/>
            <w:tcMar>
              <w:left w:w="216" w:type="dxa"/>
              <w:right w:w="115" w:type="dxa"/>
            </w:tcMar>
            <w:vAlign w:val="bottom"/>
            <w:hideMark/>
          </w:tcPr>
          <w:p w14:paraId="25854F00"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DHP CCB</w:t>
            </w:r>
          </w:p>
        </w:tc>
        <w:tc>
          <w:tcPr>
            <w:tcW w:w="1800" w:type="dxa"/>
            <w:shd w:val="clear" w:color="auto" w:fill="auto"/>
            <w:noWrap/>
            <w:tcMar>
              <w:left w:w="115" w:type="dxa"/>
              <w:right w:w="173" w:type="dxa"/>
            </w:tcMar>
            <w:vAlign w:val="bottom"/>
            <w:hideMark/>
          </w:tcPr>
          <w:p w14:paraId="063471D5"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15,732 (22.5%)</w:t>
            </w:r>
          </w:p>
        </w:tc>
        <w:tc>
          <w:tcPr>
            <w:tcW w:w="1620" w:type="dxa"/>
            <w:tcBorders>
              <w:top w:val="nil"/>
              <w:bottom w:val="nil"/>
              <w:right w:val="single" w:sz="4" w:space="0" w:color="auto"/>
            </w:tcBorders>
            <w:shd w:val="clear" w:color="auto" w:fill="auto"/>
            <w:vAlign w:val="bottom"/>
            <w:hideMark/>
          </w:tcPr>
          <w:p w14:paraId="24FFA467"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22.8%</w:t>
            </w:r>
          </w:p>
        </w:tc>
        <w:tc>
          <w:tcPr>
            <w:tcW w:w="1890" w:type="dxa"/>
            <w:tcBorders>
              <w:left w:val="single" w:sz="4" w:space="0" w:color="auto"/>
            </w:tcBorders>
            <w:shd w:val="clear" w:color="auto" w:fill="auto"/>
            <w:tcMar>
              <w:left w:w="115" w:type="dxa"/>
              <w:right w:w="216" w:type="dxa"/>
            </w:tcMar>
            <w:vAlign w:val="bottom"/>
            <w:hideMark/>
          </w:tcPr>
          <w:p w14:paraId="7E52BF18"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9943 (22.5%)</w:t>
            </w:r>
          </w:p>
        </w:tc>
        <w:tc>
          <w:tcPr>
            <w:tcW w:w="1890" w:type="dxa"/>
            <w:tcMar>
              <w:left w:w="115" w:type="dxa"/>
              <w:right w:w="288" w:type="dxa"/>
            </w:tcMar>
            <w:vAlign w:val="bottom"/>
          </w:tcPr>
          <w:p w14:paraId="477A02B4"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5789 (22.4%)</w:t>
            </w:r>
          </w:p>
        </w:tc>
        <w:tc>
          <w:tcPr>
            <w:tcW w:w="1350" w:type="dxa"/>
            <w:shd w:val="clear" w:color="auto" w:fill="auto"/>
            <w:noWrap/>
            <w:vAlign w:val="bottom"/>
            <w:hideMark/>
          </w:tcPr>
          <w:p w14:paraId="2EC682BE"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 xml:space="preserve"> 23.4%</w:t>
            </w:r>
          </w:p>
        </w:tc>
        <w:tc>
          <w:tcPr>
            <w:tcW w:w="1440" w:type="dxa"/>
            <w:shd w:val="clear" w:color="auto" w:fill="auto"/>
            <w:noWrap/>
            <w:vAlign w:val="bottom"/>
            <w:hideMark/>
          </w:tcPr>
          <w:p w14:paraId="10927437"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21.8%</w:t>
            </w:r>
          </w:p>
        </w:tc>
        <w:tc>
          <w:tcPr>
            <w:tcW w:w="1710" w:type="dxa"/>
            <w:shd w:val="clear" w:color="auto" w:fill="auto"/>
            <w:noWrap/>
            <w:vAlign w:val="bottom"/>
            <w:hideMark/>
          </w:tcPr>
          <w:p w14:paraId="5D811681"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1.6 (0.3, 3.0)</w:t>
            </w:r>
          </w:p>
        </w:tc>
      </w:tr>
      <w:tr w:rsidR="009F532C" w:rsidRPr="00BA1D24" w14:paraId="468C14DB" w14:textId="77777777" w:rsidTr="00567980">
        <w:trPr>
          <w:trHeight w:val="20"/>
        </w:trPr>
        <w:tc>
          <w:tcPr>
            <w:tcW w:w="1965" w:type="dxa"/>
            <w:shd w:val="clear" w:color="auto" w:fill="auto"/>
            <w:noWrap/>
            <w:tcMar>
              <w:left w:w="216" w:type="dxa"/>
              <w:right w:w="115" w:type="dxa"/>
            </w:tcMar>
            <w:vAlign w:val="bottom"/>
            <w:hideMark/>
          </w:tcPr>
          <w:p w14:paraId="602A9134"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ARB</w:t>
            </w:r>
          </w:p>
        </w:tc>
        <w:tc>
          <w:tcPr>
            <w:tcW w:w="1800" w:type="dxa"/>
            <w:shd w:val="clear" w:color="auto" w:fill="auto"/>
            <w:noWrap/>
            <w:tcMar>
              <w:left w:w="115" w:type="dxa"/>
              <w:right w:w="173" w:type="dxa"/>
            </w:tcMar>
            <w:vAlign w:val="bottom"/>
            <w:hideMark/>
          </w:tcPr>
          <w:p w14:paraId="5C1171B9"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6535 (9.3%)</w:t>
            </w:r>
          </w:p>
        </w:tc>
        <w:tc>
          <w:tcPr>
            <w:tcW w:w="1620" w:type="dxa"/>
            <w:tcBorders>
              <w:top w:val="nil"/>
              <w:bottom w:val="nil"/>
              <w:right w:val="single" w:sz="4" w:space="0" w:color="auto"/>
            </w:tcBorders>
            <w:shd w:val="clear" w:color="auto" w:fill="auto"/>
            <w:vAlign w:val="bottom"/>
            <w:hideMark/>
          </w:tcPr>
          <w:p w14:paraId="2444AD63"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22.2%</w:t>
            </w:r>
          </w:p>
        </w:tc>
        <w:tc>
          <w:tcPr>
            <w:tcW w:w="1890" w:type="dxa"/>
            <w:tcBorders>
              <w:left w:val="single" w:sz="4" w:space="0" w:color="auto"/>
            </w:tcBorders>
            <w:shd w:val="clear" w:color="auto" w:fill="auto"/>
            <w:tcMar>
              <w:left w:w="115" w:type="dxa"/>
              <w:right w:w="216" w:type="dxa"/>
            </w:tcMar>
            <w:vAlign w:val="bottom"/>
            <w:hideMark/>
          </w:tcPr>
          <w:p w14:paraId="79BC6702"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4969 (11.2%)</w:t>
            </w:r>
          </w:p>
        </w:tc>
        <w:tc>
          <w:tcPr>
            <w:tcW w:w="1890" w:type="dxa"/>
            <w:tcMar>
              <w:left w:w="115" w:type="dxa"/>
              <w:right w:w="288" w:type="dxa"/>
            </w:tcMar>
            <w:vAlign w:val="bottom"/>
          </w:tcPr>
          <w:p w14:paraId="4BC8B2D5"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1566 (6.1%)</w:t>
            </w:r>
          </w:p>
        </w:tc>
        <w:tc>
          <w:tcPr>
            <w:tcW w:w="1350" w:type="dxa"/>
            <w:shd w:val="clear" w:color="auto" w:fill="auto"/>
            <w:noWrap/>
            <w:vAlign w:val="bottom"/>
            <w:hideMark/>
          </w:tcPr>
          <w:p w14:paraId="6D818000"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22.0%</w:t>
            </w:r>
          </w:p>
        </w:tc>
        <w:tc>
          <w:tcPr>
            <w:tcW w:w="1440" w:type="dxa"/>
            <w:shd w:val="clear" w:color="auto" w:fill="auto"/>
            <w:noWrap/>
            <w:vAlign w:val="bottom"/>
            <w:hideMark/>
          </w:tcPr>
          <w:p w14:paraId="1C186C0D"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22.6%</w:t>
            </w:r>
          </w:p>
        </w:tc>
        <w:tc>
          <w:tcPr>
            <w:tcW w:w="1710" w:type="dxa"/>
            <w:shd w:val="clear" w:color="auto" w:fill="auto"/>
            <w:noWrap/>
            <w:vAlign w:val="bottom"/>
            <w:hideMark/>
          </w:tcPr>
          <w:p w14:paraId="6FF5DF80"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-0.6 (-3.0, 1.8)</w:t>
            </w:r>
          </w:p>
        </w:tc>
      </w:tr>
      <w:tr w:rsidR="009F532C" w:rsidRPr="00BA1D24" w14:paraId="67630509" w14:textId="77777777" w:rsidTr="00567980">
        <w:trPr>
          <w:trHeight w:val="20"/>
        </w:trPr>
        <w:tc>
          <w:tcPr>
            <w:tcW w:w="1965" w:type="dxa"/>
            <w:shd w:val="clear" w:color="auto" w:fill="auto"/>
            <w:noWrap/>
            <w:tcMar>
              <w:left w:w="216" w:type="dxa"/>
              <w:right w:w="115" w:type="dxa"/>
            </w:tcMar>
            <w:vAlign w:val="bottom"/>
            <w:hideMark/>
          </w:tcPr>
          <w:p w14:paraId="0708EA02"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Thiazide Diuretic</w:t>
            </w:r>
          </w:p>
        </w:tc>
        <w:tc>
          <w:tcPr>
            <w:tcW w:w="1800" w:type="dxa"/>
            <w:shd w:val="clear" w:color="auto" w:fill="auto"/>
            <w:noWrap/>
            <w:tcMar>
              <w:left w:w="115" w:type="dxa"/>
              <w:right w:w="173" w:type="dxa"/>
            </w:tcMar>
            <w:vAlign w:val="bottom"/>
            <w:hideMark/>
          </w:tcPr>
          <w:p w14:paraId="7C05F709"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12,589 (18.0%)</w:t>
            </w:r>
          </w:p>
        </w:tc>
        <w:tc>
          <w:tcPr>
            <w:tcW w:w="1620" w:type="dxa"/>
            <w:tcBorders>
              <w:top w:val="nil"/>
              <w:bottom w:val="nil"/>
              <w:right w:val="single" w:sz="4" w:space="0" w:color="auto"/>
            </w:tcBorders>
            <w:shd w:val="clear" w:color="auto" w:fill="auto"/>
            <w:vAlign w:val="bottom"/>
            <w:hideMark/>
          </w:tcPr>
          <w:p w14:paraId="0BE309D6"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15.8%</w:t>
            </w:r>
          </w:p>
        </w:tc>
        <w:tc>
          <w:tcPr>
            <w:tcW w:w="1890" w:type="dxa"/>
            <w:tcBorders>
              <w:left w:val="single" w:sz="4" w:space="0" w:color="auto"/>
            </w:tcBorders>
            <w:shd w:val="clear" w:color="auto" w:fill="auto"/>
            <w:tcMar>
              <w:left w:w="115" w:type="dxa"/>
              <w:right w:w="216" w:type="dxa"/>
            </w:tcMar>
            <w:vAlign w:val="bottom"/>
            <w:hideMark/>
          </w:tcPr>
          <w:p w14:paraId="1FFD0A12"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8769 (19.8%)</w:t>
            </w:r>
          </w:p>
        </w:tc>
        <w:tc>
          <w:tcPr>
            <w:tcW w:w="1890" w:type="dxa"/>
            <w:tcMar>
              <w:left w:w="115" w:type="dxa"/>
              <w:right w:w="288" w:type="dxa"/>
            </w:tcMar>
            <w:vAlign w:val="bottom"/>
          </w:tcPr>
          <w:p w14:paraId="49781846"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3820 (14.8%)</w:t>
            </w:r>
          </w:p>
        </w:tc>
        <w:tc>
          <w:tcPr>
            <w:tcW w:w="1350" w:type="dxa"/>
            <w:shd w:val="clear" w:color="auto" w:fill="auto"/>
            <w:noWrap/>
            <w:vAlign w:val="bottom"/>
            <w:hideMark/>
          </w:tcPr>
          <w:p w14:paraId="1F481710"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16.0%</w:t>
            </w:r>
          </w:p>
        </w:tc>
        <w:tc>
          <w:tcPr>
            <w:tcW w:w="1440" w:type="dxa"/>
            <w:shd w:val="clear" w:color="auto" w:fill="auto"/>
            <w:noWrap/>
            <w:vAlign w:val="bottom"/>
            <w:hideMark/>
          </w:tcPr>
          <w:p w14:paraId="2BA98E4A"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15.3%</w:t>
            </w:r>
          </w:p>
        </w:tc>
        <w:tc>
          <w:tcPr>
            <w:tcW w:w="1710" w:type="dxa"/>
            <w:shd w:val="clear" w:color="auto" w:fill="auto"/>
            <w:noWrap/>
            <w:vAlign w:val="bottom"/>
            <w:hideMark/>
          </w:tcPr>
          <w:p w14:paraId="22C47FAE"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0.7 (-0.7, 2.0)</w:t>
            </w:r>
          </w:p>
        </w:tc>
      </w:tr>
      <w:tr w:rsidR="009F532C" w:rsidRPr="00BA1D24" w14:paraId="5FAA4CEB" w14:textId="77777777" w:rsidTr="00567980">
        <w:trPr>
          <w:trHeight w:val="20"/>
        </w:trPr>
        <w:tc>
          <w:tcPr>
            <w:tcW w:w="1965" w:type="dxa"/>
            <w:shd w:val="clear" w:color="auto" w:fill="auto"/>
            <w:noWrap/>
            <w:vAlign w:val="bottom"/>
            <w:hideMark/>
          </w:tcPr>
          <w:p w14:paraId="5CC50767" w14:textId="77777777" w:rsidR="009F532C" w:rsidRPr="0025098B" w:rsidRDefault="009F532C" w:rsidP="009F532C">
            <w:pPr>
              <w:spacing w:after="0" w:line="240" w:lineRule="auto"/>
              <w:rPr>
                <w:rFonts w:cs="Arial"/>
                <w:bCs/>
                <w:color w:val="000000"/>
                <w:sz w:val="18"/>
                <w:szCs w:val="18"/>
              </w:rPr>
            </w:pPr>
            <w:r w:rsidRPr="0025098B">
              <w:rPr>
                <w:rFonts w:cs="Arial"/>
                <w:bCs/>
                <w:color w:val="000000"/>
                <w:sz w:val="18"/>
                <w:szCs w:val="18"/>
              </w:rPr>
              <w:t>Oral Anti-diabetic</w:t>
            </w:r>
          </w:p>
        </w:tc>
        <w:tc>
          <w:tcPr>
            <w:tcW w:w="1800" w:type="dxa"/>
            <w:shd w:val="clear" w:color="auto" w:fill="auto"/>
            <w:noWrap/>
            <w:tcMar>
              <w:left w:w="115" w:type="dxa"/>
              <w:right w:w="173" w:type="dxa"/>
            </w:tcMar>
            <w:vAlign w:val="bottom"/>
            <w:hideMark/>
          </w:tcPr>
          <w:p w14:paraId="0DB9F228"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13,662 (19.5%)</w:t>
            </w:r>
          </w:p>
        </w:tc>
        <w:tc>
          <w:tcPr>
            <w:tcW w:w="1620" w:type="dxa"/>
            <w:tcBorders>
              <w:top w:val="nil"/>
              <w:bottom w:val="nil"/>
              <w:right w:val="single" w:sz="4" w:space="0" w:color="auto"/>
            </w:tcBorders>
            <w:shd w:val="clear" w:color="auto" w:fill="auto"/>
            <w:vAlign w:val="bottom"/>
            <w:hideMark/>
          </w:tcPr>
          <w:p w14:paraId="318BA60C"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23.0%</w:t>
            </w:r>
          </w:p>
        </w:tc>
        <w:tc>
          <w:tcPr>
            <w:tcW w:w="1890" w:type="dxa"/>
            <w:tcBorders>
              <w:left w:val="single" w:sz="4" w:space="0" w:color="auto"/>
            </w:tcBorders>
            <w:shd w:val="clear" w:color="auto" w:fill="auto"/>
            <w:tcMar>
              <w:left w:w="115" w:type="dxa"/>
              <w:right w:w="216" w:type="dxa"/>
            </w:tcMar>
            <w:vAlign w:val="bottom"/>
            <w:hideMark/>
          </w:tcPr>
          <w:p w14:paraId="556DF911"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9082 (20.5%)</w:t>
            </w:r>
          </w:p>
        </w:tc>
        <w:tc>
          <w:tcPr>
            <w:tcW w:w="1890" w:type="dxa"/>
            <w:tcMar>
              <w:left w:w="115" w:type="dxa"/>
              <w:right w:w="288" w:type="dxa"/>
            </w:tcMar>
            <w:vAlign w:val="bottom"/>
          </w:tcPr>
          <w:p w14:paraId="76F8F1CA"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4580 (17.7%)</w:t>
            </w:r>
          </w:p>
        </w:tc>
        <w:tc>
          <w:tcPr>
            <w:tcW w:w="1350" w:type="dxa"/>
            <w:shd w:val="clear" w:color="auto" w:fill="auto"/>
            <w:noWrap/>
            <w:vAlign w:val="bottom"/>
            <w:hideMark/>
          </w:tcPr>
          <w:p w14:paraId="4760D2CF"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23.3%</w:t>
            </w:r>
          </w:p>
        </w:tc>
        <w:tc>
          <w:tcPr>
            <w:tcW w:w="1440" w:type="dxa"/>
            <w:shd w:val="clear" w:color="auto" w:fill="auto"/>
            <w:noWrap/>
            <w:vAlign w:val="bottom"/>
            <w:hideMark/>
          </w:tcPr>
          <w:p w14:paraId="688435EC"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22.4%</w:t>
            </w:r>
          </w:p>
        </w:tc>
        <w:tc>
          <w:tcPr>
            <w:tcW w:w="1710" w:type="dxa"/>
            <w:shd w:val="clear" w:color="auto" w:fill="auto"/>
            <w:noWrap/>
            <w:vAlign w:val="bottom"/>
            <w:hideMark/>
          </w:tcPr>
          <w:p w14:paraId="3315A010"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1.0 (-0.5, 2.4)</w:t>
            </w:r>
          </w:p>
        </w:tc>
      </w:tr>
      <w:tr w:rsidR="009F532C" w:rsidRPr="00BA1D24" w14:paraId="10E1825F" w14:textId="77777777" w:rsidTr="00567980">
        <w:trPr>
          <w:trHeight w:val="20"/>
        </w:trPr>
        <w:tc>
          <w:tcPr>
            <w:tcW w:w="1965" w:type="dxa"/>
            <w:shd w:val="clear" w:color="auto" w:fill="auto"/>
            <w:noWrap/>
            <w:tcMar>
              <w:left w:w="216" w:type="dxa"/>
              <w:right w:w="115" w:type="dxa"/>
            </w:tcMar>
            <w:vAlign w:val="bottom"/>
            <w:hideMark/>
          </w:tcPr>
          <w:p w14:paraId="2355BBAC"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Sulfonylurea</w:t>
            </w:r>
          </w:p>
        </w:tc>
        <w:tc>
          <w:tcPr>
            <w:tcW w:w="1800" w:type="dxa"/>
            <w:shd w:val="clear" w:color="auto" w:fill="auto"/>
            <w:noWrap/>
            <w:tcMar>
              <w:left w:w="115" w:type="dxa"/>
              <w:right w:w="173" w:type="dxa"/>
            </w:tcMar>
            <w:vAlign w:val="bottom"/>
            <w:hideMark/>
          </w:tcPr>
          <w:p w14:paraId="2B0D8955"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7589 (10.8%)</w:t>
            </w:r>
          </w:p>
        </w:tc>
        <w:tc>
          <w:tcPr>
            <w:tcW w:w="1620" w:type="dxa"/>
            <w:tcBorders>
              <w:top w:val="nil"/>
              <w:bottom w:val="nil"/>
              <w:right w:val="single" w:sz="4" w:space="0" w:color="auto"/>
            </w:tcBorders>
            <w:shd w:val="clear" w:color="auto" w:fill="auto"/>
            <w:vAlign w:val="bottom"/>
            <w:hideMark/>
          </w:tcPr>
          <w:p w14:paraId="415A3F2C"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21.4%</w:t>
            </w:r>
          </w:p>
        </w:tc>
        <w:tc>
          <w:tcPr>
            <w:tcW w:w="1890" w:type="dxa"/>
            <w:tcBorders>
              <w:left w:val="single" w:sz="4" w:space="0" w:color="auto"/>
            </w:tcBorders>
            <w:shd w:val="clear" w:color="auto" w:fill="auto"/>
            <w:tcMar>
              <w:left w:w="115" w:type="dxa"/>
              <w:right w:w="216" w:type="dxa"/>
            </w:tcMar>
            <w:vAlign w:val="bottom"/>
            <w:hideMark/>
          </w:tcPr>
          <w:p w14:paraId="3E3644CA"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4985 (11.3%)</w:t>
            </w:r>
          </w:p>
        </w:tc>
        <w:tc>
          <w:tcPr>
            <w:tcW w:w="1890" w:type="dxa"/>
            <w:tcMar>
              <w:left w:w="115" w:type="dxa"/>
              <w:right w:w="288" w:type="dxa"/>
            </w:tcMar>
            <w:vAlign w:val="bottom"/>
          </w:tcPr>
          <w:p w14:paraId="42F9D000"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2604 (10.1%)</w:t>
            </w:r>
          </w:p>
        </w:tc>
        <w:tc>
          <w:tcPr>
            <w:tcW w:w="1350" w:type="dxa"/>
            <w:shd w:val="clear" w:color="auto" w:fill="auto"/>
            <w:noWrap/>
            <w:vAlign w:val="bottom"/>
            <w:hideMark/>
          </w:tcPr>
          <w:p w14:paraId="04AD68F2"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21.8%</w:t>
            </w:r>
          </w:p>
        </w:tc>
        <w:tc>
          <w:tcPr>
            <w:tcW w:w="1440" w:type="dxa"/>
            <w:shd w:val="clear" w:color="auto" w:fill="auto"/>
            <w:noWrap/>
            <w:vAlign w:val="bottom"/>
            <w:hideMark/>
          </w:tcPr>
          <w:p w14:paraId="0B9FB055"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20.5%</w:t>
            </w:r>
          </w:p>
        </w:tc>
        <w:tc>
          <w:tcPr>
            <w:tcW w:w="1710" w:type="dxa"/>
            <w:shd w:val="clear" w:color="auto" w:fill="auto"/>
            <w:noWrap/>
            <w:vAlign w:val="bottom"/>
            <w:hideMark/>
          </w:tcPr>
          <w:p w14:paraId="083C6B00"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1.2 (-0.7, 3.2)</w:t>
            </w:r>
          </w:p>
        </w:tc>
      </w:tr>
      <w:tr w:rsidR="009F532C" w:rsidRPr="00BA1D24" w14:paraId="0E609009" w14:textId="77777777" w:rsidTr="00567980">
        <w:trPr>
          <w:trHeight w:val="20"/>
        </w:trPr>
        <w:tc>
          <w:tcPr>
            <w:tcW w:w="1965" w:type="dxa"/>
            <w:shd w:val="clear" w:color="auto" w:fill="auto"/>
            <w:noWrap/>
            <w:tcMar>
              <w:left w:w="216" w:type="dxa"/>
              <w:right w:w="115" w:type="dxa"/>
            </w:tcMar>
            <w:vAlign w:val="bottom"/>
            <w:hideMark/>
          </w:tcPr>
          <w:p w14:paraId="36531FCC"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 xml:space="preserve">Biguanide </w:t>
            </w:r>
          </w:p>
        </w:tc>
        <w:tc>
          <w:tcPr>
            <w:tcW w:w="1800" w:type="dxa"/>
            <w:shd w:val="clear" w:color="auto" w:fill="auto"/>
            <w:noWrap/>
            <w:tcMar>
              <w:left w:w="115" w:type="dxa"/>
              <w:right w:w="173" w:type="dxa"/>
            </w:tcMar>
            <w:vAlign w:val="bottom"/>
            <w:hideMark/>
          </w:tcPr>
          <w:p w14:paraId="2DF7B22C"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6953 (9.9%)</w:t>
            </w:r>
          </w:p>
        </w:tc>
        <w:tc>
          <w:tcPr>
            <w:tcW w:w="1620" w:type="dxa"/>
            <w:tcBorders>
              <w:top w:val="nil"/>
              <w:bottom w:val="nil"/>
              <w:right w:val="single" w:sz="4" w:space="0" w:color="auto"/>
            </w:tcBorders>
            <w:shd w:val="clear" w:color="auto" w:fill="auto"/>
            <w:vAlign w:val="bottom"/>
            <w:hideMark/>
          </w:tcPr>
          <w:p w14:paraId="127B0C64"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20.5%</w:t>
            </w:r>
          </w:p>
        </w:tc>
        <w:tc>
          <w:tcPr>
            <w:tcW w:w="1890" w:type="dxa"/>
            <w:tcBorders>
              <w:left w:val="single" w:sz="4" w:space="0" w:color="auto"/>
            </w:tcBorders>
            <w:shd w:val="clear" w:color="auto" w:fill="auto"/>
            <w:tcMar>
              <w:left w:w="115" w:type="dxa"/>
              <w:right w:w="216" w:type="dxa"/>
            </w:tcMar>
            <w:vAlign w:val="bottom"/>
            <w:hideMark/>
          </w:tcPr>
          <w:p w14:paraId="159719F8"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5015 (11.3%)</w:t>
            </w:r>
          </w:p>
        </w:tc>
        <w:tc>
          <w:tcPr>
            <w:tcW w:w="1890" w:type="dxa"/>
            <w:tcMar>
              <w:left w:w="115" w:type="dxa"/>
              <w:right w:w="288" w:type="dxa"/>
            </w:tcMar>
            <w:vAlign w:val="bottom"/>
          </w:tcPr>
          <w:p w14:paraId="60CBF710"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1938 (7.5%)</w:t>
            </w:r>
          </w:p>
        </w:tc>
        <w:tc>
          <w:tcPr>
            <w:tcW w:w="1350" w:type="dxa"/>
            <w:shd w:val="clear" w:color="auto" w:fill="auto"/>
            <w:noWrap/>
            <w:vAlign w:val="bottom"/>
            <w:hideMark/>
          </w:tcPr>
          <w:p w14:paraId="0BD214F4"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20.0%</w:t>
            </w:r>
          </w:p>
        </w:tc>
        <w:tc>
          <w:tcPr>
            <w:tcW w:w="1440" w:type="dxa"/>
            <w:shd w:val="clear" w:color="auto" w:fill="auto"/>
            <w:noWrap/>
            <w:vAlign w:val="bottom"/>
            <w:hideMark/>
          </w:tcPr>
          <w:p w14:paraId="157A9CF3"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21.6%</w:t>
            </w:r>
          </w:p>
        </w:tc>
        <w:tc>
          <w:tcPr>
            <w:tcW w:w="1710" w:type="dxa"/>
            <w:shd w:val="clear" w:color="auto" w:fill="auto"/>
            <w:noWrap/>
            <w:vAlign w:val="bottom"/>
            <w:hideMark/>
          </w:tcPr>
          <w:p w14:paraId="1BE3D49F"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-1.6 (-3.8, 0.5)</w:t>
            </w:r>
          </w:p>
        </w:tc>
      </w:tr>
      <w:tr w:rsidR="009F532C" w:rsidRPr="00BA1D24" w14:paraId="01E17F43" w14:textId="77777777" w:rsidTr="00567980">
        <w:trPr>
          <w:trHeight w:val="20"/>
        </w:trPr>
        <w:tc>
          <w:tcPr>
            <w:tcW w:w="1965" w:type="dxa"/>
            <w:shd w:val="clear" w:color="auto" w:fill="auto"/>
            <w:noWrap/>
            <w:vAlign w:val="bottom"/>
            <w:hideMark/>
          </w:tcPr>
          <w:p w14:paraId="29826C8F" w14:textId="77777777" w:rsidR="009F532C" w:rsidRPr="0025098B" w:rsidRDefault="009F532C" w:rsidP="009F532C">
            <w:pPr>
              <w:spacing w:after="0" w:line="240" w:lineRule="auto"/>
              <w:rPr>
                <w:rFonts w:cs="Arial"/>
                <w:bCs/>
                <w:color w:val="000000"/>
                <w:sz w:val="18"/>
                <w:szCs w:val="18"/>
              </w:rPr>
            </w:pPr>
            <w:r w:rsidRPr="0025098B">
              <w:rPr>
                <w:rFonts w:cs="Arial"/>
                <w:bCs/>
                <w:color w:val="000000"/>
                <w:sz w:val="18"/>
                <w:szCs w:val="18"/>
              </w:rPr>
              <w:t>Antiplatelet</w:t>
            </w:r>
          </w:p>
        </w:tc>
        <w:tc>
          <w:tcPr>
            <w:tcW w:w="1800" w:type="dxa"/>
            <w:shd w:val="clear" w:color="auto" w:fill="auto"/>
            <w:noWrap/>
            <w:tcMar>
              <w:left w:w="115" w:type="dxa"/>
              <w:right w:w="173" w:type="dxa"/>
            </w:tcMar>
            <w:vAlign w:val="bottom"/>
            <w:hideMark/>
          </w:tcPr>
          <w:p w14:paraId="0B8B61C6"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6868 (9.8%)</w:t>
            </w:r>
          </w:p>
        </w:tc>
        <w:tc>
          <w:tcPr>
            <w:tcW w:w="1620" w:type="dxa"/>
            <w:tcBorders>
              <w:top w:val="nil"/>
              <w:bottom w:val="nil"/>
              <w:right w:val="single" w:sz="4" w:space="0" w:color="auto"/>
            </w:tcBorders>
            <w:shd w:val="clear" w:color="auto" w:fill="auto"/>
            <w:vAlign w:val="bottom"/>
            <w:hideMark/>
          </w:tcPr>
          <w:p w14:paraId="7D32A8C4"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22.8%</w:t>
            </w:r>
          </w:p>
        </w:tc>
        <w:tc>
          <w:tcPr>
            <w:tcW w:w="1890" w:type="dxa"/>
            <w:tcBorders>
              <w:left w:val="single" w:sz="4" w:space="0" w:color="auto"/>
            </w:tcBorders>
            <w:shd w:val="clear" w:color="auto" w:fill="auto"/>
            <w:tcMar>
              <w:left w:w="115" w:type="dxa"/>
              <w:right w:w="216" w:type="dxa"/>
            </w:tcMar>
            <w:vAlign w:val="bottom"/>
            <w:hideMark/>
          </w:tcPr>
          <w:p w14:paraId="1B815E1E"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4040 (9.1%)</w:t>
            </w:r>
          </w:p>
        </w:tc>
        <w:tc>
          <w:tcPr>
            <w:tcW w:w="1890" w:type="dxa"/>
            <w:tcMar>
              <w:left w:w="115" w:type="dxa"/>
              <w:right w:w="288" w:type="dxa"/>
            </w:tcMar>
            <w:vAlign w:val="bottom"/>
          </w:tcPr>
          <w:p w14:paraId="4D046290"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2828 (11.0%)</w:t>
            </w:r>
          </w:p>
        </w:tc>
        <w:tc>
          <w:tcPr>
            <w:tcW w:w="1350" w:type="dxa"/>
            <w:shd w:val="clear" w:color="auto" w:fill="auto"/>
            <w:noWrap/>
            <w:vAlign w:val="bottom"/>
            <w:hideMark/>
          </w:tcPr>
          <w:p w14:paraId="3C461AF6"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22.2%</w:t>
            </w:r>
          </w:p>
        </w:tc>
        <w:tc>
          <w:tcPr>
            <w:tcW w:w="1440" w:type="dxa"/>
            <w:shd w:val="clear" w:color="auto" w:fill="auto"/>
            <w:noWrap/>
            <w:vAlign w:val="bottom"/>
            <w:hideMark/>
          </w:tcPr>
          <w:p w14:paraId="68851160"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23.7%</w:t>
            </w:r>
          </w:p>
        </w:tc>
        <w:tc>
          <w:tcPr>
            <w:tcW w:w="1710" w:type="dxa"/>
            <w:shd w:val="clear" w:color="auto" w:fill="auto"/>
            <w:noWrap/>
            <w:vAlign w:val="bottom"/>
            <w:hideMark/>
          </w:tcPr>
          <w:p w14:paraId="53F8910D"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-1.5 (-3.6, 0.5)</w:t>
            </w:r>
          </w:p>
        </w:tc>
      </w:tr>
      <w:tr w:rsidR="009F532C" w:rsidRPr="00BA1D24" w14:paraId="3AFBE226" w14:textId="77777777" w:rsidTr="00567980">
        <w:trPr>
          <w:trHeight w:val="20"/>
        </w:trPr>
        <w:tc>
          <w:tcPr>
            <w:tcW w:w="1965" w:type="dxa"/>
            <w:shd w:val="clear" w:color="auto" w:fill="auto"/>
            <w:noWrap/>
            <w:vAlign w:val="bottom"/>
            <w:hideMark/>
          </w:tcPr>
          <w:p w14:paraId="42DBD128" w14:textId="77777777" w:rsidR="009F532C" w:rsidRPr="0025098B" w:rsidRDefault="009F532C" w:rsidP="009F532C">
            <w:pPr>
              <w:spacing w:after="0" w:line="240" w:lineRule="auto"/>
              <w:rPr>
                <w:rFonts w:cs="Arial"/>
                <w:bCs/>
                <w:color w:val="000000"/>
                <w:sz w:val="18"/>
                <w:szCs w:val="18"/>
              </w:rPr>
            </w:pPr>
            <w:r w:rsidRPr="0025098B">
              <w:rPr>
                <w:rFonts w:cs="Arial"/>
                <w:bCs/>
                <w:color w:val="000000"/>
                <w:sz w:val="18"/>
                <w:szCs w:val="18"/>
              </w:rPr>
              <w:t xml:space="preserve">Anti-dementia </w:t>
            </w:r>
          </w:p>
        </w:tc>
        <w:tc>
          <w:tcPr>
            <w:tcW w:w="1800" w:type="dxa"/>
            <w:shd w:val="clear" w:color="auto" w:fill="auto"/>
            <w:noWrap/>
            <w:tcMar>
              <w:left w:w="115" w:type="dxa"/>
              <w:right w:w="173" w:type="dxa"/>
            </w:tcMar>
            <w:vAlign w:val="bottom"/>
            <w:hideMark/>
          </w:tcPr>
          <w:p w14:paraId="05F3BEA2"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11,622 (16.6%)</w:t>
            </w:r>
          </w:p>
        </w:tc>
        <w:tc>
          <w:tcPr>
            <w:tcW w:w="1620" w:type="dxa"/>
            <w:tcBorders>
              <w:top w:val="nil"/>
              <w:bottom w:val="nil"/>
              <w:right w:val="single" w:sz="4" w:space="0" w:color="auto"/>
            </w:tcBorders>
            <w:shd w:val="clear" w:color="auto" w:fill="auto"/>
            <w:vAlign w:val="bottom"/>
            <w:hideMark/>
          </w:tcPr>
          <w:p w14:paraId="72E501D3"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29.3%</w:t>
            </w:r>
          </w:p>
        </w:tc>
        <w:tc>
          <w:tcPr>
            <w:tcW w:w="1890" w:type="dxa"/>
            <w:tcBorders>
              <w:left w:val="single" w:sz="4" w:space="0" w:color="auto"/>
            </w:tcBorders>
            <w:shd w:val="clear" w:color="auto" w:fill="auto"/>
            <w:tcMar>
              <w:left w:w="115" w:type="dxa"/>
              <w:right w:w="216" w:type="dxa"/>
            </w:tcMar>
            <w:vAlign w:val="bottom"/>
            <w:hideMark/>
          </w:tcPr>
          <w:p w14:paraId="5683E59A"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3861 (8.7%)</w:t>
            </w:r>
          </w:p>
        </w:tc>
        <w:tc>
          <w:tcPr>
            <w:tcW w:w="1890" w:type="dxa"/>
            <w:tcMar>
              <w:left w:w="115" w:type="dxa"/>
              <w:right w:w="288" w:type="dxa"/>
            </w:tcMar>
            <w:vAlign w:val="bottom"/>
          </w:tcPr>
          <w:p w14:paraId="1D0C18CB"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7761 (30.1%)</w:t>
            </w:r>
          </w:p>
        </w:tc>
        <w:tc>
          <w:tcPr>
            <w:tcW w:w="1350" w:type="dxa"/>
            <w:shd w:val="clear" w:color="auto" w:fill="auto"/>
            <w:noWrap/>
            <w:vAlign w:val="bottom"/>
            <w:hideMark/>
          </w:tcPr>
          <w:p w14:paraId="741FE109"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33.4%</w:t>
            </w:r>
          </w:p>
        </w:tc>
        <w:tc>
          <w:tcPr>
            <w:tcW w:w="1440" w:type="dxa"/>
            <w:shd w:val="clear" w:color="auto" w:fill="auto"/>
            <w:noWrap/>
            <w:vAlign w:val="bottom"/>
            <w:hideMark/>
          </w:tcPr>
          <w:p w14:paraId="06090671"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27.3%</w:t>
            </w:r>
          </w:p>
        </w:tc>
        <w:tc>
          <w:tcPr>
            <w:tcW w:w="1710" w:type="dxa"/>
            <w:shd w:val="clear" w:color="auto" w:fill="auto"/>
            <w:noWrap/>
            <w:vAlign w:val="bottom"/>
            <w:hideMark/>
          </w:tcPr>
          <w:p w14:paraId="2348CD62"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6.0 (4.2, 7.8)</w:t>
            </w:r>
          </w:p>
        </w:tc>
      </w:tr>
      <w:tr w:rsidR="009F532C" w:rsidRPr="00BA1D24" w14:paraId="4C55DD68" w14:textId="77777777" w:rsidTr="00567980">
        <w:trPr>
          <w:trHeight w:val="20"/>
        </w:trPr>
        <w:tc>
          <w:tcPr>
            <w:tcW w:w="1965" w:type="dxa"/>
            <w:shd w:val="clear" w:color="auto" w:fill="auto"/>
            <w:noWrap/>
            <w:vAlign w:val="bottom"/>
            <w:hideMark/>
          </w:tcPr>
          <w:p w14:paraId="6C1F9276" w14:textId="77777777" w:rsidR="009F532C" w:rsidRPr="0025098B" w:rsidRDefault="009F532C" w:rsidP="009F532C">
            <w:pPr>
              <w:spacing w:after="0" w:line="240" w:lineRule="auto"/>
              <w:rPr>
                <w:rFonts w:cs="Arial"/>
                <w:bCs/>
                <w:color w:val="000000"/>
                <w:sz w:val="18"/>
                <w:szCs w:val="18"/>
              </w:rPr>
            </w:pPr>
            <w:r w:rsidRPr="0025098B">
              <w:rPr>
                <w:rFonts w:cs="Arial"/>
                <w:bCs/>
                <w:color w:val="000000"/>
                <w:sz w:val="18"/>
                <w:szCs w:val="18"/>
              </w:rPr>
              <w:t>Anti-osteoporotic</w:t>
            </w:r>
          </w:p>
        </w:tc>
        <w:tc>
          <w:tcPr>
            <w:tcW w:w="1800" w:type="dxa"/>
            <w:shd w:val="clear" w:color="auto" w:fill="auto"/>
            <w:noWrap/>
            <w:tcMar>
              <w:left w:w="115" w:type="dxa"/>
              <w:right w:w="173" w:type="dxa"/>
            </w:tcMar>
            <w:vAlign w:val="bottom"/>
            <w:hideMark/>
          </w:tcPr>
          <w:p w14:paraId="12429DB9"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5679 (8.1%)</w:t>
            </w:r>
          </w:p>
        </w:tc>
        <w:tc>
          <w:tcPr>
            <w:tcW w:w="1620" w:type="dxa"/>
            <w:tcBorders>
              <w:top w:val="nil"/>
              <w:bottom w:val="nil"/>
              <w:right w:val="single" w:sz="4" w:space="0" w:color="auto"/>
            </w:tcBorders>
            <w:shd w:val="clear" w:color="auto" w:fill="auto"/>
            <w:vAlign w:val="bottom"/>
            <w:hideMark/>
          </w:tcPr>
          <w:p w14:paraId="20A98891"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14.1%</w:t>
            </w:r>
          </w:p>
        </w:tc>
        <w:tc>
          <w:tcPr>
            <w:tcW w:w="1890" w:type="dxa"/>
            <w:tcBorders>
              <w:left w:val="single" w:sz="4" w:space="0" w:color="auto"/>
            </w:tcBorders>
            <w:shd w:val="clear" w:color="auto" w:fill="auto"/>
            <w:tcMar>
              <w:left w:w="115" w:type="dxa"/>
              <w:right w:w="216" w:type="dxa"/>
            </w:tcMar>
            <w:vAlign w:val="bottom"/>
            <w:hideMark/>
          </w:tcPr>
          <w:p w14:paraId="22E8EBA8"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3309 (7.5%)</w:t>
            </w:r>
          </w:p>
        </w:tc>
        <w:tc>
          <w:tcPr>
            <w:tcW w:w="1890" w:type="dxa"/>
            <w:tcMar>
              <w:left w:w="115" w:type="dxa"/>
              <w:right w:w="288" w:type="dxa"/>
            </w:tcMar>
            <w:vAlign w:val="bottom"/>
          </w:tcPr>
          <w:p w14:paraId="5CA562B9"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2370 (9.2%)</w:t>
            </w:r>
          </w:p>
        </w:tc>
        <w:tc>
          <w:tcPr>
            <w:tcW w:w="1350" w:type="dxa"/>
            <w:shd w:val="clear" w:color="auto" w:fill="auto"/>
            <w:noWrap/>
            <w:vAlign w:val="bottom"/>
            <w:hideMark/>
          </w:tcPr>
          <w:p w14:paraId="4FC9331D"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13.2%</w:t>
            </w:r>
          </w:p>
        </w:tc>
        <w:tc>
          <w:tcPr>
            <w:tcW w:w="1440" w:type="dxa"/>
            <w:shd w:val="clear" w:color="auto" w:fill="auto"/>
            <w:noWrap/>
            <w:vAlign w:val="bottom"/>
            <w:hideMark/>
          </w:tcPr>
          <w:p w14:paraId="74BACC8E"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15.4%</w:t>
            </w:r>
          </w:p>
        </w:tc>
        <w:tc>
          <w:tcPr>
            <w:tcW w:w="1710" w:type="dxa"/>
            <w:shd w:val="clear" w:color="auto" w:fill="auto"/>
            <w:noWrap/>
            <w:vAlign w:val="bottom"/>
            <w:hideMark/>
          </w:tcPr>
          <w:p w14:paraId="3D464871"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-2.1 (-4.0, -0.3)</w:t>
            </w:r>
          </w:p>
        </w:tc>
      </w:tr>
      <w:tr w:rsidR="009F532C" w:rsidRPr="00BA1D24" w14:paraId="58ACA865" w14:textId="77777777" w:rsidTr="00567980">
        <w:trPr>
          <w:trHeight w:val="20"/>
        </w:trPr>
        <w:tc>
          <w:tcPr>
            <w:tcW w:w="1965" w:type="dxa"/>
            <w:shd w:val="clear" w:color="auto" w:fill="auto"/>
            <w:noWrap/>
            <w:vAlign w:val="bottom"/>
            <w:hideMark/>
          </w:tcPr>
          <w:p w14:paraId="151BCE21"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Proton Pump Inhibitor</w:t>
            </w:r>
          </w:p>
        </w:tc>
        <w:tc>
          <w:tcPr>
            <w:tcW w:w="1800" w:type="dxa"/>
            <w:shd w:val="clear" w:color="auto" w:fill="auto"/>
            <w:noWrap/>
            <w:tcMar>
              <w:left w:w="115" w:type="dxa"/>
              <w:right w:w="173" w:type="dxa"/>
            </w:tcMar>
            <w:vAlign w:val="bottom"/>
            <w:hideMark/>
          </w:tcPr>
          <w:p w14:paraId="66BF7851"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27,693 (39.5%)</w:t>
            </w:r>
          </w:p>
        </w:tc>
        <w:tc>
          <w:tcPr>
            <w:tcW w:w="1620" w:type="dxa"/>
            <w:tcBorders>
              <w:top w:val="nil"/>
              <w:bottom w:val="nil"/>
              <w:right w:val="single" w:sz="4" w:space="0" w:color="auto"/>
            </w:tcBorders>
            <w:shd w:val="clear" w:color="auto" w:fill="auto"/>
            <w:vAlign w:val="bottom"/>
            <w:hideMark/>
          </w:tcPr>
          <w:p w14:paraId="5A779B55"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24.6%</w:t>
            </w:r>
          </w:p>
        </w:tc>
        <w:tc>
          <w:tcPr>
            <w:tcW w:w="1890" w:type="dxa"/>
            <w:tcBorders>
              <w:left w:val="single" w:sz="4" w:space="0" w:color="auto"/>
            </w:tcBorders>
            <w:shd w:val="clear" w:color="auto" w:fill="auto"/>
            <w:tcMar>
              <w:left w:w="115" w:type="dxa"/>
              <w:right w:w="216" w:type="dxa"/>
            </w:tcMar>
            <w:vAlign w:val="bottom"/>
            <w:hideMark/>
          </w:tcPr>
          <w:p w14:paraId="398EF8E6"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17,480 (39.5%)</w:t>
            </w:r>
          </w:p>
        </w:tc>
        <w:tc>
          <w:tcPr>
            <w:tcW w:w="1890" w:type="dxa"/>
            <w:tcMar>
              <w:left w:w="115" w:type="dxa"/>
              <w:right w:w="288" w:type="dxa"/>
            </w:tcMar>
            <w:vAlign w:val="bottom"/>
          </w:tcPr>
          <w:p w14:paraId="3CEF7469"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10,213 (39.6%)</w:t>
            </w:r>
          </w:p>
        </w:tc>
        <w:tc>
          <w:tcPr>
            <w:tcW w:w="1350" w:type="dxa"/>
            <w:shd w:val="clear" w:color="auto" w:fill="auto"/>
            <w:noWrap/>
            <w:vAlign w:val="bottom"/>
            <w:hideMark/>
          </w:tcPr>
          <w:p w14:paraId="4951A65A"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23.9%</w:t>
            </w:r>
          </w:p>
        </w:tc>
        <w:tc>
          <w:tcPr>
            <w:tcW w:w="1440" w:type="dxa"/>
            <w:shd w:val="clear" w:color="auto" w:fill="auto"/>
            <w:noWrap/>
            <w:vAlign w:val="bottom"/>
            <w:hideMark/>
          </w:tcPr>
          <w:p w14:paraId="5C67AC1A"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25.8%</w:t>
            </w:r>
          </w:p>
        </w:tc>
        <w:tc>
          <w:tcPr>
            <w:tcW w:w="1710" w:type="dxa"/>
            <w:shd w:val="clear" w:color="auto" w:fill="auto"/>
            <w:noWrap/>
            <w:vAlign w:val="bottom"/>
            <w:hideMark/>
          </w:tcPr>
          <w:p w14:paraId="10424062"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-1.8 (-2.9, -0.8)</w:t>
            </w:r>
          </w:p>
        </w:tc>
      </w:tr>
      <w:tr w:rsidR="009F532C" w:rsidRPr="00BA1D24" w14:paraId="320F8B59" w14:textId="77777777" w:rsidTr="00567980">
        <w:trPr>
          <w:trHeight w:val="20"/>
        </w:trPr>
        <w:tc>
          <w:tcPr>
            <w:tcW w:w="1965" w:type="dxa"/>
            <w:shd w:val="clear" w:color="auto" w:fill="auto"/>
            <w:noWrap/>
            <w:vAlign w:val="bottom"/>
            <w:hideMark/>
          </w:tcPr>
          <w:p w14:paraId="72C51EC1" w14:textId="77777777" w:rsidR="009F532C" w:rsidRPr="0025098B" w:rsidRDefault="009F532C" w:rsidP="009F532C">
            <w:pPr>
              <w:spacing w:after="0" w:line="240" w:lineRule="auto"/>
              <w:rPr>
                <w:rFonts w:cs="Arial"/>
                <w:color w:val="000000"/>
                <w:sz w:val="18"/>
                <w:szCs w:val="18"/>
              </w:rPr>
            </w:pPr>
            <w:r w:rsidRPr="0025098B">
              <w:rPr>
                <w:rFonts w:cs="Arial"/>
                <w:color w:val="000000"/>
                <w:sz w:val="18"/>
                <w:szCs w:val="18"/>
              </w:rPr>
              <w:t> </w:t>
            </w:r>
          </w:p>
        </w:tc>
        <w:tc>
          <w:tcPr>
            <w:tcW w:w="1800" w:type="dxa"/>
            <w:shd w:val="clear" w:color="auto" w:fill="auto"/>
            <w:noWrap/>
            <w:tcMar>
              <w:left w:w="115" w:type="dxa"/>
              <w:right w:w="173" w:type="dxa"/>
            </w:tcMar>
            <w:vAlign w:val="bottom"/>
            <w:hideMark/>
          </w:tcPr>
          <w:p w14:paraId="0F39B9D1" w14:textId="77777777" w:rsidR="009F532C" w:rsidRPr="0025098B" w:rsidRDefault="009F532C" w:rsidP="009F532C">
            <w:pPr>
              <w:spacing w:after="0" w:line="240" w:lineRule="auto"/>
              <w:jc w:val="right"/>
              <w:rPr>
                <w:rFonts w:cs="Arial"/>
                <w:color w:val="000000"/>
                <w:sz w:val="18"/>
                <w:szCs w:val="18"/>
              </w:rPr>
            </w:pPr>
          </w:p>
        </w:tc>
        <w:tc>
          <w:tcPr>
            <w:tcW w:w="1620" w:type="dxa"/>
            <w:tcBorders>
              <w:top w:val="nil"/>
              <w:bottom w:val="nil"/>
              <w:right w:val="single" w:sz="4" w:space="0" w:color="auto"/>
            </w:tcBorders>
            <w:shd w:val="clear" w:color="auto" w:fill="auto"/>
            <w:noWrap/>
            <w:vAlign w:val="bottom"/>
            <w:hideMark/>
          </w:tcPr>
          <w:p w14:paraId="349A4963" w14:textId="77777777" w:rsidR="009F532C" w:rsidRPr="0025098B" w:rsidRDefault="009F532C" w:rsidP="009F532C">
            <w:pPr>
              <w:spacing w:after="0" w:line="240" w:lineRule="auto"/>
              <w:jc w:val="center"/>
              <w:rPr>
                <w:rFonts w:cs="Arial"/>
                <w:sz w:val="18"/>
                <w:szCs w:val="18"/>
              </w:rPr>
            </w:pPr>
          </w:p>
        </w:tc>
        <w:tc>
          <w:tcPr>
            <w:tcW w:w="1890" w:type="dxa"/>
            <w:tcBorders>
              <w:left w:val="single" w:sz="4" w:space="0" w:color="auto"/>
            </w:tcBorders>
            <w:shd w:val="clear" w:color="auto" w:fill="auto"/>
            <w:tcMar>
              <w:left w:w="115" w:type="dxa"/>
              <w:right w:w="216" w:type="dxa"/>
            </w:tcMar>
            <w:vAlign w:val="bottom"/>
            <w:hideMark/>
          </w:tcPr>
          <w:p w14:paraId="1DFE393A" w14:textId="77777777" w:rsidR="009F532C" w:rsidRPr="0025098B" w:rsidRDefault="009F532C" w:rsidP="009F532C">
            <w:pPr>
              <w:spacing w:after="0" w:line="240" w:lineRule="auto"/>
              <w:jc w:val="right"/>
              <w:rPr>
                <w:rFonts w:cs="Arial"/>
                <w:sz w:val="18"/>
                <w:szCs w:val="18"/>
              </w:rPr>
            </w:pPr>
          </w:p>
        </w:tc>
        <w:tc>
          <w:tcPr>
            <w:tcW w:w="1890" w:type="dxa"/>
            <w:tcMar>
              <w:left w:w="115" w:type="dxa"/>
              <w:right w:w="288" w:type="dxa"/>
            </w:tcMar>
            <w:vAlign w:val="bottom"/>
          </w:tcPr>
          <w:p w14:paraId="3CE62CE1" w14:textId="77777777" w:rsidR="009F532C" w:rsidRPr="0025098B" w:rsidRDefault="009F532C" w:rsidP="009F532C">
            <w:pPr>
              <w:spacing w:after="0" w:line="240" w:lineRule="auto"/>
              <w:jc w:val="right"/>
              <w:rPr>
                <w:rFonts w:cs="Arial"/>
                <w:sz w:val="18"/>
                <w:szCs w:val="18"/>
              </w:rPr>
            </w:pPr>
          </w:p>
        </w:tc>
        <w:tc>
          <w:tcPr>
            <w:tcW w:w="1350" w:type="dxa"/>
            <w:shd w:val="clear" w:color="auto" w:fill="auto"/>
            <w:noWrap/>
            <w:vAlign w:val="bottom"/>
            <w:hideMark/>
          </w:tcPr>
          <w:p w14:paraId="6554802A" w14:textId="77777777" w:rsidR="009F532C" w:rsidRPr="0025098B" w:rsidRDefault="009F532C" w:rsidP="009F532C">
            <w:pPr>
              <w:spacing w:after="0" w:line="240" w:lineRule="auto"/>
              <w:jc w:val="center"/>
              <w:rPr>
                <w:rFonts w:cs="Arial"/>
                <w:sz w:val="18"/>
                <w:szCs w:val="18"/>
              </w:rPr>
            </w:pPr>
          </w:p>
        </w:tc>
        <w:tc>
          <w:tcPr>
            <w:tcW w:w="1440" w:type="dxa"/>
            <w:shd w:val="clear" w:color="auto" w:fill="auto"/>
            <w:noWrap/>
            <w:vAlign w:val="bottom"/>
            <w:hideMark/>
          </w:tcPr>
          <w:p w14:paraId="75C5AF95" w14:textId="77777777" w:rsidR="009F532C" w:rsidRPr="0025098B" w:rsidRDefault="009F532C" w:rsidP="009F532C">
            <w:pPr>
              <w:spacing w:after="0" w:line="240" w:lineRule="auto"/>
              <w:jc w:val="center"/>
              <w:rPr>
                <w:rFonts w:cs="Arial"/>
                <w:sz w:val="18"/>
                <w:szCs w:val="18"/>
              </w:rPr>
            </w:pPr>
          </w:p>
        </w:tc>
        <w:tc>
          <w:tcPr>
            <w:tcW w:w="1710" w:type="dxa"/>
            <w:shd w:val="clear" w:color="auto" w:fill="auto"/>
            <w:noWrap/>
            <w:vAlign w:val="bottom"/>
            <w:hideMark/>
          </w:tcPr>
          <w:p w14:paraId="3BEDEFA6" w14:textId="77777777" w:rsidR="009F532C" w:rsidRPr="0025098B" w:rsidRDefault="009F532C" w:rsidP="009F532C">
            <w:pPr>
              <w:spacing w:after="0" w:line="240" w:lineRule="auto"/>
              <w:jc w:val="center"/>
              <w:rPr>
                <w:rFonts w:cs="Arial"/>
                <w:color w:val="000000"/>
                <w:sz w:val="18"/>
                <w:szCs w:val="18"/>
              </w:rPr>
            </w:pPr>
          </w:p>
        </w:tc>
      </w:tr>
      <w:tr w:rsidR="009F532C" w:rsidRPr="00BA1D24" w14:paraId="28400C56" w14:textId="77777777" w:rsidTr="00567980">
        <w:trPr>
          <w:trHeight w:val="65"/>
        </w:trPr>
        <w:tc>
          <w:tcPr>
            <w:tcW w:w="1965" w:type="dxa"/>
            <w:shd w:val="clear" w:color="auto" w:fill="auto"/>
            <w:noWrap/>
            <w:vAlign w:val="bottom"/>
            <w:hideMark/>
          </w:tcPr>
          <w:p w14:paraId="19619938" w14:textId="77777777" w:rsidR="009F532C" w:rsidRPr="0025098B" w:rsidRDefault="009F532C" w:rsidP="009F532C">
            <w:pPr>
              <w:spacing w:after="0" w:line="240" w:lineRule="auto"/>
              <w:rPr>
                <w:rFonts w:cs="Arial"/>
                <w:bCs/>
                <w:color w:val="000000"/>
                <w:sz w:val="18"/>
                <w:szCs w:val="18"/>
              </w:rPr>
            </w:pPr>
            <w:r w:rsidRPr="0025098B">
              <w:rPr>
                <w:rFonts w:cs="Arial"/>
                <w:bCs/>
                <w:color w:val="000000"/>
                <w:sz w:val="18"/>
                <w:szCs w:val="18"/>
              </w:rPr>
              <w:t xml:space="preserve">At Least One Limited Benefit Medication </w:t>
            </w:r>
          </w:p>
        </w:tc>
        <w:tc>
          <w:tcPr>
            <w:tcW w:w="1800" w:type="dxa"/>
            <w:shd w:val="clear" w:color="auto" w:fill="auto"/>
            <w:noWrap/>
            <w:tcMar>
              <w:left w:w="115" w:type="dxa"/>
              <w:right w:w="173" w:type="dxa"/>
            </w:tcMar>
            <w:vAlign w:val="bottom"/>
            <w:hideMark/>
          </w:tcPr>
          <w:p w14:paraId="503FC28C"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70,035 (100.0%)</w:t>
            </w:r>
          </w:p>
        </w:tc>
        <w:tc>
          <w:tcPr>
            <w:tcW w:w="1620" w:type="dxa"/>
            <w:tcBorders>
              <w:top w:val="nil"/>
              <w:bottom w:val="single" w:sz="4" w:space="0" w:color="auto"/>
              <w:right w:val="single" w:sz="4" w:space="0" w:color="auto"/>
            </w:tcBorders>
            <w:shd w:val="clear" w:color="auto" w:fill="auto"/>
            <w:noWrap/>
            <w:vAlign w:val="bottom"/>
            <w:hideMark/>
          </w:tcPr>
          <w:p w14:paraId="39176075"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30.1%</w:t>
            </w:r>
          </w:p>
        </w:tc>
        <w:tc>
          <w:tcPr>
            <w:tcW w:w="1890" w:type="dxa"/>
            <w:tcBorders>
              <w:left w:val="single" w:sz="4" w:space="0" w:color="auto"/>
            </w:tcBorders>
            <w:shd w:val="clear" w:color="auto" w:fill="auto"/>
            <w:tcMar>
              <w:left w:w="115" w:type="dxa"/>
              <w:right w:w="216" w:type="dxa"/>
            </w:tcMar>
            <w:vAlign w:val="bottom"/>
            <w:hideMark/>
          </w:tcPr>
          <w:p w14:paraId="50DC3C0C"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44,218 (100.0%)</w:t>
            </w:r>
          </w:p>
        </w:tc>
        <w:tc>
          <w:tcPr>
            <w:tcW w:w="1890" w:type="dxa"/>
            <w:tcMar>
              <w:left w:w="115" w:type="dxa"/>
              <w:right w:w="288" w:type="dxa"/>
            </w:tcMar>
            <w:vAlign w:val="bottom"/>
          </w:tcPr>
          <w:p w14:paraId="2BF88681" w14:textId="77777777" w:rsidR="009F532C" w:rsidRPr="0025098B" w:rsidRDefault="009F532C" w:rsidP="009F532C">
            <w:pPr>
              <w:spacing w:after="0" w:line="240" w:lineRule="auto"/>
              <w:jc w:val="right"/>
              <w:rPr>
                <w:rFonts w:cs="Arial"/>
                <w:color w:val="000000"/>
                <w:sz w:val="18"/>
                <w:szCs w:val="18"/>
              </w:rPr>
            </w:pPr>
            <w:r w:rsidRPr="0025098B">
              <w:rPr>
                <w:rFonts w:cs="Arial"/>
                <w:color w:val="000000"/>
                <w:sz w:val="18"/>
                <w:szCs w:val="18"/>
              </w:rPr>
              <w:t>25,817 (100.0%)</w:t>
            </w:r>
          </w:p>
        </w:tc>
        <w:tc>
          <w:tcPr>
            <w:tcW w:w="1350" w:type="dxa"/>
            <w:shd w:val="clear" w:color="auto" w:fill="auto"/>
            <w:noWrap/>
            <w:vAlign w:val="bottom"/>
            <w:hideMark/>
          </w:tcPr>
          <w:p w14:paraId="784CDD26"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29.8%</w:t>
            </w:r>
          </w:p>
        </w:tc>
        <w:tc>
          <w:tcPr>
            <w:tcW w:w="1440" w:type="dxa"/>
            <w:shd w:val="clear" w:color="auto" w:fill="auto"/>
            <w:noWrap/>
            <w:vAlign w:val="bottom"/>
            <w:hideMark/>
          </w:tcPr>
          <w:p w14:paraId="37CCF64A"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30.5%</w:t>
            </w:r>
          </w:p>
        </w:tc>
        <w:tc>
          <w:tcPr>
            <w:tcW w:w="1710" w:type="dxa"/>
            <w:shd w:val="clear" w:color="auto" w:fill="auto"/>
            <w:noWrap/>
            <w:vAlign w:val="bottom"/>
            <w:hideMark/>
          </w:tcPr>
          <w:p w14:paraId="4D11358C" w14:textId="77777777" w:rsidR="009F532C" w:rsidRPr="0025098B" w:rsidRDefault="009F532C" w:rsidP="009F532C">
            <w:pPr>
              <w:spacing w:after="0" w:line="240" w:lineRule="auto"/>
              <w:jc w:val="center"/>
              <w:rPr>
                <w:rFonts w:cs="Arial"/>
                <w:color w:val="000000"/>
                <w:sz w:val="18"/>
                <w:szCs w:val="18"/>
              </w:rPr>
            </w:pPr>
            <w:r w:rsidRPr="0025098B">
              <w:rPr>
                <w:rFonts w:cs="Arial"/>
                <w:color w:val="000000"/>
                <w:sz w:val="18"/>
                <w:szCs w:val="18"/>
              </w:rPr>
              <w:t>-0.7 (-1.5, 0.1)</w:t>
            </w:r>
          </w:p>
        </w:tc>
      </w:tr>
    </w:tbl>
    <w:p w14:paraId="1C6BAA2B" w14:textId="77777777" w:rsidR="0025098B" w:rsidRDefault="0025098B" w:rsidP="00F1421B">
      <w:pPr>
        <w:spacing w:after="0" w:line="240" w:lineRule="auto"/>
        <w:rPr>
          <w:sz w:val="18"/>
          <w:szCs w:val="18"/>
        </w:rPr>
      </w:pPr>
      <w:r w:rsidRPr="0025098B">
        <w:rPr>
          <w:sz w:val="18"/>
          <w:szCs w:val="18"/>
        </w:rPr>
        <w:t>ACE: angiotensin-converting enzyme; ARB: angiotensin receptor blocker; DHP CCB: dihydropyridine calcium channel blocker; CI: confidence interval</w:t>
      </w:r>
    </w:p>
    <w:p w14:paraId="2D75FD25" w14:textId="77777777" w:rsidR="0025098B" w:rsidRPr="0025098B" w:rsidRDefault="0025098B" w:rsidP="00F1421B">
      <w:pPr>
        <w:spacing w:after="0" w:line="240" w:lineRule="auto"/>
        <w:rPr>
          <w:sz w:val="18"/>
          <w:szCs w:val="18"/>
        </w:rPr>
      </w:pPr>
    </w:p>
    <w:p w14:paraId="696C05F7" w14:textId="693350F8" w:rsidR="0025098B" w:rsidRDefault="0025098B" w:rsidP="00F1421B">
      <w:pPr>
        <w:spacing w:after="0" w:line="240" w:lineRule="auto"/>
        <w:rPr>
          <w:sz w:val="18"/>
          <w:szCs w:val="18"/>
        </w:rPr>
      </w:pPr>
      <w:r w:rsidRPr="0025098B">
        <w:rPr>
          <w:color w:val="000000"/>
          <w:sz w:val="18"/>
          <w:szCs w:val="18"/>
          <w:vertAlign w:val="superscript"/>
        </w:rPr>
        <w:t>a</w:t>
      </w:r>
      <w:r w:rsidRPr="0025098B">
        <w:rPr>
          <w:sz w:val="18"/>
          <w:szCs w:val="18"/>
        </w:rPr>
        <w:t>Patients with at least one dispensing for the class of interest through the Part D benefit after hospice admission among those with active use of that class in the 6 months prior to hospice admission</w:t>
      </w:r>
      <w:r w:rsidR="000F38E5">
        <w:rPr>
          <w:sz w:val="18"/>
          <w:szCs w:val="18"/>
        </w:rPr>
        <w:t>.</w:t>
      </w:r>
    </w:p>
    <w:p w14:paraId="227D4AC3" w14:textId="77777777" w:rsidR="0025098B" w:rsidRPr="0025098B" w:rsidRDefault="0025098B" w:rsidP="00F1421B">
      <w:pPr>
        <w:spacing w:after="0" w:line="240" w:lineRule="auto"/>
        <w:rPr>
          <w:sz w:val="18"/>
          <w:szCs w:val="18"/>
        </w:rPr>
      </w:pPr>
    </w:p>
    <w:p w14:paraId="702DC678" w14:textId="181B5BFA" w:rsidR="0025098B" w:rsidRDefault="0025098B" w:rsidP="00F1421B">
      <w:pPr>
        <w:spacing w:after="0" w:line="240" w:lineRule="auto"/>
        <w:rPr>
          <w:color w:val="000000"/>
          <w:sz w:val="18"/>
          <w:szCs w:val="18"/>
        </w:rPr>
      </w:pPr>
      <w:r w:rsidRPr="0025098B">
        <w:rPr>
          <w:color w:val="000000"/>
          <w:sz w:val="18"/>
          <w:szCs w:val="18"/>
          <w:vertAlign w:val="superscript"/>
        </w:rPr>
        <w:t>b</w:t>
      </w:r>
      <w:r w:rsidRPr="0025098B">
        <w:rPr>
          <w:sz w:val="18"/>
          <w:szCs w:val="18"/>
        </w:rPr>
        <w:t xml:space="preserve">Difference in </w:t>
      </w:r>
      <w:r w:rsidRPr="0025098B">
        <w:rPr>
          <w:color w:val="000000"/>
          <w:sz w:val="18"/>
          <w:szCs w:val="18"/>
        </w:rPr>
        <w:t>proportion of pre-hospice admission users with at least one Part D dispensing for the class of i</w:t>
      </w:r>
      <w:r w:rsidR="000F38E5">
        <w:rPr>
          <w:color w:val="000000"/>
          <w:sz w:val="18"/>
          <w:szCs w:val="18"/>
        </w:rPr>
        <w:t>nterest after hospice admission.</w:t>
      </w:r>
    </w:p>
    <w:p w14:paraId="3BA9D7E8" w14:textId="77777777" w:rsidR="0025098B" w:rsidRPr="0025098B" w:rsidRDefault="0025098B" w:rsidP="00F1421B">
      <w:pPr>
        <w:spacing w:after="0" w:line="240" w:lineRule="auto"/>
        <w:rPr>
          <w:sz w:val="18"/>
          <w:szCs w:val="18"/>
        </w:rPr>
      </w:pPr>
    </w:p>
    <w:p w14:paraId="1884DDAE" w14:textId="743F5E61" w:rsidR="00CA7857" w:rsidRDefault="0025098B" w:rsidP="00F1421B">
      <w:pPr>
        <w:spacing w:after="0" w:line="240" w:lineRule="auto"/>
        <w:rPr>
          <w:b/>
          <w:sz w:val="18"/>
          <w:szCs w:val="18"/>
        </w:rPr>
        <w:sectPr w:rsidR="00CA7857" w:rsidSect="00F1421B">
          <w:pgSz w:w="15840" w:h="12240" w:orient="landscape"/>
          <w:pgMar w:top="1440" w:right="720" w:bottom="1440" w:left="1440" w:header="720" w:footer="720" w:gutter="0"/>
          <w:cols w:space="720"/>
          <w:docGrid w:linePitch="360"/>
        </w:sectPr>
      </w:pPr>
      <w:r w:rsidRPr="0025098B">
        <w:rPr>
          <w:color w:val="000000"/>
          <w:sz w:val="18"/>
          <w:szCs w:val="18"/>
          <w:vertAlign w:val="superscript"/>
        </w:rPr>
        <w:t>c</w:t>
      </w:r>
      <w:r w:rsidRPr="0025098B">
        <w:rPr>
          <w:sz w:val="18"/>
          <w:szCs w:val="18"/>
        </w:rPr>
        <w:t xml:space="preserve">Selected drug classes only; results by therapeutic class include all associated drug classes in </w:t>
      </w:r>
      <w:r w:rsidR="000F38E5">
        <w:rPr>
          <w:b/>
          <w:sz w:val="18"/>
          <w:szCs w:val="18"/>
        </w:rPr>
        <w:t>TABLE X</w:t>
      </w:r>
    </w:p>
    <w:p w14:paraId="00E4E200" w14:textId="3B3C4C8E" w:rsidR="008B1200" w:rsidRDefault="00A22226" w:rsidP="00C9738B">
      <w:pPr>
        <w:spacing w:after="0"/>
        <w:ind w:firstLine="720"/>
        <w:rPr>
          <w:rFonts w:cs="Arial"/>
          <w:szCs w:val="22"/>
        </w:rPr>
        <w:sectPr w:rsidR="008B1200" w:rsidSect="009F532C">
          <w:pgSz w:w="12240" w:h="15840" w:code="1"/>
          <w:pgMar w:top="1440" w:right="1440" w:bottom="1440" w:left="1440" w:header="720" w:footer="432" w:gutter="0"/>
          <w:cols w:space="720"/>
          <w:docGrid w:linePitch="360"/>
        </w:sectPr>
      </w:pPr>
      <w:r w:rsidRPr="00725D15">
        <w:rPr>
          <w:rFonts w:cs="Arial"/>
          <w:szCs w:val="22"/>
        </w:rPr>
        <w:lastRenderedPageBreak/>
        <w:t>In adjusted analyses, the likelihood of continuing at least one preventative medication with limited benefit after hospice admission increased with age and was lower for Asian (RR 0.85; 95% CI, 0.80-0.91) and Hispanic patients (RR 0.88; 95% CI, 0.82-0.94) compared to White patients (</w:t>
      </w:r>
      <w:r w:rsidR="008B1200">
        <w:rPr>
          <w:rFonts w:cs="Arial"/>
          <w:b/>
          <w:szCs w:val="22"/>
        </w:rPr>
        <w:t>TA</w:t>
      </w:r>
      <w:r w:rsidR="000F38E5">
        <w:rPr>
          <w:rFonts w:cs="Arial"/>
          <w:b/>
          <w:szCs w:val="22"/>
        </w:rPr>
        <w:t>BLE XIII</w:t>
      </w:r>
      <w:r w:rsidRPr="00725D15">
        <w:rPr>
          <w:rFonts w:cs="Arial"/>
          <w:szCs w:val="22"/>
        </w:rPr>
        <w:t xml:space="preserve">). Compared to those admitted to hospice in a private home, patients admitted to hospice in nursing and assisted living facilities had at least a 25% greater risk of continuing one or more limited benefit medications (assisted living facility: RR 1.28; 95% CI, 1.24-1.32; non-skilled nursing facility: RR 1.29; 95% CI, 1.25-1.32; skilled nursing facility: RR 1.25; 95% CI, 1.20-1.29). Conversely, those admitted to hospice in acute care hospitals or inpatient hospice facilities were less than half as likely to continue at least one limited benefit medication compared to private home admission. As compared to patients using only one class </w:t>
      </w:r>
    </w:p>
    <w:p w14:paraId="7E5AE0D6" w14:textId="42BFE60E" w:rsidR="00A22226" w:rsidRPr="00725D15" w:rsidRDefault="00A22226" w:rsidP="008B1200">
      <w:pPr>
        <w:spacing w:after="0"/>
        <w:rPr>
          <w:rFonts w:cs="Arial"/>
          <w:szCs w:val="22"/>
        </w:rPr>
      </w:pPr>
      <w:r w:rsidRPr="00725D15">
        <w:rPr>
          <w:rFonts w:cs="Arial"/>
          <w:szCs w:val="22"/>
        </w:rPr>
        <w:t xml:space="preserve">prior to admission, those using two limited benefit drug </w:t>
      </w:r>
      <w:r w:rsidR="008B1200">
        <w:rPr>
          <w:rFonts w:cs="Arial"/>
          <w:szCs w:val="22"/>
        </w:rPr>
        <w:t xml:space="preserve">classes were 39% more likely to </w:t>
      </w:r>
      <w:r w:rsidRPr="00725D15">
        <w:rPr>
          <w:rFonts w:cs="Arial"/>
          <w:szCs w:val="22"/>
        </w:rPr>
        <w:t>continue at least one or more classes after admission (RR 1.39, 95% CI 1.35-1.44) while those using six or more classes prior to admission were twice as likely to continue at least one class after admission (RR 2.00, 95% CI 1.93-2.08) (Table 4). By hospice length of stay, the likelihood of receiving at least one limited benefit medication after admission was 2.6 times greater (RR 2.59, 95% CI 2.41-2.79) for those with stays of 8-14 days compared to those with stays ≤7 days, increasing to more than nine times greater (RR 9.39, 95% CI 8.80-10.02) and 13 times greater (RR 13.11, 95% CI 12.25-14.02) for those with hospice stays of 30-89 days and 180 or more days, respectively (</w:t>
      </w:r>
      <w:r w:rsidR="000F38E5">
        <w:rPr>
          <w:rFonts w:cs="Arial"/>
          <w:b/>
          <w:szCs w:val="22"/>
        </w:rPr>
        <w:t>TABLE XIII</w:t>
      </w:r>
      <w:r w:rsidRPr="00725D15">
        <w:rPr>
          <w:rFonts w:cs="Arial"/>
          <w:szCs w:val="22"/>
        </w:rPr>
        <w:t>).</w:t>
      </w:r>
    </w:p>
    <w:p w14:paraId="4B552989" w14:textId="56E96DD1" w:rsidR="00C9738B" w:rsidRDefault="00A22226" w:rsidP="00A22226">
      <w:pPr>
        <w:ind w:firstLine="720"/>
        <w:rPr>
          <w:rFonts w:cs="Arial"/>
          <w:szCs w:val="22"/>
        </w:rPr>
        <w:sectPr w:rsidR="00C9738B" w:rsidSect="0080773F">
          <w:type w:val="continuous"/>
          <w:pgSz w:w="12240" w:h="15840" w:code="1"/>
          <w:pgMar w:top="1440" w:right="1440" w:bottom="1440" w:left="1440" w:header="720" w:footer="432" w:gutter="0"/>
          <w:cols w:space="720"/>
          <w:docGrid w:linePitch="360"/>
        </w:sectPr>
      </w:pPr>
      <w:r w:rsidRPr="00725D15">
        <w:rPr>
          <w:rFonts w:cs="Arial"/>
          <w:szCs w:val="22"/>
        </w:rPr>
        <w:t>Continuation of all limited benefit medication classes used prior to hospice enrollment was observed for 12.5% of patients admitted for cancer and 13.9% of those admitted for non-cancer causes (</w:t>
      </w:r>
      <w:r w:rsidR="00C9738B">
        <w:rPr>
          <w:rFonts w:cs="Arial"/>
          <w:b/>
          <w:szCs w:val="22"/>
        </w:rPr>
        <w:t>TABLE X</w:t>
      </w:r>
      <w:r w:rsidR="000F38E5">
        <w:rPr>
          <w:rFonts w:cs="Arial"/>
          <w:b/>
          <w:szCs w:val="22"/>
        </w:rPr>
        <w:t>I</w:t>
      </w:r>
      <w:r w:rsidR="00C9738B">
        <w:rPr>
          <w:rFonts w:cs="Arial"/>
          <w:b/>
          <w:szCs w:val="22"/>
        </w:rPr>
        <w:t>V</w:t>
      </w:r>
      <w:r w:rsidRPr="00725D15">
        <w:rPr>
          <w:rFonts w:cs="Arial"/>
          <w:szCs w:val="22"/>
        </w:rPr>
        <w:t>). With the exception of the number of limited benefit drug classes used prior to hospice admission which showed an opposite trend, variations in continuation by sociodemographic and clinical characteristics were generally similar to those observed in the analysis for continuation of at least one limited benefit medication.</w:t>
      </w:r>
    </w:p>
    <w:p w14:paraId="62A022FA" w14:textId="710945D6" w:rsidR="00C9738B" w:rsidRDefault="000F38E5" w:rsidP="00EA4C3D">
      <w:pPr>
        <w:spacing w:after="0" w:line="240" w:lineRule="auto"/>
        <w:ind w:right="432"/>
        <w:jc w:val="center"/>
        <w:rPr>
          <w:b/>
        </w:rPr>
      </w:pPr>
      <w:r>
        <w:rPr>
          <w:b/>
        </w:rPr>
        <w:lastRenderedPageBreak/>
        <w:t>TABLE XIII</w:t>
      </w:r>
    </w:p>
    <w:p w14:paraId="2B52297A" w14:textId="77777777" w:rsidR="00C9738B" w:rsidRDefault="00C9738B" w:rsidP="00C9738B">
      <w:pPr>
        <w:spacing w:after="0" w:line="240" w:lineRule="auto"/>
        <w:jc w:val="center"/>
        <w:rPr>
          <w:b/>
        </w:rPr>
      </w:pPr>
    </w:p>
    <w:p w14:paraId="5C27007D" w14:textId="7A17BB92" w:rsidR="00C9738B" w:rsidRDefault="00EC127A" w:rsidP="00EC127A">
      <w:pPr>
        <w:pStyle w:val="Caption"/>
        <w:rPr>
          <w:caps w:val="0"/>
        </w:rPr>
      </w:pPr>
      <w:bookmarkStart w:id="115" w:name="_Toc507329282"/>
      <w:r w:rsidRPr="002A7268">
        <w:t>FACTORS ASSOCIATED WITH CONTINUATION OF ≥1 LIMITED BENEFIT MEDICATION AFTER HOSPICE ADMISSION</w:t>
      </w:r>
      <w:bookmarkEnd w:id="115"/>
    </w:p>
    <w:tbl>
      <w:tblPr>
        <w:tblW w:w="12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25"/>
        <w:gridCol w:w="1530"/>
        <w:gridCol w:w="1350"/>
        <w:gridCol w:w="2340"/>
        <w:gridCol w:w="2070"/>
        <w:gridCol w:w="2250"/>
      </w:tblGrid>
      <w:tr w:rsidR="00C9738B" w:rsidRPr="00F66DCB" w14:paraId="07A05732" w14:textId="77777777" w:rsidTr="00953FB6">
        <w:trPr>
          <w:trHeight w:val="300"/>
        </w:trPr>
        <w:tc>
          <w:tcPr>
            <w:tcW w:w="3325" w:type="dxa"/>
            <w:tcBorders>
              <w:top w:val="single" w:sz="6" w:space="0" w:color="auto"/>
              <w:left w:val="nil"/>
              <w:bottom w:val="nil"/>
              <w:right w:val="nil"/>
            </w:tcBorders>
            <w:shd w:val="clear" w:color="auto" w:fill="auto"/>
            <w:noWrap/>
            <w:vAlign w:val="bottom"/>
          </w:tcPr>
          <w:p w14:paraId="0F33DCDB" w14:textId="77777777" w:rsidR="00C9738B" w:rsidRPr="00FF3EF7" w:rsidRDefault="00C9738B" w:rsidP="00C9738B">
            <w:pPr>
              <w:spacing w:after="0" w:line="240" w:lineRule="auto"/>
              <w:rPr>
                <w:sz w:val="20"/>
              </w:rPr>
            </w:pPr>
          </w:p>
        </w:tc>
        <w:tc>
          <w:tcPr>
            <w:tcW w:w="2880" w:type="dxa"/>
            <w:gridSpan w:val="2"/>
            <w:tcBorders>
              <w:top w:val="single" w:sz="6" w:space="0" w:color="auto"/>
              <w:left w:val="nil"/>
              <w:bottom w:val="single" w:sz="6" w:space="0" w:color="auto"/>
              <w:right w:val="nil"/>
            </w:tcBorders>
            <w:shd w:val="clear" w:color="auto" w:fill="auto"/>
            <w:tcMar>
              <w:left w:w="29" w:type="dxa"/>
              <w:right w:w="29" w:type="dxa"/>
            </w:tcMar>
            <w:vAlign w:val="bottom"/>
          </w:tcPr>
          <w:p w14:paraId="53AC7D3F" w14:textId="2CCE3DB2" w:rsidR="00C9738B" w:rsidRPr="0093023C" w:rsidRDefault="003025FC" w:rsidP="00C9738B">
            <w:pPr>
              <w:spacing w:after="0" w:line="240" w:lineRule="auto"/>
              <w:jc w:val="center"/>
              <w:rPr>
                <w:b/>
                <w:color w:val="000000"/>
                <w:sz w:val="20"/>
              </w:rPr>
            </w:pPr>
            <w:r w:rsidRPr="0093023C">
              <w:rPr>
                <w:b/>
                <w:color w:val="000000"/>
                <w:sz w:val="20"/>
              </w:rPr>
              <w:t>≥1 Limited Benefit Medication After Hospice Admission</w:t>
            </w:r>
          </w:p>
        </w:tc>
        <w:tc>
          <w:tcPr>
            <w:tcW w:w="2340" w:type="dxa"/>
            <w:tcBorders>
              <w:top w:val="single" w:sz="6" w:space="0" w:color="auto"/>
              <w:left w:val="nil"/>
              <w:bottom w:val="single" w:sz="6" w:space="0" w:color="auto"/>
              <w:right w:val="nil"/>
            </w:tcBorders>
            <w:shd w:val="clear" w:color="auto" w:fill="auto"/>
            <w:noWrap/>
            <w:vAlign w:val="bottom"/>
          </w:tcPr>
          <w:p w14:paraId="1B4DC2DD" w14:textId="77777777" w:rsidR="00C9738B" w:rsidRPr="0093023C" w:rsidRDefault="00C9738B" w:rsidP="00C9738B">
            <w:pPr>
              <w:spacing w:after="0" w:line="240" w:lineRule="auto"/>
              <w:jc w:val="center"/>
              <w:rPr>
                <w:b/>
                <w:color w:val="000000"/>
                <w:sz w:val="20"/>
              </w:rPr>
            </w:pPr>
            <w:r w:rsidRPr="0093023C">
              <w:rPr>
                <w:b/>
                <w:color w:val="000000"/>
                <w:sz w:val="20"/>
              </w:rPr>
              <w:t>All Patients</w:t>
            </w:r>
          </w:p>
        </w:tc>
        <w:tc>
          <w:tcPr>
            <w:tcW w:w="2070" w:type="dxa"/>
            <w:tcBorders>
              <w:top w:val="single" w:sz="6" w:space="0" w:color="auto"/>
              <w:left w:val="nil"/>
              <w:bottom w:val="single" w:sz="6" w:space="0" w:color="auto"/>
              <w:right w:val="nil"/>
            </w:tcBorders>
            <w:shd w:val="clear" w:color="auto" w:fill="auto"/>
            <w:vAlign w:val="bottom"/>
          </w:tcPr>
          <w:p w14:paraId="11395E1F" w14:textId="77777777" w:rsidR="00C9738B" w:rsidRPr="0093023C" w:rsidRDefault="00C9738B" w:rsidP="00C9738B">
            <w:pPr>
              <w:spacing w:after="0" w:line="240" w:lineRule="auto"/>
              <w:jc w:val="center"/>
              <w:rPr>
                <w:b/>
                <w:color w:val="000000"/>
                <w:sz w:val="20"/>
              </w:rPr>
            </w:pPr>
            <w:r w:rsidRPr="0093023C">
              <w:rPr>
                <w:b/>
                <w:color w:val="000000"/>
                <w:sz w:val="20"/>
              </w:rPr>
              <w:t>Cancer Admission Diagnosis</w:t>
            </w:r>
          </w:p>
        </w:tc>
        <w:tc>
          <w:tcPr>
            <w:tcW w:w="2250" w:type="dxa"/>
            <w:tcBorders>
              <w:top w:val="single" w:sz="6" w:space="0" w:color="auto"/>
              <w:left w:val="nil"/>
              <w:bottom w:val="single" w:sz="6" w:space="0" w:color="auto"/>
              <w:right w:val="nil"/>
            </w:tcBorders>
            <w:shd w:val="clear" w:color="auto" w:fill="auto"/>
            <w:vAlign w:val="bottom"/>
          </w:tcPr>
          <w:p w14:paraId="60DC89D3" w14:textId="77777777" w:rsidR="00C9738B" w:rsidRPr="0093023C" w:rsidRDefault="00C9738B" w:rsidP="00C9738B">
            <w:pPr>
              <w:spacing w:after="0" w:line="240" w:lineRule="auto"/>
              <w:jc w:val="center"/>
              <w:rPr>
                <w:b/>
                <w:color w:val="000000"/>
                <w:sz w:val="20"/>
              </w:rPr>
            </w:pPr>
            <w:r w:rsidRPr="0093023C">
              <w:rPr>
                <w:b/>
                <w:color w:val="000000"/>
                <w:sz w:val="20"/>
              </w:rPr>
              <w:t>Non-Cancer Admission Diagnosis</w:t>
            </w:r>
          </w:p>
        </w:tc>
      </w:tr>
      <w:tr w:rsidR="003025FC" w:rsidRPr="00F66DCB" w14:paraId="6C12AB3C" w14:textId="77777777" w:rsidTr="00953FB6">
        <w:trPr>
          <w:trHeight w:val="20"/>
        </w:trPr>
        <w:tc>
          <w:tcPr>
            <w:tcW w:w="3325" w:type="dxa"/>
            <w:tcBorders>
              <w:top w:val="nil"/>
              <w:left w:val="nil"/>
              <w:bottom w:val="single" w:sz="6" w:space="0" w:color="auto"/>
              <w:right w:val="nil"/>
            </w:tcBorders>
            <w:shd w:val="clear" w:color="auto" w:fill="auto"/>
            <w:noWrap/>
            <w:vAlign w:val="center"/>
            <w:hideMark/>
          </w:tcPr>
          <w:p w14:paraId="2D3DD017" w14:textId="3400BC55" w:rsidR="003025FC" w:rsidRPr="00FF3EF7" w:rsidRDefault="003025FC" w:rsidP="00C9738B">
            <w:pPr>
              <w:spacing w:after="0" w:line="240" w:lineRule="auto"/>
              <w:rPr>
                <w:b/>
                <w:bCs/>
                <w:color w:val="333333"/>
                <w:sz w:val="20"/>
              </w:rPr>
            </w:pPr>
            <w:r w:rsidRPr="0093023C">
              <w:rPr>
                <w:b/>
                <w:sz w:val="20"/>
              </w:rPr>
              <w:t>Factor</w:t>
            </w:r>
          </w:p>
        </w:tc>
        <w:tc>
          <w:tcPr>
            <w:tcW w:w="1530" w:type="dxa"/>
            <w:tcBorders>
              <w:top w:val="single" w:sz="6" w:space="0" w:color="auto"/>
              <w:left w:val="nil"/>
              <w:bottom w:val="single" w:sz="6" w:space="0" w:color="auto"/>
              <w:right w:val="nil"/>
            </w:tcBorders>
            <w:shd w:val="clear" w:color="auto" w:fill="auto"/>
            <w:noWrap/>
            <w:vAlign w:val="center"/>
            <w:hideMark/>
          </w:tcPr>
          <w:p w14:paraId="3764BB4D" w14:textId="77777777" w:rsidR="003025FC" w:rsidRPr="0093023C" w:rsidRDefault="003025FC" w:rsidP="00C9738B">
            <w:pPr>
              <w:spacing w:after="0" w:line="240" w:lineRule="auto"/>
              <w:jc w:val="center"/>
              <w:rPr>
                <w:b/>
                <w:color w:val="000000"/>
                <w:sz w:val="20"/>
              </w:rPr>
            </w:pPr>
            <w:r w:rsidRPr="0093023C">
              <w:rPr>
                <w:b/>
                <w:color w:val="000000"/>
                <w:sz w:val="20"/>
              </w:rPr>
              <w:t>n/N</w:t>
            </w:r>
          </w:p>
        </w:tc>
        <w:tc>
          <w:tcPr>
            <w:tcW w:w="1350" w:type="dxa"/>
            <w:tcBorders>
              <w:top w:val="single" w:sz="6" w:space="0" w:color="auto"/>
              <w:left w:val="nil"/>
              <w:bottom w:val="single" w:sz="6" w:space="0" w:color="auto"/>
              <w:right w:val="nil"/>
            </w:tcBorders>
            <w:shd w:val="clear" w:color="auto" w:fill="auto"/>
            <w:noWrap/>
            <w:vAlign w:val="center"/>
            <w:hideMark/>
          </w:tcPr>
          <w:p w14:paraId="2E72549D" w14:textId="77777777" w:rsidR="003025FC" w:rsidRPr="0093023C" w:rsidRDefault="003025FC" w:rsidP="00C9738B">
            <w:pPr>
              <w:spacing w:after="0" w:line="240" w:lineRule="auto"/>
              <w:jc w:val="center"/>
              <w:rPr>
                <w:b/>
                <w:color w:val="000000"/>
                <w:sz w:val="20"/>
              </w:rPr>
            </w:pPr>
            <w:r w:rsidRPr="0093023C">
              <w:rPr>
                <w:b/>
                <w:color w:val="000000"/>
                <w:sz w:val="20"/>
              </w:rPr>
              <w:t>%</w:t>
            </w:r>
          </w:p>
        </w:tc>
        <w:tc>
          <w:tcPr>
            <w:tcW w:w="6660" w:type="dxa"/>
            <w:gridSpan w:val="3"/>
            <w:tcBorders>
              <w:top w:val="single" w:sz="6" w:space="0" w:color="auto"/>
              <w:left w:val="nil"/>
              <w:bottom w:val="single" w:sz="6" w:space="0" w:color="auto"/>
              <w:right w:val="nil"/>
            </w:tcBorders>
            <w:shd w:val="clear" w:color="auto" w:fill="auto"/>
            <w:noWrap/>
            <w:vAlign w:val="center"/>
            <w:hideMark/>
          </w:tcPr>
          <w:p w14:paraId="5FB2DE9A" w14:textId="5933E2F2" w:rsidR="003025FC" w:rsidRPr="003025FC" w:rsidRDefault="003025FC" w:rsidP="003025FC">
            <w:pPr>
              <w:spacing w:after="0" w:line="240" w:lineRule="auto"/>
              <w:jc w:val="center"/>
              <w:rPr>
                <w:b/>
                <w:color w:val="000000"/>
                <w:sz w:val="20"/>
                <w:vertAlign w:val="superscript"/>
              </w:rPr>
            </w:pPr>
            <w:r>
              <w:rPr>
                <w:b/>
                <w:color w:val="000000"/>
                <w:sz w:val="20"/>
              </w:rPr>
              <w:t xml:space="preserve">Adjusted </w:t>
            </w:r>
            <w:r w:rsidRPr="0093023C">
              <w:rPr>
                <w:b/>
                <w:color w:val="000000"/>
                <w:sz w:val="20"/>
              </w:rPr>
              <w:t>RR (95% CI)</w:t>
            </w:r>
            <w:r>
              <w:rPr>
                <w:b/>
                <w:color w:val="000000"/>
                <w:sz w:val="20"/>
                <w:vertAlign w:val="superscript"/>
              </w:rPr>
              <w:t>a</w:t>
            </w:r>
          </w:p>
        </w:tc>
      </w:tr>
      <w:tr w:rsidR="00C9738B" w:rsidRPr="00F66DCB" w14:paraId="1DBAA424" w14:textId="77777777" w:rsidTr="003025FC">
        <w:trPr>
          <w:trHeight w:val="20"/>
        </w:trPr>
        <w:tc>
          <w:tcPr>
            <w:tcW w:w="3325" w:type="dxa"/>
            <w:tcBorders>
              <w:top w:val="single" w:sz="6" w:space="0" w:color="auto"/>
              <w:left w:val="nil"/>
              <w:bottom w:val="nil"/>
              <w:right w:val="nil"/>
            </w:tcBorders>
            <w:shd w:val="clear" w:color="auto" w:fill="auto"/>
            <w:noWrap/>
            <w:vAlign w:val="center"/>
            <w:hideMark/>
          </w:tcPr>
          <w:p w14:paraId="23400F37" w14:textId="77777777" w:rsidR="00C9738B" w:rsidRPr="0093649A" w:rsidRDefault="00C9738B" w:rsidP="00C9738B">
            <w:pPr>
              <w:spacing w:after="0" w:line="240" w:lineRule="auto"/>
              <w:rPr>
                <w:color w:val="000000"/>
                <w:sz w:val="20"/>
              </w:rPr>
            </w:pPr>
            <w:r w:rsidRPr="0093649A">
              <w:rPr>
                <w:color w:val="000000"/>
                <w:sz w:val="20"/>
              </w:rPr>
              <w:t>Sex</w:t>
            </w:r>
          </w:p>
        </w:tc>
        <w:tc>
          <w:tcPr>
            <w:tcW w:w="1530" w:type="dxa"/>
            <w:tcBorders>
              <w:top w:val="single" w:sz="6" w:space="0" w:color="auto"/>
              <w:left w:val="nil"/>
              <w:bottom w:val="nil"/>
              <w:right w:val="nil"/>
            </w:tcBorders>
            <w:shd w:val="clear" w:color="auto" w:fill="auto"/>
            <w:noWrap/>
            <w:vAlign w:val="center"/>
            <w:hideMark/>
          </w:tcPr>
          <w:p w14:paraId="6B94728A" w14:textId="77777777" w:rsidR="00C9738B" w:rsidRPr="00FF3EF7" w:rsidRDefault="00C9738B" w:rsidP="00C9738B">
            <w:pPr>
              <w:spacing w:after="0" w:line="240" w:lineRule="auto"/>
              <w:rPr>
                <w:color w:val="000000"/>
                <w:sz w:val="20"/>
              </w:rPr>
            </w:pPr>
          </w:p>
        </w:tc>
        <w:tc>
          <w:tcPr>
            <w:tcW w:w="1350" w:type="dxa"/>
            <w:tcBorders>
              <w:top w:val="single" w:sz="6" w:space="0" w:color="auto"/>
              <w:left w:val="nil"/>
              <w:bottom w:val="nil"/>
              <w:right w:val="single" w:sz="4" w:space="0" w:color="auto"/>
            </w:tcBorders>
            <w:shd w:val="clear" w:color="auto" w:fill="auto"/>
            <w:noWrap/>
            <w:vAlign w:val="center"/>
            <w:hideMark/>
          </w:tcPr>
          <w:p w14:paraId="38FB15DD" w14:textId="77777777" w:rsidR="00C9738B" w:rsidRPr="00FF3EF7" w:rsidRDefault="00C9738B" w:rsidP="00C9738B">
            <w:pPr>
              <w:spacing w:after="0" w:line="240" w:lineRule="auto"/>
              <w:jc w:val="center"/>
              <w:rPr>
                <w:sz w:val="20"/>
              </w:rPr>
            </w:pPr>
          </w:p>
        </w:tc>
        <w:tc>
          <w:tcPr>
            <w:tcW w:w="2340" w:type="dxa"/>
            <w:tcBorders>
              <w:top w:val="single" w:sz="6" w:space="0" w:color="auto"/>
              <w:left w:val="single" w:sz="4" w:space="0" w:color="auto"/>
              <w:bottom w:val="nil"/>
              <w:right w:val="nil"/>
            </w:tcBorders>
            <w:shd w:val="clear" w:color="auto" w:fill="auto"/>
            <w:noWrap/>
            <w:vAlign w:val="center"/>
            <w:hideMark/>
          </w:tcPr>
          <w:p w14:paraId="13829156" w14:textId="77777777" w:rsidR="00C9738B" w:rsidRPr="00FF3EF7" w:rsidRDefault="00C9738B" w:rsidP="00C9738B">
            <w:pPr>
              <w:spacing w:after="0" w:line="240" w:lineRule="auto"/>
              <w:jc w:val="center"/>
              <w:rPr>
                <w:sz w:val="20"/>
              </w:rPr>
            </w:pPr>
          </w:p>
        </w:tc>
        <w:tc>
          <w:tcPr>
            <w:tcW w:w="2070" w:type="dxa"/>
            <w:tcBorders>
              <w:top w:val="single" w:sz="6" w:space="0" w:color="auto"/>
              <w:left w:val="nil"/>
              <w:bottom w:val="nil"/>
              <w:right w:val="nil"/>
            </w:tcBorders>
            <w:shd w:val="clear" w:color="auto" w:fill="auto"/>
            <w:noWrap/>
            <w:vAlign w:val="center"/>
            <w:hideMark/>
          </w:tcPr>
          <w:p w14:paraId="130E3FC0" w14:textId="77777777" w:rsidR="00C9738B" w:rsidRPr="00FF3EF7" w:rsidRDefault="00C9738B" w:rsidP="00C9738B">
            <w:pPr>
              <w:spacing w:after="0" w:line="240" w:lineRule="auto"/>
              <w:jc w:val="center"/>
              <w:rPr>
                <w:sz w:val="20"/>
              </w:rPr>
            </w:pPr>
          </w:p>
        </w:tc>
        <w:tc>
          <w:tcPr>
            <w:tcW w:w="2250" w:type="dxa"/>
            <w:tcBorders>
              <w:top w:val="single" w:sz="6" w:space="0" w:color="auto"/>
              <w:left w:val="nil"/>
              <w:bottom w:val="nil"/>
              <w:right w:val="nil"/>
            </w:tcBorders>
            <w:shd w:val="clear" w:color="auto" w:fill="auto"/>
            <w:noWrap/>
            <w:vAlign w:val="center"/>
            <w:hideMark/>
          </w:tcPr>
          <w:p w14:paraId="24B0625F" w14:textId="77777777" w:rsidR="00C9738B" w:rsidRPr="00FF3EF7" w:rsidRDefault="00C9738B" w:rsidP="00C9738B">
            <w:pPr>
              <w:spacing w:after="0" w:line="240" w:lineRule="auto"/>
              <w:jc w:val="center"/>
              <w:rPr>
                <w:sz w:val="20"/>
              </w:rPr>
            </w:pPr>
          </w:p>
        </w:tc>
      </w:tr>
      <w:tr w:rsidR="00C9738B" w:rsidRPr="00F66DCB" w14:paraId="32B43032"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1C37B373" w14:textId="77777777" w:rsidR="00C9738B" w:rsidRPr="0093649A" w:rsidRDefault="00C9738B" w:rsidP="00C9738B">
            <w:pPr>
              <w:spacing w:after="0" w:line="240" w:lineRule="auto"/>
              <w:rPr>
                <w:color w:val="000000"/>
                <w:sz w:val="20"/>
              </w:rPr>
            </w:pPr>
            <w:r w:rsidRPr="0093649A">
              <w:rPr>
                <w:color w:val="000000"/>
                <w:sz w:val="20"/>
              </w:rPr>
              <w:t>Male</w:t>
            </w:r>
          </w:p>
        </w:tc>
        <w:tc>
          <w:tcPr>
            <w:tcW w:w="1530" w:type="dxa"/>
            <w:tcBorders>
              <w:top w:val="nil"/>
              <w:left w:val="nil"/>
              <w:bottom w:val="nil"/>
              <w:right w:val="nil"/>
            </w:tcBorders>
            <w:shd w:val="clear" w:color="auto" w:fill="auto"/>
            <w:noWrap/>
            <w:vAlign w:val="center"/>
            <w:hideMark/>
          </w:tcPr>
          <w:p w14:paraId="1FEC095D" w14:textId="77777777" w:rsidR="00C9738B" w:rsidRPr="00FF3EF7" w:rsidRDefault="00C9738B" w:rsidP="00C9738B">
            <w:pPr>
              <w:spacing w:after="0" w:line="240" w:lineRule="auto"/>
              <w:jc w:val="center"/>
              <w:rPr>
                <w:color w:val="000000"/>
                <w:sz w:val="20"/>
              </w:rPr>
            </w:pPr>
            <w:r w:rsidRPr="00FF3EF7">
              <w:rPr>
                <w:color w:val="000000"/>
                <w:sz w:val="20"/>
              </w:rPr>
              <w:t>6198/22,883</w:t>
            </w:r>
          </w:p>
        </w:tc>
        <w:tc>
          <w:tcPr>
            <w:tcW w:w="1350" w:type="dxa"/>
            <w:tcBorders>
              <w:top w:val="nil"/>
              <w:left w:val="nil"/>
              <w:bottom w:val="nil"/>
              <w:right w:val="single" w:sz="4" w:space="0" w:color="auto"/>
            </w:tcBorders>
            <w:shd w:val="clear" w:color="auto" w:fill="auto"/>
            <w:noWrap/>
            <w:vAlign w:val="center"/>
            <w:hideMark/>
          </w:tcPr>
          <w:p w14:paraId="3D2FEC4F" w14:textId="77777777" w:rsidR="00C9738B" w:rsidRPr="00FF3EF7" w:rsidRDefault="00C9738B" w:rsidP="00C9738B">
            <w:pPr>
              <w:spacing w:after="0" w:line="240" w:lineRule="auto"/>
              <w:jc w:val="center"/>
              <w:rPr>
                <w:color w:val="000000"/>
                <w:sz w:val="20"/>
              </w:rPr>
            </w:pPr>
            <w:r w:rsidRPr="00FF3EF7">
              <w:rPr>
                <w:color w:val="000000"/>
                <w:sz w:val="20"/>
              </w:rPr>
              <w:t>27.1</w:t>
            </w:r>
          </w:p>
        </w:tc>
        <w:tc>
          <w:tcPr>
            <w:tcW w:w="2340" w:type="dxa"/>
            <w:tcBorders>
              <w:top w:val="nil"/>
              <w:left w:val="single" w:sz="4" w:space="0" w:color="auto"/>
              <w:bottom w:val="nil"/>
              <w:right w:val="nil"/>
            </w:tcBorders>
            <w:shd w:val="clear" w:color="auto" w:fill="auto"/>
            <w:noWrap/>
            <w:vAlign w:val="center"/>
            <w:hideMark/>
          </w:tcPr>
          <w:p w14:paraId="72895D06"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b</w:t>
            </w:r>
          </w:p>
        </w:tc>
        <w:tc>
          <w:tcPr>
            <w:tcW w:w="2070" w:type="dxa"/>
            <w:tcBorders>
              <w:top w:val="nil"/>
              <w:left w:val="nil"/>
              <w:bottom w:val="nil"/>
              <w:right w:val="nil"/>
            </w:tcBorders>
            <w:shd w:val="clear" w:color="auto" w:fill="auto"/>
            <w:noWrap/>
            <w:vAlign w:val="center"/>
            <w:hideMark/>
          </w:tcPr>
          <w:p w14:paraId="1AC2B694"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b</w:t>
            </w:r>
          </w:p>
        </w:tc>
        <w:tc>
          <w:tcPr>
            <w:tcW w:w="2250" w:type="dxa"/>
            <w:tcBorders>
              <w:top w:val="nil"/>
              <w:left w:val="nil"/>
              <w:bottom w:val="nil"/>
              <w:right w:val="nil"/>
            </w:tcBorders>
            <w:shd w:val="clear" w:color="auto" w:fill="auto"/>
            <w:noWrap/>
            <w:vAlign w:val="center"/>
            <w:hideMark/>
          </w:tcPr>
          <w:p w14:paraId="3AE307EF"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b</w:t>
            </w:r>
          </w:p>
        </w:tc>
      </w:tr>
      <w:tr w:rsidR="00C9738B" w:rsidRPr="00F66DCB" w14:paraId="46CFBAF7"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45A9B5DF" w14:textId="77777777" w:rsidR="00C9738B" w:rsidRPr="0093649A" w:rsidRDefault="00C9738B" w:rsidP="00C9738B">
            <w:pPr>
              <w:spacing w:after="0" w:line="240" w:lineRule="auto"/>
              <w:rPr>
                <w:color w:val="000000"/>
                <w:sz w:val="20"/>
              </w:rPr>
            </w:pPr>
            <w:r w:rsidRPr="0093649A">
              <w:rPr>
                <w:color w:val="000000"/>
                <w:sz w:val="20"/>
              </w:rPr>
              <w:t>Female</w:t>
            </w:r>
            <w:r>
              <w:rPr>
                <w:color w:val="000000"/>
                <w:sz w:val="20"/>
              </w:rPr>
              <w:t xml:space="preserve"> </w:t>
            </w:r>
          </w:p>
        </w:tc>
        <w:tc>
          <w:tcPr>
            <w:tcW w:w="1530" w:type="dxa"/>
            <w:tcBorders>
              <w:top w:val="nil"/>
              <w:left w:val="nil"/>
              <w:bottom w:val="nil"/>
              <w:right w:val="nil"/>
            </w:tcBorders>
            <w:shd w:val="clear" w:color="auto" w:fill="auto"/>
            <w:noWrap/>
            <w:vAlign w:val="center"/>
            <w:hideMark/>
          </w:tcPr>
          <w:p w14:paraId="1AB2FF56" w14:textId="77777777" w:rsidR="00C9738B" w:rsidRPr="00FF3EF7" w:rsidRDefault="00C9738B" w:rsidP="00C9738B">
            <w:pPr>
              <w:spacing w:after="0" w:line="240" w:lineRule="auto"/>
              <w:jc w:val="center"/>
              <w:rPr>
                <w:color w:val="000000"/>
                <w:sz w:val="20"/>
              </w:rPr>
            </w:pPr>
            <w:r w:rsidRPr="00FF3EF7">
              <w:rPr>
                <w:color w:val="000000"/>
                <w:sz w:val="20"/>
              </w:rPr>
              <w:t>14,855/47,152</w:t>
            </w:r>
          </w:p>
        </w:tc>
        <w:tc>
          <w:tcPr>
            <w:tcW w:w="1350" w:type="dxa"/>
            <w:tcBorders>
              <w:top w:val="nil"/>
              <w:left w:val="nil"/>
              <w:bottom w:val="nil"/>
              <w:right w:val="single" w:sz="4" w:space="0" w:color="auto"/>
            </w:tcBorders>
            <w:shd w:val="clear" w:color="auto" w:fill="auto"/>
            <w:noWrap/>
            <w:vAlign w:val="center"/>
            <w:hideMark/>
          </w:tcPr>
          <w:p w14:paraId="5FFA391E" w14:textId="77777777" w:rsidR="00C9738B" w:rsidRPr="00FF3EF7" w:rsidRDefault="00C9738B" w:rsidP="00C9738B">
            <w:pPr>
              <w:spacing w:after="0" w:line="240" w:lineRule="auto"/>
              <w:jc w:val="center"/>
              <w:rPr>
                <w:color w:val="000000"/>
                <w:sz w:val="20"/>
              </w:rPr>
            </w:pPr>
            <w:r w:rsidRPr="00FF3EF7">
              <w:rPr>
                <w:color w:val="000000"/>
                <w:sz w:val="20"/>
              </w:rPr>
              <w:t>31.5</w:t>
            </w:r>
          </w:p>
        </w:tc>
        <w:tc>
          <w:tcPr>
            <w:tcW w:w="2340" w:type="dxa"/>
            <w:tcBorders>
              <w:top w:val="nil"/>
              <w:left w:val="single" w:sz="4" w:space="0" w:color="auto"/>
              <w:bottom w:val="nil"/>
              <w:right w:val="nil"/>
            </w:tcBorders>
            <w:shd w:val="clear" w:color="auto" w:fill="auto"/>
            <w:noWrap/>
            <w:vAlign w:val="center"/>
            <w:hideMark/>
          </w:tcPr>
          <w:p w14:paraId="1D6E1A8D" w14:textId="77777777" w:rsidR="00C9738B" w:rsidRPr="00FF3EF7" w:rsidRDefault="00C9738B" w:rsidP="00C9738B">
            <w:pPr>
              <w:spacing w:after="0" w:line="240" w:lineRule="auto"/>
              <w:jc w:val="center"/>
              <w:rPr>
                <w:color w:val="000000"/>
                <w:sz w:val="20"/>
              </w:rPr>
            </w:pPr>
            <w:r w:rsidRPr="00FF3EF7">
              <w:rPr>
                <w:color w:val="000000"/>
                <w:sz w:val="20"/>
              </w:rPr>
              <w:t>1.01 (0.99-1.03)</w:t>
            </w:r>
          </w:p>
        </w:tc>
        <w:tc>
          <w:tcPr>
            <w:tcW w:w="2070" w:type="dxa"/>
            <w:tcBorders>
              <w:top w:val="nil"/>
              <w:left w:val="nil"/>
              <w:bottom w:val="nil"/>
              <w:right w:val="nil"/>
            </w:tcBorders>
            <w:shd w:val="clear" w:color="auto" w:fill="auto"/>
            <w:noWrap/>
            <w:vAlign w:val="center"/>
            <w:hideMark/>
          </w:tcPr>
          <w:p w14:paraId="23FD6738" w14:textId="77777777" w:rsidR="00C9738B" w:rsidRPr="00FF3EF7" w:rsidRDefault="00C9738B" w:rsidP="00C9738B">
            <w:pPr>
              <w:spacing w:after="0" w:line="240" w:lineRule="auto"/>
              <w:jc w:val="center"/>
              <w:rPr>
                <w:color w:val="000000"/>
                <w:sz w:val="20"/>
              </w:rPr>
            </w:pPr>
            <w:r w:rsidRPr="00FF3EF7">
              <w:rPr>
                <w:color w:val="000000"/>
                <w:sz w:val="20"/>
              </w:rPr>
              <w:t>1.02 (0.99-1.05)</w:t>
            </w:r>
          </w:p>
        </w:tc>
        <w:tc>
          <w:tcPr>
            <w:tcW w:w="2250" w:type="dxa"/>
            <w:tcBorders>
              <w:top w:val="nil"/>
              <w:left w:val="nil"/>
              <w:bottom w:val="nil"/>
              <w:right w:val="nil"/>
            </w:tcBorders>
            <w:shd w:val="clear" w:color="auto" w:fill="auto"/>
            <w:noWrap/>
            <w:vAlign w:val="center"/>
            <w:hideMark/>
          </w:tcPr>
          <w:p w14:paraId="4B6D9A92" w14:textId="77777777" w:rsidR="00C9738B" w:rsidRPr="00FF3EF7" w:rsidRDefault="00C9738B" w:rsidP="00C9738B">
            <w:pPr>
              <w:spacing w:after="0" w:line="240" w:lineRule="auto"/>
              <w:jc w:val="center"/>
              <w:rPr>
                <w:color w:val="000000"/>
                <w:sz w:val="20"/>
              </w:rPr>
            </w:pPr>
            <w:r w:rsidRPr="00FF3EF7">
              <w:rPr>
                <w:color w:val="000000"/>
                <w:sz w:val="20"/>
              </w:rPr>
              <w:t>0.99 (0.96-1.02)</w:t>
            </w:r>
          </w:p>
        </w:tc>
      </w:tr>
      <w:tr w:rsidR="00C9738B" w:rsidRPr="00F66DCB" w14:paraId="469C3DC3" w14:textId="77777777" w:rsidTr="00DA2DA0">
        <w:trPr>
          <w:trHeight w:val="20"/>
        </w:trPr>
        <w:tc>
          <w:tcPr>
            <w:tcW w:w="3325" w:type="dxa"/>
            <w:tcBorders>
              <w:top w:val="nil"/>
              <w:left w:val="nil"/>
              <w:bottom w:val="nil"/>
              <w:right w:val="nil"/>
            </w:tcBorders>
            <w:shd w:val="clear" w:color="auto" w:fill="auto"/>
            <w:noWrap/>
            <w:vAlign w:val="center"/>
            <w:hideMark/>
          </w:tcPr>
          <w:p w14:paraId="2A446D19" w14:textId="77777777" w:rsidR="00C9738B" w:rsidRPr="0093649A" w:rsidRDefault="00C9738B" w:rsidP="00C9738B">
            <w:pPr>
              <w:spacing w:after="0" w:line="240" w:lineRule="auto"/>
              <w:rPr>
                <w:color w:val="000000"/>
                <w:sz w:val="20"/>
              </w:rPr>
            </w:pPr>
            <w:r w:rsidRPr="0093649A">
              <w:rPr>
                <w:color w:val="000000"/>
                <w:sz w:val="20"/>
              </w:rPr>
              <w:t>Age (years)</w:t>
            </w:r>
          </w:p>
        </w:tc>
        <w:tc>
          <w:tcPr>
            <w:tcW w:w="1530" w:type="dxa"/>
            <w:tcBorders>
              <w:top w:val="nil"/>
              <w:left w:val="nil"/>
              <w:bottom w:val="nil"/>
              <w:right w:val="nil"/>
            </w:tcBorders>
            <w:shd w:val="clear" w:color="auto" w:fill="auto"/>
            <w:noWrap/>
            <w:vAlign w:val="center"/>
            <w:hideMark/>
          </w:tcPr>
          <w:p w14:paraId="1E1A29FB" w14:textId="77777777" w:rsidR="00C9738B" w:rsidRPr="00FF3EF7" w:rsidRDefault="00C9738B" w:rsidP="00C9738B">
            <w:pPr>
              <w:spacing w:after="0" w:line="240" w:lineRule="auto"/>
              <w:rPr>
                <w:color w:val="000000"/>
                <w:sz w:val="20"/>
              </w:rPr>
            </w:pPr>
          </w:p>
        </w:tc>
        <w:tc>
          <w:tcPr>
            <w:tcW w:w="1350" w:type="dxa"/>
            <w:tcBorders>
              <w:top w:val="nil"/>
              <w:left w:val="nil"/>
              <w:bottom w:val="nil"/>
              <w:right w:val="single" w:sz="4" w:space="0" w:color="auto"/>
            </w:tcBorders>
            <w:shd w:val="clear" w:color="auto" w:fill="auto"/>
            <w:noWrap/>
            <w:vAlign w:val="center"/>
            <w:hideMark/>
          </w:tcPr>
          <w:p w14:paraId="6CC94A1D" w14:textId="77777777" w:rsidR="00C9738B" w:rsidRPr="00FF3EF7" w:rsidRDefault="00C9738B" w:rsidP="00C9738B">
            <w:pPr>
              <w:spacing w:after="0" w:line="240" w:lineRule="auto"/>
              <w:jc w:val="center"/>
              <w:rPr>
                <w:sz w:val="20"/>
              </w:rPr>
            </w:pPr>
          </w:p>
        </w:tc>
        <w:tc>
          <w:tcPr>
            <w:tcW w:w="2340" w:type="dxa"/>
            <w:tcBorders>
              <w:top w:val="nil"/>
              <w:left w:val="single" w:sz="4" w:space="0" w:color="auto"/>
              <w:bottom w:val="nil"/>
              <w:right w:val="nil"/>
            </w:tcBorders>
            <w:shd w:val="clear" w:color="auto" w:fill="auto"/>
            <w:noWrap/>
            <w:vAlign w:val="center"/>
            <w:hideMark/>
          </w:tcPr>
          <w:p w14:paraId="012D22C4" w14:textId="77777777" w:rsidR="00C9738B" w:rsidRPr="00FF3EF7" w:rsidRDefault="00C9738B" w:rsidP="00C9738B">
            <w:pPr>
              <w:spacing w:after="0" w:line="240" w:lineRule="auto"/>
              <w:jc w:val="center"/>
              <w:rPr>
                <w:sz w:val="20"/>
              </w:rPr>
            </w:pPr>
          </w:p>
        </w:tc>
        <w:tc>
          <w:tcPr>
            <w:tcW w:w="2070" w:type="dxa"/>
            <w:tcBorders>
              <w:top w:val="nil"/>
              <w:left w:val="nil"/>
              <w:bottom w:val="nil"/>
              <w:right w:val="nil"/>
            </w:tcBorders>
            <w:shd w:val="clear" w:color="auto" w:fill="auto"/>
            <w:noWrap/>
            <w:vAlign w:val="center"/>
            <w:hideMark/>
          </w:tcPr>
          <w:p w14:paraId="3B9B5FCB" w14:textId="77777777" w:rsidR="00C9738B" w:rsidRPr="00FF3EF7" w:rsidRDefault="00C9738B" w:rsidP="00C9738B">
            <w:pPr>
              <w:spacing w:after="0" w:line="240" w:lineRule="auto"/>
              <w:jc w:val="center"/>
              <w:rPr>
                <w:sz w:val="20"/>
              </w:rPr>
            </w:pPr>
          </w:p>
        </w:tc>
        <w:tc>
          <w:tcPr>
            <w:tcW w:w="2250" w:type="dxa"/>
            <w:tcBorders>
              <w:top w:val="nil"/>
              <w:left w:val="nil"/>
              <w:bottom w:val="nil"/>
              <w:right w:val="nil"/>
            </w:tcBorders>
            <w:shd w:val="clear" w:color="auto" w:fill="auto"/>
            <w:noWrap/>
            <w:vAlign w:val="center"/>
            <w:hideMark/>
          </w:tcPr>
          <w:p w14:paraId="52B6B721" w14:textId="77777777" w:rsidR="00C9738B" w:rsidRPr="00FF3EF7" w:rsidRDefault="00C9738B" w:rsidP="00C9738B">
            <w:pPr>
              <w:spacing w:after="0" w:line="240" w:lineRule="auto"/>
              <w:jc w:val="center"/>
              <w:rPr>
                <w:sz w:val="20"/>
              </w:rPr>
            </w:pPr>
          </w:p>
        </w:tc>
      </w:tr>
      <w:tr w:rsidR="00C9738B" w:rsidRPr="00F66DCB" w14:paraId="4234AD1A"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72FA3455" w14:textId="77777777" w:rsidR="00C9738B" w:rsidRPr="0093649A" w:rsidRDefault="00C9738B" w:rsidP="00C9738B">
            <w:pPr>
              <w:spacing w:after="0" w:line="240" w:lineRule="auto"/>
              <w:rPr>
                <w:color w:val="000000"/>
                <w:sz w:val="20"/>
              </w:rPr>
            </w:pPr>
            <w:r w:rsidRPr="0093649A">
              <w:rPr>
                <w:color w:val="000000"/>
                <w:sz w:val="20"/>
              </w:rPr>
              <w:t>66-69</w:t>
            </w:r>
          </w:p>
        </w:tc>
        <w:tc>
          <w:tcPr>
            <w:tcW w:w="1530" w:type="dxa"/>
            <w:tcBorders>
              <w:top w:val="nil"/>
              <w:left w:val="nil"/>
              <w:bottom w:val="nil"/>
              <w:right w:val="nil"/>
            </w:tcBorders>
            <w:shd w:val="clear" w:color="auto" w:fill="auto"/>
            <w:noWrap/>
            <w:vAlign w:val="center"/>
            <w:hideMark/>
          </w:tcPr>
          <w:p w14:paraId="03B6A090" w14:textId="77777777" w:rsidR="00C9738B" w:rsidRPr="00FF3EF7" w:rsidRDefault="00C9738B" w:rsidP="00C9738B">
            <w:pPr>
              <w:spacing w:after="0" w:line="240" w:lineRule="auto"/>
              <w:jc w:val="center"/>
              <w:rPr>
                <w:color w:val="000000"/>
                <w:sz w:val="20"/>
              </w:rPr>
            </w:pPr>
            <w:r w:rsidRPr="00FF3EF7">
              <w:rPr>
                <w:color w:val="000000"/>
                <w:sz w:val="20"/>
              </w:rPr>
              <w:t>1553/6117</w:t>
            </w:r>
          </w:p>
        </w:tc>
        <w:tc>
          <w:tcPr>
            <w:tcW w:w="1350" w:type="dxa"/>
            <w:tcBorders>
              <w:top w:val="nil"/>
              <w:left w:val="nil"/>
              <w:bottom w:val="nil"/>
              <w:right w:val="single" w:sz="4" w:space="0" w:color="auto"/>
            </w:tcBorders>
            <w:shd w:val="clear" w:color="auto" w:fill="auto"/>
            <w:noWrap/>
            <w:vAlign w:val="center"/>
            <w:hideMark/>
          </w:tcPr>
          <w:p w14:paraId="103A5536" w14:textId="77777777" w:rsidR="00C9738B" w:rsidRPr="00FF3EF7" w:rsidRDefault="00C9738B" w:rsidP="00C9738B">
            <w:pPr>
              <w:spacing w:after="0" w:line="240" w:lineRule="auto"/>
              <w:jc w:val="center"/>
              <w:rPr>
                <w:color w:val="000000"/>
                <w:sz w:val="20"/>
              </w:rPr>
            </w:pPr>
            <w:r w:rsidRPr="00FF3EF7">
              <w:rPr>
                <w:color w:val="000000"/>
                <w:sz w:val="20"/>
              </w:rPr>
              <w:t>25.4</w:t>
            </w:r>
          </w:p>
        </w:tc>
        <w:tc>
          <w:tcPr>
            <w:tcW w:w="2340" w:type="dxa"/>
            <w:tcBorders>
              <w:top w:val="nil"/>
              <w:left w:val="single" w:sz="4" w:space="0" w:color="auto"/>
              <w:bottom w:val="nil"/>
              <w:right w:val="nil"/>
            </w:tcBorders>
            <w:shd w:val="clear" w:color="auto" w:fill="auto"/>
            <w:noWrap/>
            <w:vAlign w:val="center"/>
            <w:hideMark/>
          </w:tcPr>
          <w:p w14:paraId="28E3A221"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c</w:t>
            </w:r>
          </w:p>
        </w:tc>
        <w:tc>
          <w:tcPr>
            <w:tcW w:w="2070" w:type="dxa"/>
            <w:tcBorders>
              <w:top w:val="nil"/>
              <w:left w:val="nil"/>
              <w:bottom w:val="nil"/>
              <w:right w:val="nil"/>
            </w:tcBorders>
            <w:shd w:val="clear" w:color="auto" w:fill="auto"/>
            <w:noWrap/>
            <w:vAlign w:val="center"/>
            <w:hideMark/>
          </w:tcPr>
          <w:p w14:paraId="3FCF9797"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c</w:t>
            </w:r>
          </w:p>
        </w:tc>
        <w:tc>
          <w:tcPr>
            <w:tcW w:w="2250" w:type="dxa"/>
            <w:tcBorders>
              <w:top w:val="nil"/>
              <w:left w:val="nil"/>
              <w:bottom w:val="nil"/>
              <w:right w:val="nil"/>
            </w:tcBorders>
            <w:shd w:val="clear" w:color="auto" w:fill="auto"/>
            <w:noWrap/>
            <w:vAlign w:val="center"/>
            <w:hideMark/>
          </w:tcPr>
          <w:p w14:paraId="19F76043" w14:textId="77777777" w:rsidR="00C9738B" w:rsidRPr="00B2558C" w:rsidRDefault="00C9738B" w:rsidP="00C9738B">
            <w:pPr>
              <w:spacing w:after="0" w:line="240" w:lineRule="auto"/>
              <w:jc w:val="center"/>
              <w:rPr>
                <w:color w:val="000000"/>
                <w:sz w:val="20"/>
                <w:vertAlign w:val="superscript"/>
              </w:rPr>
            </w:pPr>
            <w:r>
              <w:rPr>
                <w:color w:val="000000"/>
                <w:sz w:val="20"/>
              </w:rPr>
              <w:t>Ref</w:t>
            </w:r>
            <w:r>
              <w:rPr>
                <w:color w:val="000000"/>
                <w:sz w:val="20"/>
                <w:vertAlign w:val="superscript"/>
              </w:rPr>
              <w:t>c</w:t>
            </w:r>
          </w:p>
        </w:tc>
      </w:tr>
      <w:tr w:rsidR="00C9738B" w:rsidRPr="00F66DCB" w14:paraId="3D93423C"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79E19236" w14:textId="77777777" w:rsidR="00C9738B" w:rsidRPr="0093649A" w:rsidRDefault="00C9738B" w:rsidP="00C9738B">
            <w:pPr>
              <w:spacing w:after="0" w:line="240" w:lineRule="auto"/>
              <w:rPr>
                <w:color w:val="000000"/>
                <w:sz w:val="20"/>
              </w:rPr>
            </w:pPr>
            <w:r w:rsidRPr="0093649A">
              <w:rPr>
                <w:color w:val="000000"/>
                <w:sz w:val="20"/>
              </w:rPr>
              <w:t xml:space="preserve">70-74 </w:t>
            </w:r>
          </w:p>
        </w:tc>
        <w:tc>
          <w:tcPr>
            <w:tcW w:w="1530" w:type="dxa"/>
            <w:tcBorders>
              <w:top w:val="nil"/>
              <w:left w:val="nil"/>
              <w:bottom w:val="nil"/>
              <w:right w:val="nil"/>
            </w:tcBorders>
            <w:shd w:val="clear" w:color="auto" w:fill="auto"/>
            <w:noWrap/>
            <w:vAlign w:val="center"/>
            <w:hideMark/>
          </w:tcPr>
          <w:p w14:paraId="5DB324AA" w14:textId="77777777" w:rsidR="00C9738B" w:rsidRPr="00FF3EF7" w:rsidRDefault="00C9738B" w:rsidP="00C9738B">
            <w:pPr>
              <w:spacing w:after="0" w:line="240" w:lineRule="auto"/>
              <w:jc w:val="center"/>
              <w:rPr>
                <w:color w:val="000000"/>
                <w:sz w:val="20"/>
              </w:rPr>
            </w:pPr>
            <w:r w:rsidRPr="00FF3EF7">
              <w:rPr>
                <w:color w:val="000000"/>
                <w:sz w:val="20"/>
              </w:rPr>
              <w:t>2807/10,580</w:t>
            </w:r>
          </w:p>
        </w:tc>
        <w:tc>
          <w:tcPr>
            <w:tcW w:w="1350" w:type="dxa"/>
            <w:tcBorders>
              <w:top w:val="nil"/>
              <w:left w:val="nil"/>
              <w:bottom w:val="nil"/>
              <w:right w:val="single" w:sz="4" w:space="0" w:color="auto"/>
            </w:tcBorders>
            <w:shd w:val="clear" w:color="auto" w:fill="auto"/>
            <w:noWrap/>
            <w:vAlign w:val="center"/>
            <w:hideMark/>
          </w:tcPr>
          <w:p w14:paraId="3C92821F" w14:textId="77777777" w:rsidR="00C9738B" w:rsidRPr="00FF3EF7" w:rsidRDefault="00C9738B" w:rsidP="00C9738B">
            <w:pPr>
              <w:spacing w:after="0" w:line="240" w:lineRule="auto"/>
              <w:jc w:val="center"/>
              <w:rPr>
                <w:color w:val="000000"/>
                <w:sz w:val="20"/>
              </w:rPr>
            </w:pPr>
            <w:r w:rsidRPr="00FF3EF7">
              <w:rPr>
                <w:color w:val="000000"/>
                <w:sz w:val="20"/>
              </w:rPr>
              <w:t>26.5</w:t>
            </w:r>
          </w:p>
        </w:tc>
        <w:tc>
          <w:tcPr>
            <w:tcW w:w="2340" w:type="dxa"/>
            <w:tcBorders>
              <w:top w:val="nil"/>
              <w:left w:val="single" w:sz="4" w:space="0" w:color="auto"/>
              <w:bottom w:val="nil"/>
              <w:right w:val="nil"/>
            </w:tcBorders>
            <w:shd w:val="clear" w:color="auto" w:fill="auto"/>
            <w:noWrap/>
            <w:vAlign w:val="center"/>
            <w:hideMark/>
          </w:tcPr>
          <w:p w14:paraId="5B96BC79" w14:textId="77777777" w:rsidR="00C9738B" w:rsidRPr="00FF3EF7" w:rsidRDefault="00C9738B" w:rsidP="00C9738B">
            <w:pPr>
              <w:spacing w:after="0" w:line="240" w:lineRule="auto"/>
              <w:jc w:val="center"/>
              <w:rPr>
                <w:color w:val="000000"/>
                <w:sz w:val="20"/>
              </w:rPr>
            </w:pPr>
            <w:r w:rsidRPr="00FF3EF7">
              <w:rPr>
                <w:color w:val="000000"/>
                <w:sz w:val="20"/>
              </w:rPr>
              <w:t>1.04 (0.99-1.08)</w:t>
            </w:r>
          </w:p>
        </w:tc>
        <w:tc>
          <w:tcPr>
            <w:tcW w:w="2070" w:type="dxa"/>
            <w:tcBorders>
              <w:top w:val="nil"/>
              <w:left w:val="nil"/>
              <w:bottom w:val="nil"/>
              <w:right w:val="nil"/>
            </w:tcBorders>
            <w:shd w:val="clear" w:color="auto" w:fill="auto"/>
            <w:noWrap/>
            <w:vAlign w:val="center"/>
            <w:hideMark/>
          </w:tcPr>
          <w:p w14:paraId="40C9464C" w14:textId="77777777" w:rsidR="00C9738B" w:rsidRPr="00FF3EF7" w:rsidRDefault="00C9738B" w:rsidP="00C9738B">
            <w:pPr>
              <w:spacing w:after="0" w:line="240" w:lineRule="auto"/>
              <w:jc w:val="center"/>
              <w:rPr>
                <w:color w:val="000000"/>
                <w:sz w:val="20"/>
              </w:rPr>
            </w:pPr>
            <w:r w:rsidRPr="00FF3EF7">
              <w:rPr>
                <w:color w:val="000000"/>
                <w:sz w:val="20"/>
              </w:rPr>
              <w:t>1.05 (1.00-1.10)</w:t>
            </w:r>
          </w:p>
        </w:tc>
        <w:tc>
          <w:tcPr>
            <w:tcW w:w="2250" w:type="dxa"/>
            <w:tcBorders>
              <w:top w:val="nil"/>
              <w:left w:val="nil"/>
              <w:bottom w:val="nil"/>
              <w:right w:val="nil"/>
            </w:tcBorders>
            <w:shd w:val="clear" w:color="auto" w:fill="auto"/>
            <w:noWrap/>
            <w:vAlign w:val="center"/>
            <w:hideMark/>
          </w:tcPr>
          <w:p w14:paraId="049AB15F" w14:textId="77777777" w:rsidR="00C9738B" w:rsidRPr="00FF3EF7" w:rsidRDefault="00C9738B" w:rsidP="00C9738B">
            <w:pPr>
              <w:spacing w:after="0" w:line="240" w:lineRule="auto"/>
              <w:jc w:val="center"/>
              <w:rPr>
                <w:color w:val="000000"/>
                <w:sz w:val="20"/>
              </w:rPr>
            </w:pPr>
            <w:r w:rsidRPr="00FF3EF7">
              <w:rPr>
                <w:color w:val="000000"/>
                <w:sz w:val="20"/>
              </w:rPr>
              <w:t>1.00 (0.90-1.10)</w:t>
            </w:r>
          </w:p>
        </w:tc>
      </w:tr>
      <w:tr w:rsidR="00C9738B" w:rsidRPr="00F66DCB" w14:paraId="67382A41"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5560BE87" w14:textId="77777777" w:rsidR="00C9738B" w:rsidRPr="0093649A" w:rsidRDefault="00C9738B" w:rsidP="00C9738B">
            <w:pPr>
              <w:spacing w:after="0" w:line="240" w:lineRule="auto"/>
              <w:rPr>
                <w:color w:val="000000"/>
                <w:sz w:val="20"/>
              </w:rPr>
            </w:pPr>
            <w:r w:rsidRPr="0093649A">
              <w:rPr>
                <w:color w:val="000000"/>
                <w:sz w:val="20"/>
              </w:rPr>
              <w:t xml:space="preserve">75-79 </w:t>
            </w:r>
          </w:p>
        </w:tc>
        <w:tc>
          <w:tcPr>
            <w:tcW w:w="1530" w:type="dxa"/>
            <w:tcBorders>
              <w:top w:val="nil"/>
              <w:left w:val="nil"/>
              <w:bottom w:val="nil"/>
              <w:right w:val="nil"/>
            </w:tcBorders>
            <w:shd w:val="clear" w:color="auto" w:fill="auto"/>
            <w:noWrap/>
            <w:vAlign w:val="center"/>
            <w:hideMark/>
          </w:tcPr>
          <w:p w14:paraId="7B7A2CDD" w14:textId="77777777" w:rsidR="00C9738B" w:rsidRPr="00FF3EF7" w:rsidRDefault="00C9738B" w:rsidP="00C9738B">
            <w:pPr>
              <w:spacing w:after="0" w:line="240" w:lineRule="auto"/>
              <w:jc w:val="center"/>
              <w:rPr>
                <w:color w:val="000000"/>
                <w:sz w:val="20"/>
              </w:rPr>
            </w:pPr>
            <w:r w:rsidRPr="00FF3EF7">
              <w:rPr>
                <w:color w:val="000000"/>
                <w:sz w:val="20"/>
              </w:rPr>
              <w:t>3393/12,010</w:t>
            </w:r>
          </w:p>
        </w:tc>
        <w:tc>
          <w:tcPr>
            <w:tcW w:w="1350" w:type="dxa"/>
            <w:tcBorders>
              <w:top w:val="nil"/>
              <w:left w:val="nil"/>
              <w:bottom w:val="nil"/>
              <w:right w:val="single" w:sz="4" w:space="0" w:color="auto"/>
            </w:tcBorders>
            <w:shd w:val="clear" w:color="auto" w:fill="auto"/>
            <w:noWrap/>
            <w:vAlign w:val="center"/>
            <w:hideMark/>
          </w:tcPr>
          <w:p w14:paraId="191802BD" w14:textId="77777777" w:rsidR="00C9738B" w:rsidRPr="00FF3EF7" w:rsidRDefault="00C9738B" w:rsidP="00C9738B">
            <w:pPr>
              <w:spacing w:after="0" w:line="240" w:lineRule="auto"/>
              <w:jc w:val="center"/>
              <w:rPr>
                <w:color w:val="000000"/>
                <w:sz w:val="20"/>
              </w:rPr>
            </w:pPr>
            <w:r w:rsidRPr="00FF3EF7">
              <w:rPr>
                <w:color w:val="000000"/>
                <w:sz w:val="20"/>
              </w:rPr>
              <w:t>28.3</w:t>
            </w:r>
          </w:p>
        </w:tc>
        <w:tc>
          <w:tcPr>
            <w:tcW w:w="2340" w:type="dxa"/>
            <w:tcBorders>
              <w:top w:val="nil"/>
              <w:left w:val="single" w:sz="4" w:space="0" w:color="auto"/>
              <w:bottom w:val="nil"/>
              <w:right w:val="nil"/>
            </w:tcBorders>
            <w:shd w:val="clear" w:color="auto" w:fill="auto"/>
            <w:noWrap/>
            <w:vAlign w:val="center"/>
            <w:hideMark/>
          </w:tcPr>
          <w:p w14:paraId="492DC83A" w14:textId="77777777" w:rsidR="00C9738B" w:rsidRPr="00FF3EF7" w:rsidRDefault="00C9738B" w:rsidP="00C9738B">
            <w:pPr>
              <w:spacing w:after="0" w:line="240" w:lineRule="auto"/>
              <w:jc w:val="center"/>
              <w:rPr>
                <w:color w:val="000000"/>
                <w:sz w:val="20"/>
              </w:rPr>
            </w:pPr>
            <w:r w:rsidRPr="00FF3EF7">
              <w:rPr>
                <w:color w:val="000000"/>
                <w:sz w:val="20"/>
              </w:rPr>
              <w:t>1.06 (1.02-1.10)</w:t>
            </w:r>
          </w:p>
        </w:tc>
        <w:tc>
          <w:tcPr>
            <w:tcW w:w="2070" w:type="dxa"/>
            <w:tcBorders>
              <w:top w:val="nil"/>
              <w:left w:val="nil"/>
              <w:bottom w:val="nil"/>
              <w:right w:val="nil"/>
            </w:tcBorders>
            <w:shd w:val="clear" w:color="auto" w:fill="auto"/>
            <w:noWrap/>
            <w:vAlign w:val="center"/>
            <w:hideMark/>
          </w:tcPr>
          <w:p w14:paraId="7C67426B" w14:textId="77777777" w:rsidR="00C9738B" w:rsidRPr="00FF3EF7" w:rsidRDefault="00C9738B" w:rsidP="00C9738B">
            <w:pPr>
              <w:spacing w:after="0" w:line="240" w:lineRule="auto"/>
              <w:jc w:val="center"/>
              <w:rPr>
                <w:color w:val="000000"/>
                <w:sz w:val="20"/>
              </w:rPr>
            </w:pPr>
            <w:r w:rsidRPr="00FF3EF7">
              <w:rPr>
                <w:color w:val="000000"/>
                <w:sz w:val="20"/>
              </w:rPr>
              <w:t>1.08 (1.03-1.13)</w:t>
            </w:r>
          </w:p>
        </w:tc>
        <w:tc>
          <w:tcPr>
            <w:tcW w:w="2250" w:type="dxa"/>
            <w:tcBorders>
              <w:top w:val="nil"/>
              <w:left w:val="nil"/>
              <w:bottom w:val="nil"/>
              <w:right w:val="nil"/>
            </w:tcBorders>
            <w:shd w:val="clear" w:color="auto" w:fill="auto"/>
            <w:noWrap/>
            <w:vAlign w:val="center"/>
            <w:hideMark/>
          </w:tcPr>
          <w:p w14:paraId="206BEB8C" w14:textId="77777777" w:rsidR="00C9738B" w:rsidRPr="00FF3EF7" w:rsidRDefault="00C9738B" w:rsidP="00C9738B">
            <w:pPr>
              <w:spacing w:after="0" w:line="240" w:lineRule="auto"/>
              <w:jc w:val="center"/>
              <w:rPr>
                <w:color w:val="000000"/>
                <w:sz w:val="20"/>
              </w:rPr>
            </w:pPr>
            <w:r w:rsidRPr="00FF3EF7">
              <w:rPr>
                <w:color w:val="000000"/>
                <w:sz w:val="20"/>
              </w:rPr>
              <w:t>1.00 (0.91-1.09)</w:t>
            </w:r>
          </w:p>
        </w:tc>
      </w:tr>
      <w:tr w:rsidR="00C9738B" w:rsidRPr="00F66DCB" w14:paraId="42EA6326"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70B9FBFE" w14:textId="77777777" w:rsidR="00C9738B" w:rsidRPr="0093649A" w:rsidRDefault="00C9738B" w:rsidP="00C9738B">
            <w:pPr>
              <w:spacing w:after="0" w:line="240" w:lineRule="auto"/>
              <w:rPr>
                <w:color w:val="000000"/>
                <w:sz w:val="20"/>
              </w:rPr>
            </w:pPr>
            <w:r w:rsidRPr="0093649A">
              <w:rPr>
                <w:color w:val="000000"/>
                <w:sz w:val="20"/>
              </w:rPr>
              <w:t xml:space="preserve">80-84 </w:t>
            </w:r>
          </w:p>
        </w:tc>
        <w:tc>
          <w:tcPr>
            <w:tcW w:w="1530" w:type="dxa"/>
            <w:tcBorders>
              <w:top w:val="nil"/>
              <w:left w:val="nil"/>
              <w:bottom w:val="nil"/>
              <w:right w:val="nil"/>
            </w:tcBorders>
            <w:shd w:val="clear" w:color="auto" w:fill="auto"/>
            <w:noWrap/>
            <w:vAlign w:val="center"/>
            <w:hideMark/>
          </w:tcPr>
          <w:p w14:paraId="2A052D32" w14:textId="77777777" w:rsidR="00C9738B" w:rsidRPr="00FF3EF7" w:rsidRDefault="00C9738B" w:rsidP="00C9738B">
            <w:pPr>
              <w:spacing w:after="0" w:line="240" w:lineRule="auto"/>
              <w:jc w:val="center"/>
              <w:rPr>
                <w:color w:val="000000"/>
                <w:sz w:val="20"/>
              </w:rPr>
            </w:pPr>
            <w:r w:rsidRPr="00FF3EF7">
              <w:rPr>
                <w:color w:val="000000"/>
                <w:sz w:val="20"/>
              </w:rPr>
              <w:t>4379/14,196</w:t>
            </w:r>
          </w:p>
        </w:tc>
        <w:tc>
          <w:tcPr>
            <w:tcW w:w="1350" w:type="dxa"/>
            <w:tcBorders>
              <w:top w:val="nil"/>
              <w:left w:val="nil"/>
              <w:bottom w:val="nil"/>
              <w:right w:val="single" w:sz="4" w:space="0" w:color="auto"/>
            </w:tcBorders>
            <w:shd w:val="clear" w:color="auto" w:fill="auto"/>
            <w:noWrap/>
            <w:vAlign w:val="center"/>
            <w:hideMark/>
          </w:tcPr>
          <w:p w14:paraId="23A39CA0" w14:textId="77777777" w:rsidR="00C9738B" w:rsidRPr="00FF3EF7" w:rsidRDefault="00C9738B" w:rsidP="00C9738B">
            <w:pPr>
              <w:spacing w:after="0" w:line="240" w:lineRule="auto"/>
              <w:jc w:val="center"/>
              <w:rPr>
                <w:color w:val="000000"/>
                <w:sz w:val="20"/>
              </w:rPr>
            </w:pPr>
            <w:r w:rsidRPr="00FF3EF7">
              <w:rPr>
                <w:color w:val="000000"/>
                <w:sz w:val="20"/>
              </w:rPr>
              <w:t>30.9</w:t>
            </w:r>
          </w:p>
        </w:tc>
        <w:tc>
          <w:tcPr>
            <w:tcW w:w="2340" w:type="dxa"/>
            <w:tcBorders>
              <w:top w:val="nil"/>
              <w:left w:val="single" w:sz="4" w:space="0" w:color="auto"/>
              <w:bottom w:val="nil"/>
              <w:right w:val="nil"/>
            </w:tcBorders>
            <w:shd w:val="clear" w:color="auto" w:fill="auto"/>
            <w:noWrap/>
            <w:vAlign w:val="center"/>
            <w:hideMark/>
          </w:tcPr>
          <w:p w14:paraId="56BC6836" w14:textId="77777777" w:rsidR="00C9738B" w:rsidRPr="00FF3EF7" w:rsidRDefault="00C9738B" w:rsidP="00C9738B">
            <w:pPr>
              <w:spacing w:after="0" w:line="240" w:lineRule="auto"/>
              <w:jc w:val="center"/>
              <w:rPr>
                <w:color w:val="000000"/>
                <w:sz w:val="20"/>
              </w:rPr>
            </w:pPr>
            <w:r w:rsidRPr="00FF3EF7">
              <w:rPr>
                <w:color w:val="000000"/>
                <w:sz w:val="20"/>
              </w:rPr>
              <w:t>1.11 (1.07-1.16)</w:t>
            </w:r>
          </w:p>
        </w:tc>
        <w:tc>
          <w:tcPr>
            <w:tcW w:w="2070" w:type="dxa"/>
            <w:tcBorders>
              <w:top w:val="nil"/>
              <w:left w:val="nil"/>
              <w:bottom w:val="nil"/>
              <w:right w:val="nil"/>
            </w:tcBorders>
            <w:shd w:val="clear" w:color="auto" w:fill="auto"/>
            <w:noWrap/>
            <w:vAlign w:val="center"/>
            <w:hideMark/>
          </w:tcPr>
          <w:p w14:paraId="14F6C167" w14:textId="77777777" w:rsidR="00C9738B" w:rsidRPr="00FF3EF7" w:rsidRDefault="00C9738B" w:rsidP="00C9738B">
            <w:pPr>
              <w:spacing w:after="0" w:line="240" w:lineRule="auto"/>
              <w:jc w:val="center"/>
              <w:rPr>
                <w:color w:val="000000"/>
                <w:sz w:val="20"/>
              </w:rPr>
            </w:pPr>
            <w:r w:rsidRPr="00FF3EF7">
              <w:rPr>
                <w:color w:val="000000"/>
                <w:sz w:val="20"/>
              </w:rPr>
              <w:t>1.13 (1.08-1.18)</w:t>
            </w:r>
          </w:p>
        </w:tc>
        <w:tc>
          <w:tcPr>
            <w:tcW w:w="2250" w:type="dxa"/>
            <w:tcBorders>
              <w:top w:val="nil"/>
              <w:left w:val="nil"/>
              <w:bottom w:val="nil"/>
              <w:right w:val="nil"/>
            </w:tcBorders>
            <w:shd w:val="clear" w:color="auto" w:fill="auto"/>
            <w:noWrap/>
            <w:vAlign w:val="center"/>
            <w:hideMark/>
          </w:tcPr>
          <w:p w14:paraId="59664177" w14:textId="77777777" w:rsidR="00C9738B" w:rsidRPr="00FF3EF7" w:rsidRDefault="00C9738B" w:rsidP="00C9738B">
            <w:pPr>
              <w:spacing w:after="0" w:line="240" w:lineRule="auto"/>
              <w:jc w:val="center"/>
              <w:rPr>
                <w:color w:val="000000"/>
                <w:sz w:val="20"/>
              </w:rPr>
            </w:pPr>
            <w:r w:rsidRPr="00FF3EF7">
              <w:rPr>
                <w:color w:val="000000"/>
                <w:sz w:val="20"/>
              </w:rPr>
              <w:t>1.01 (0.92-1.10)</w:t>
            </w:r>
          </w:p>
        </w:tc>
      </w:tr>
      <w:tr w:rsidR="00C9738B" w:rsidRPr="00F66DCB" w14:paraId="5E7E0532"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34EA7861" w14:textId="77777777" w:rsidR="00C9738B" w:rsidRPr="0093649A" w:rsidRDefault="00C9738B" w:rsidP="00C9738B">
            <w:pPr>
              <w:spacing w:after="0" w:line="240" w:lineRule="auto"/>
              <w:rPr>
                <w:color w:val="000000"/>
                <w:sz w:val="20"/>
              </w:rPr>
            </w:pPr>
            <w:r w:rsidRPr="0093649A">
              <w:rPr>
                <w:color w:val="000000"/>
                <w:sz w:val="20"/>
              </w:rPr>
              <w:t xml:space="preserve">85-89 </w:t>
            </w:r>
          </w:p>
        </w:tc>
        <w:tc>
          <w:tcPr>
            <w:tcW w:w="1530" w:type="dxa"/>
            <w:tcBorders>
              <w:top w:val="nil"/>
              <w:left w:val="nil"/>
              <w:bottom w:val="nil"/>
              <w:right w:val="nil"/>
            </w:tcBorders>
            <w:shd w:val="clear" w:color="auto" w:fill="auto"/>
            <w:noWrap/>
            <w:vAlign w:val="center"/>
            <w:hideMark/>
          </w:tcPr>
          <w:p w14:paraId="2218F755" w14:textId="77777777" w:rsidR="00C9738B" w:rsidRPr="00FF3EF7" w:rsidRDefault="00C9738B" w:rsidP="00C9738B">
            <w:pPr>
              <w:spacing w:after="0" w:line="240" w:lineRule="auto"/>
              <w:jc w:val="center"/>
              <w:rPr>
                <w:color w:val="000000"/>
                <w:sz w:val="20"/>
              </w:rPr>
            </w:pPr>
            <w:r w:rsidRPr="00FF3EF7">
              <w:rPr>
                <w:color w:val="000000"/>
                <w:sz w:val="20"/>
              </w:rPr>
              <w:t>4537/13,972</w:t>
            </w:r>
          </w:p>
        </w:tc>
        <w:tc>
          <w:tcPr>
            <w:tcW w:w="1350" w:type="dxa"/>
            <w:tcBorders>
              <w:top w:val="nil"/>
              <w:left w:val="nil"/>
              <w:bottom w:val="nil"/>
              <w:right w:val="single" w:sz="4" w:space="0" w:color="auto"/>
            </w:tcBorders>
            <w:shd w:val="clear" w:color="auto" w:fill="auto"/>
            <w:noWrap/>
            <w:vAlign w:val="center"/>
            <w:hideMark/>
          </w:tcPr>
          <w:p w14:paraId="32D54668" w14:textId="77777777" w:rsidR="00C9738B" w:rsidRPr="00FF3EF7" w:rsidRDefault="00C9738B" w:rsidP="00C9738B">
            <w:pPr>
              <w:spacing w:after="0" w:line="240" w:lineRule="auto"/>
              <w:jc w:val="center"/>
              <w:rPr>
                <w:color w:val="000000"/>
                <w:sz w:val="20"/>
              </w:rPr>
            </w:pPr>
            <w:r w:rsidRPr="00FF3EF7">
              <w:rPr>
                <w:color w:val="000000"/>
                <w:sz w:val="20"/>
              </w:rPr>
              <w:t>32.5</w:t>
            </w:r>
          </w:p>
        </w:tc>
        <w:tc>
          <w:tcPr>
            <w:tcW w:w="2340" w:type="dxa"/>
            <w:tcBorders>
              <w:top w:val="nil"/>
              <w:left w:val="single" w:sz="4" w:space="0" w:color="auto"/>
              <w:bottom w:val="nil"/>
              <w:right w:val="nil"/>
            </w:tcBorders>
            <w:shd w:val="clear" w:color="auto" w:fill="auto"/>
            <w:noWrap/>
            <w:vAlign w:val="center"/>
            <w:hideMark/>
          </w:tcPr>
          <w:p w14:paraId="3AFAC50B" w14:textId="77777777" w:rsidR="00C9738B" w:rsidRPr="00FF3EF7" w:rsidRDefault="00C9738B" w:rsidP="00C9738B">
            <w:pPr>
              <w:spacing w:after="0" w:line="240" w:lineRule="auto"/>
              <w:jc w:val="center"/>
              <w:rPr>
                <w:color w:val="000000"/>
                <w:sz w:val="20"/>
              </w:rPr>
            </w:pPr>
            <w:r w:rsidRPr="00FF3EF7">
              <w:rPr>
                <w:color w:val="000000"/>
                <w:sz w:val="20"/>
              </w:rPr>
              <w:t>1.14 (1.10-1.18)</w:t>
            </w:r>
          </w:p>
        </w:tc>
        <w:tc>
          <w:tcPr>
            <w:tcW w:w="2070" w:type="dxa"/>
            <w:tcBorders>
              <w:top w:val="nil"/>
              <w:left w:val="nil"/>
              <w:bottom w:val="nil"/>
              <w:right w:val="nil"/>
            </w:tcBorders>
            <w:shd w:val="clear" w:color="auto" w:fill="auto"/>
            <w:noWrap/>
            <w:vAlign w:val="center"/>
            <w:hideMark/>
          </w:tcPr>
          <w:p w14:paraId="416618DA" w14:textId="77777777" w:rsidR="00C9738B" w:rsidRPr="00FF3EF7" w:rsidRDefault="00C9738B" w:rsidP="00C9738B">
            <w:pPr>
              <w:spacing w:after="0" w:line="240" w:lineRule="auto"/>
              <w:jc w:val="center"/>
              <w:rPr>
                <w:color w:val="000000"/>
                <w:sz w:val="20"/>
              </w:rPr>
            </w:pPr>
            <w:r w:rsidRPr="00FF3EF7">
              <w:rPr>
                <w:color w:val="000000"/>
                <w:sz w:val="20"/>
              </w:rPr>
              <w:t>1.17 (1.12-1.22)</w:t>
            </w:r>
          </w:p>
        </w:tc>
        <w:tc>
          <w:tcPr>
            <w:tcW w:w="2250" w:type="dxa"/>
            <w:tcBorders>
              <w:top w:val="nil"/>
              <w:left w:val="nil"/>
              <w:bottom w:val="nil"/>
              <w:right w:val="nil"/>
            </w:tcBorders>
            <w:shd w:val="clear" w:color="auto" w:fill="auto"/>
            <w:noWrap/>
            <w:vAlign w:val="center"/>
            <w:hideMark/>
          </w:tcPr>
          <w:p w14:paraId="04D44595" w14:textId="77777777" w:rsidR="00C9738B" w:rsidRPr="00FF3EF7" w:rsidRDefault="00C9738B" w:rsidP="00C9738B">
            <w:pPr>
              <w:spacing w:after="0" w:line="240" w:lineRule="auto"/>
              <w:jc w:val="center"/>
              <w:rPr>
                <w:color w:val="000000"/>
                <w:sz w:val="20"/>
              </w:rPr>
            </w:pPr>
            <w:r w:rsidRPr="00FF3EF7">
              <w:rPr>
                <w:color w:val="000000"/>
                <w:sz w:val="20"/>
              </w:rPr>
              <w:t>0.99 (0.91-1.08)</w:t>
            </w:r>
          </w:p>
        </w:tc>
      </w:tr>
      <w:tr w:rsidR="00C9738B" w:rsidRPr="00F66DCB" w14:paraId="36D0643E"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239A457A" w14:textId="77777777" w:rsidR="00C9738B" w:rsidRPr="0093649A" w:rsidRDefault="00C9738B" w:rsidP="00C9738B">
            <w:pPr>
              <w:spacing w:after="0" w:line="240" w:lineRule="auto"/>
              <w:rPr>
                <w:color w:val="000000"/>
                <w:sz w:val="20"/>
              </w:rPr>
            </w:pPr>
            <w:r>
              <w:rPr>
                <w:sz w:val="20"/>
              </w:rPr>
              <w:t>≥</w:t>
            </w:r>
            <w:r>
              <w:rPr>
                <w:color w:val="000000"/>
                <w:sz w:val="20"/>
              </w:rPr>
              <w:t>90</w:t>
            </w:r>
          </w:p>
        </w:tc>
        <w:tc>
          <w:tcPr>
            <w:tcW w:w="1530" w:type="dxa"/>
            <w:tcBorders>
              <w:top w:val="nil"/>
              <w:left w:val="nil"/>
              <w:bottom w:val="nil"/>
              <w:right w:val="nil"/>
            </w:tcBorders>
            <w:shd w:val="clear" w:color="auto" w:fill="auto"/>
            <w:noWrap/>
            <w:vAlign w:val="center"/>
            <w:hideMark/>
          </w:tcPr>
          <w:p w14:paraId="70682BE3" w14:textId="77777777" w:rsidR="00C9738B" w:rsidRPr="00FF3EF7" w:rsidRDefault="00C9738B" w:rsidP="00C9738B">
            <w:pPr>
              <w:spacing w:after="0" w:line="240" w:lineRule="auto"/>
              <w:jc w:val="center"/>
              <w:rPr>
                <w:color w:val="000000"/>
                <w:sz w:val="20"/>
              </w:rPr>
            </w:pPr>
            <w:r w:rsidRPr="00FF3EF7">
              <w:rPr>
                <w:color w:val="000000"/>
                <w:sz w:val="20"/>
              </w:rPr>
              <w:t>4381/13,160</w:t>
            </w:r>
          </w:p>
        </w:tc>
        <w:tc>
          <w:tcPr>
            <w:tcW w:w="1350" w:type="dxa"/>
            <w:tcBorders>
              <w:top w:val="nil"/>
              <w:left w:val="nil"/>
              <w:bottom w:val="nil"/>
              <w:right w:val="single" w:sz="4" w:space="0" w:color="auto"/>
            </w:tcBorders>
            <w:shd w:val="clear" w:color="auto" w:fill="auto"/>
            <w:noWrap/>
            <w:vAlign w:val="center"/>
            <w:hideMark/>
          </w:tcPr>
          <w:p w14:paraId="6768AA1C" w14:textId="77777777" w:rsidR="00C9738B" w:rsidRPr="00FF3EF7" w:rsidRDefault="00C9738B" w:rsidP="00C9738B">
            <w:pPr>
              <w:spacing w:after="0" w:line="240" w:lineRule="auto"/>
              <w:jc w:val="center"/>
              <w:rPr>
                <w:color w:val="000000"/>
                <w:sz w:val="20"/>
              </w:rPr>
            </w:pPr>
            <w:r w:rsidRPr="00FF3EF7">
              <w:rPr>
                <w:color w:val="000000"/>
                <w:sz w:val="20"/>
              </w:rPr>
              <w:t>33.3</w:t>
            </w:r>
          </w:p>
        </w:tc>
        <w:tc>
          <w:tcPr>
            <w:tcW w:w="2340" w:type="dxa"/>
            <w:tcBorders>
              <w:top w:val="nil"/>
              <w:left w:val="single" w:sz="4" w:space="0" w:color="auto"/>
              <w:bottom w:val="nil"/>
              <w:right w:val="nil"/>
            </w:tcBorders>
            <w:shd w:val="clear" w:color="auto" w:fill="auto"/>
            <w:noWrap/>
            <w:vAlign w:val="center"/>
            <w:hideMark/>
          </w:tcPr>
          <w:p w14:paraId="3552DDBF" w14:textId="77777777" w:rsidR="00C9738B" w:rsidRPr="00FF3EF7" w:rsidRDefault="00C9738B" w:rsidP="00C9738B">
            <w:pPr>
              <w:spacing w:after="0" w:line="240" w:lineRule="auto"/>
              <w:jc w:val="center"/>
              <w:rPr>
                <w:color w:val="000000"/>
                <w:sz w:val="20"/>
              </w:rPr>
            </w:pPr>
            <w:r w:rsidRPr="00FF3EF7">
              <w:rPr>
                <w:color w:val="000000"/>
                <w:sz w:val="20"/>
              </w:rPr>
              <w:t>1.17 (1.13-1.22)</w:t>
            </w:r>
          </w:p>
        </w:tc>
        <w:tc>
          <w:tcPr>
            <w:tcW w:w="2070" w:type="dxa"/>
            <w:tcBorders>
              <w:top w:val="nil"/>
              <w:left w:val="nil"/>
              <w:bottom w:val="nil"/>
              <w:right w:val="nil"/>
            </w:tcBorders>
            <w:shd w:val="clear" w:color="auto" w:fill="auto"/>
            <w:noWrap/>
            <w:vAlign w:val="center"/>
            <w:hideMark/>
          </w:tcPr>
          <w:p w14:paraId="4711BF9A" w14:textId="77777777" w:rsidR="00C9738B" w:rsidRPr="00FF3EF7" w:rsidRDefault="00C9738B" w:rsidP="00C9738B">
            <w:pPr>
              <w:spacing w:after="0" w:line="240" w:lineRule="auto"/>
              <w:jc w:val="center"/>
              <w:rPr>
                <w:color w:val="000000"/>
                <w:sz w:val="20"/>
              </w:rPr>
            </w:pPr>
            <w:r w:rsidRPr="00FF3EF7">
              <w:rPr>
                <w:color w:val="000000"/>
                <w:sz w:val="20"/>
              </w:rPr>
              <w:t>1.19 (1.14-1.25)</w:t>
            </w:r>
          </w:p>
        </w:tc>
        <w:tc>
          <w:tcPr>
            <w:tcW w:w="2250" w:type="dxa"/>
            <w:tcBorders>
              <w:top w:val="nil"/>
              <w:left w:val="nil"/>
              <w:bottom w:val="nil"/>
              <w:right w:val="nil"/>
            </w:tcBorders>
            <w:shd w:val="clear" w:color="auto" w:fill="auto"/>
            <w:noWrap/>
            <w:vAlign w:val="center"/>
            <w:hideMark/>
          </w:tcPr>
          <w:p w14:paraId="0EF06146" w14:textId="77777777" w:rsidR="00C9738B" w:rsidRPr="00FF3EF7" w:rsidRDefault="00C9738B" w:rsidP="00C9738B">
            <w:pPr>
              <w:spacing w:after="0" w:line="240" w:lineRule="auto"/>
              <w:jc w:val="center"/>
              <w:rPr>
                <w:color w:val="000000"/>
                <w:sz w:val="20"/>
              </w:rPr>
            </w:pPr>
            <w:r w:rsidRPr="00FF3EF7">
              <w:rPr>
                <w:color w:val="000000"/>
                <w:sz w:val="20"/>
              </w:rPr>
              <w:t>0.99 (0.91-1.08)</w:t>
            </w:r>
          </w:p>
        </w:tc>
      </w:tr>
      <w:tr w:rsidR="00C9738B" w:rsidRPr="00F66DCB" w14:paraId="740DA65B" w14:textId="77777777" w:rsidTr="00DA2DA0">
        <w:trPr>
          <w:trHeight w:val="20"/>
        </w:trPr>
        <w:tc>
          <w:tcPr>
            <w:tcW w:w="3325" w:type="dxa"/>
            <w:tcBorders>
              <w:top w:val="nil"/>
              <w:left w:val="nil"/>
              <w:bottom w:val="nil"/>
              <w:right w:val="nil"/>
            </w:tcBorders>
            <w:shd w:val="clear" w:color="auto" w:fill="auto"/>
            <w:noWrap/>
            <w:vAlign w:val="center"/>
            <w:hideMark/>
          </w:tcPr>
          <w:p w14:paraId="73A25FA2" w14:textId="77777777" w:rsidR="00C9738B" w:rsidRPr="0093649A" w:rsidRDefault="00C9738B" w:rsidP="00C9738B">
            <w:pPr>
              <w:spacing w:after="0" w:line="240" w:lineRule="auto"/>
              <w:rPr>
                <w:color w:val="000000"/>
                <w:sz w:val="20"/>
              </w:rPr>
            </w:pPr>
            <w:r w:rsidRPr="0093649A">
              <w:rPr>
                <w:color w:val="000000"/>
                <w:sz w:val="20"/>
              </w:rPr>
              <w:t>Race</w:t>
            </w:r>
          </w:p>
        </w:tc>
        <w:tc>
          <w:tcPr>
            <w:tcW w:w="1530" w:type="dxa"/>
            <w:tcBorders>
              <w:top w:val="nil"/>
              <w:left w:val="nil"/>
              <w:bottom w:val="nil"/>
              <w:right w:val="nil"/>
            </w:tcBorders>
            <w:shd w:val="clear" w:color="auto" w:fill="auto"/>
            <w:noWrap/>
            <w:vAlign w:val="center"/>
            <w:hideMark/>
          </w:tcPr>
          <w:p w14:paraId="373BC423" w14:textId="77777777" w:rsidR="00C9738B" w:rsidRPr="00FF3EF7" w:rsidRDefault="00C9738B" w:rsidP="00C9738B">
            <w:pPr>
              <w:spacing w:after="0" w:line="240" w:lineRule="auto"/>
              <w:rPr>
                <w:color w:val="000000"/>
                <w:sz w:val="20"/>
              </w:rPr>
            </w:pPr>
          </w:p>
        </w:tc>
        <w:tc>
          <w:tcPr>
            <w:tcW w:w="1350" w:type="dxa"/>
            <w:tcBorders>
              <w:top w:val="nil"/>
              <w:left w:val="nil"/>
              <w:bottom w:val="nil"/>
              <w:right w:val="single" w:sz="4" w:space="0" w:color="auto"/>
            </w:tcBorders>
            <w:shd w:val="clear" w:color="auto" w:fill="auto"/>
            <w:noWrap/>
            <w:vAlign w:val="center"/>
            <w:hideMark/>
          </w:tcPr>
          <w:p w14:paraId="0AE036FA" w14:textId="77777777" w:rsidR="00C9738B" w:rsidRPr="00FF3EF7" w:rsidRDefault="00C9738B" w:rsidP="00C9738B">
            <w:pPr>
              <w:spacing w:after="0" w:line="240" w:lineRule="auto"/>
              <w:jc w:val="center"/>
              <w:rPr>
                <w:sz w:val="20"/>
              </w:rPr>
            </w:pPr>
          </w:p>
        </w:tc>
        <w:tc>
          <w:tcPr>
            <w:tcW w:w="2340" w:type="dxa"/>
            <w:tcBorders>
              <w:top w:val="nil"/>
              <w:left w:val="single" w:sz="4" w:space="0" w:color="auto"/>
              <w:bottom w:val="nil"/>
              <w:right w:val="nil"/>
            </w:tcBorders>
            <w:shd w:val="clear" w:color="auto" w:fill="auto"/>
            <w:noWrap/>
            <w:vAlign w:val="center"/>
            <w:hideMark/>
          </w:tcPr>
          <w:p w14:paraId="56A9DA81" w14:textId="77777777" w:rsidR="00C9738B" w:rsidRPr="00FF3EF7" w:rsidRDefault="00C9738B" w:rsidP="00C9738B">
            <w:pPr>
              <w:spacing w:after="0" w:line="240" w:lineRule="auto"/>
              <w:jc w:val="center"/>
              <w:rPr>
                <w:sz w:val="20"/>
              </w:rPr>
            </w:pPr>
          </w:p>
        </w:tc>
        <w:tc>
          <w:tcPr>
            <w:tcW w:w="2070" w:type="dxa"/>
            <w:tcBorders>
              <w:top w:val="nil"/>
              <w:left w:val="nil"/>
              <w:bottom w:val="nil"/>
              <w:right w:val="nil"/>
            </w:tcBorders>
            <w:shd w:val="clear" w:color="auto" w:fill="auto"/>
            <w:noWrap/>
            <w:vAlign w:val="center"/>
            <w:hideMark/>
          </w:tcPr>
          <w:p w14:paraId="4D305DDB" w14:textId="77777777" w:rsidR="00C9738B" w:rsidRPr="00FF3EF7" w:rsidRDefault="00C9738B" w:rsidP="00C9738B">
            <w:pPr>
              <w:spacing w:after="0" w:line="240" w:lineRule="auto"/>
              <w:jc w:val="center"/>
              <w:rPr>
                <w:sz w:val="20"/>
              </w:rPr>
            </w:pPr>
          </w:p>
        </w:tc>
        <w:tc>
          <w:tcPr>
            <w:tcW w:w="2250" w:type="dxa"/>
            <w:tcBorders>
              <w:top w:val="nil"/>
              <w:left w:val="nil"/>
              <w:bottom w:val="nil"/>
              <w:right w:val="nil"/>
            </w:tcBorders>
            <w:shd w:val="clear" w:color="auto" w:fill="auto"/>
            <w:noWrap/>
            <w:vAlign w:val="center"/>
            <w:hideMark/>
          </w:tcPr>
          <w:p w14:paraId="538D6FFA" w14:textId="77777777" w:rsidR="00C9738B" w:rsidRPr="00FF3EF7" w:rsidRDefault="00C9738B" w:rsidP="00C9738B">
            <w:pPr>
              <w:spacing w:after="0" w:line="240" w:lineRule="auto"/>
              <w:jc w:val="center"/>
              <w:rPr>
                <w:sz w:val="20"/>
              </w:rPr>
            </w:pPr>
          </w:p>
        </w:tc>
      </w:tr>
      <w:tr w:rsidR="00C9738B" w:rsidRPr="00F66DCB" w14:paraId="1FA938B9"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4AB3D769" w14:textId="77777777" w:rsidR="00C9738B" w:rsidRPr="0093649A" w:rsidRDefault="00C9738B" w:rsidP="00C9738B">
            <w:pPr>
              <w:spacing w:after="0" w:line="240" w:lineRule="auto"/>
              <w:rPr>
                <w:color w:val="000000"/>
                <w:sz w:val="20"/>
              </w:rPr>
            </w:pPr>
            <w:r w:rsidRPr="0093649A">
              <w:rPr>
                <w:color w:val="000000"/>
                <w:sz w:val="20"/>
              </w:rPr>
              <w:t>White</w:t>
            </w:r>
          </w:p>
        </w:tc>
        <w:tc>
          <w:tcPr>
            <w:tcW w:w="1530" w:type="dxa"/>
            <w:tcBorders>
              <w:top w:val="nil"/>
              <w:left w:val="nil"/>
              <w:bottom w:val="nil"/>
              <w:right w:val="nil"/>
            </w:tcBorders>
            <w:shd w:val="clear" w:color="auto" w:fill="auto"/>
            <w:noWrap/>
            <w:vAlign w:val="center"/>
            <w:hideMark/>
          </w:tcPr>
          <w:p w14:paraId="705BB5C7" w14:textId="77777777" w:rsidR="00C9738B" w:rsidRPr="00FF3EF7" w:rsidRDefault="00C9738B" w:rsidP="00C9738B">
            <w:pPr>
              <w:spacing w:after="0" w:line="240" w:lineRule="auto"/>
              <w:jc w:val="center"/>
              <w:rPr>
                <w:color w:val="000000"/>
                <w:sz w:val="20"/>
              </w:rPr>
            </w:pPr>
            <w:r w:rsidRPr="00FF3EF7">
              <w:rPr>
                <w:color w:val="000000"/>
                <w:sz w:val="20"/>
              </w:rPr>
              <w:t>17,832/59,664</w:t>
            </w:r>
          </w:p>
        </w:tc>
        <w:tc>
          <w:tcPr>
            <w:tcW w:w="1350" w:type="dxa"/>
            <w:tcBorders>
              <w:top w:val="nil"/>
              <w:left w:val="nil"/>
              <w:bottom w:val="nil"/>
              <w:right w:val="single" w:sz="4" w:space="0" w:color="auto"/>
            </w:tcBorders>
            <w:shd w:val="clear" w:color="auto" w:fill="auto"/>
            <w:noWrap/>
            <w:vAlign w:val="center"/>
            <w:hideMark/>
          </w:tcPr>
          <w:p w14:paraId="09597CF2" w14:textId="77777777" w:rsidR="00C9738B" w:rsidRPr="00FF3EF7" w:rsidRDefault="00C9738B" w:rsidP="00C9738B">
            <w:pPr>
              <w:spacing w:after="0" w:line="240" w:lineRule="auto"/>
              <w:jc w:val="center"/>
              <w:rPr>
                <w:color w:val="000000"/>
                <w:sz w:val="20"/>
              </w:rPr>
            </w:pPr>
            <w:r w:rsidRPr="00FF3EF7">
              <w:rPr>
                <w:color w:val="000000"/>
                <w:sz w:val="20"/>
              </w:rPr>
              <w:t>29.9</w:t>
            </w:r>
          </w:p>
        </w:tc>
        <w:tc>
          <w:tcPr>
            <w:tcW w:w="2340" w:type="dxa"/>
            <w:tcBorders>
              <w:top w:val="nil"/>
              <w:left w:val="single" w:sz="4" w:space="0" w:color="auto"/>
              <w:bottom w:val="nil"/>
              <w:right w:val="nil"/>
            </w:tcBorders>
            <w:shd w:val="clear" w:color="auto" w:fill="auto"/>
            <w:noWrap/>
            <w:vAlign w:val="center"/>
            <w:hideMark/>
          </w:tcPr>
          <w:p w14:paraId="491B07E3"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d</w:t>
            </w:r>
          </w:p>
        </w:tc>
        <w:tc>
          <w:tcPr>
            <w:tcW w:w="2070" w:type="dxa"/>
            <w:tcBorders>
              <w:top w:val="nil"/>
              <w:left w:val="nil"/>
              <w:bottom w:val="nil"/>
              <w:right w:val="nil"/>
            </w:tcBorders>
            <w:shd w:val="clear" w:color="auto" w:fill="auto"/>
            <w:noWrap/>
            <w:vAlign w:val="center"/>
            <w:hideMark/>
          </w:tcPr>
          <w:p w14:paraId="2D0A5D3E"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d</w:t>
            </w:r>
          </w:p>
        </w:tc>
        <w:tc>
          <w:tcPr>
            <w:tcW w:w="2250" w:type="dxa"/>
            <w:tcBorders>
              <w:top w:val="nil"/>
              <w:left w:val="nil"/>
              <w:bottom w:val="nil"/>
              <w:right w:val="nil"/>
            </w:tcBorders>
            <w:shd w:val="clear" w:color="auto" w:fill="auto"/>
            <w:noWrap/>
            <w:vAlign w:val="center"/>
            <w:hideMark/>
          </w:tcPr>
          <w:p w14:paraId="01A7DBD5"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d</w:t>
            </w:r>
          </w:p>
        </w:tc>
      </w:tr>
      <w:tr w:rsidR="00C9738B" w:rsidRPr="00F66DCB" w14:paraId="125929AE"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39F1C97B" w14:textId="77777777" w:rsidR="00C9738B" w:rsidRPr="0093649A" w:rsidRDefault="00C9738B" w:rsidP="00C9738B">
            <w:pPr>
              <w:spacing w:after="0" w:line="240" w:lineRule="auto"/>
              <w:rPr>
                <w:color w:val="000000"/>
                <w:sz w:val="20"/>
              </w:rPr>
            </w:pPr>
            <w:r w:rsidRPr="0093649A">
              <w:rPr>
                <w:color w:val="000000"/>
                <w:sz w:val="20"/>
              </w:rPr>
              <w:t>Black</w:t>
            </w:r>
          </w:p>
        </w:tc>
        <w:tc>
          <w:tcPr>
            <w:tcW w:w="1530" w:type="dxa"/>
            <w:tcBorders>
              <w:top w:val="nil"/>
              <w:left w:val="nil"/>
              <w:bottom w:val="nil"/>
              <w:right w:val="nil"/>
            </w:tcBorders>
            <w:shd w:val="clear" w:color="auto" w:fill="auto"/>
            <w:noWrap/>
            <w:vAlign w:val="center"/>
            <w:hideMark/>
          </w:tcPr>
          <w:p w14:paraId="0BCB4279" w14:textId="77777777" w:rsidR="00C9738B" w:rsidRPr="00FF3EF7" w:rsidRDefault="00C9738B" w:rsidP="00C9738B">
            <w:pPr>
              <w:spacing w:after="0" w:line="240" w:lineRule="auto"/>
              <w:jc w:val="center"/>
              <w:rPr>
                <w:color w:val="000000"/>
                <w:sz w:val="20"/>
              </w:rPr>
            </w:pPr>
            <w:r w:rsidRPr="00FF3EF7">
              <w:rPr>
                <w:color w:val="000000"/>
                <w:sz w:val="20"/>
              </w:rPr>
              <w:t>1,955/5,825</w:t>
            </w:r>
          </w:p>
        </w:tc>
        <w:tc>
          <w:tcPr>
            <w:tcW w:w="1350" w:type="dxa"/>
            <w:tcBorders>
              <w:top w:val="nil"/>
              <w:left w:val="nil"/>
              <w:bottom w:val="nil"/>
              <w:right w:val="single" w:sz="4" w:space="0" w:color="auto"/>
            </w:tcBorders>
            <w:shd w:val="clear" w:color="auto" w:fill="auto"/>
            <w:noWrap/>
            <w:vAlign w:val="center"/>
            <w:hideMark/>
          </w:tcPr>
          <w:p w14:paraId="0FC1E265" w14:textId="77777777" w:rsidR="00C9738B" w:rsidRPr="00FF3EF7" w:rsidRDefault="00C9738B" w:rsidP="00C9738B">
            <w:pPr>
              <w:spacing w:after="0" w:line="240" w:lineRule="auto"/>
              <w:jc w:val="center"/>
              <w:rPr>
                <w:color w:val="000000"/>
                <w:sz w:val="20"/>
              </w:rPr>
            </w:pPr>
            <w:r w:rsidRPr="00FF3EF7">
              <w:rPr>
                <w:color w:val="000000"/>
                <w:sz w:val="20"/>
              </w:rPr>
              <w:t>33.6</w:t>
            </w:r>
          </w:p>
        </w:tc>
        <w:tc>
          <w:tcPr>
            <w:tcW w:w="2340" w:type="dxa"/>
            <w:tcBorders>
              <w:top w:val="nil"/>
              <w:left w:val="single" w:sz="4" w:space="0" w:color="auto"/>
              <w:bottom w:val="nil"/>
              <w:right w:val="nil"/>
            </w:tcBorders>
            <w:shd w:val="clear" w:color="auto" w:fill="auto"/>
            <w:noWrap/>
            <w:vAlign w:val="center"/>
            <w:hideMark/>
          </w:tcPr>
          <w:p w14:paraId="1C16E647" w14:textId="77777777" w:rsidR="00C9738B" w:rsidRPr="00FF3EF7" w:rsidRDefault="00C9738B" w:rsidP="00C9738B">
            <w:pPr>
              <w:spacing w:after="0" w:line="240" w:lineRule="auto"/>
              <w:jc w:val="center"/>
              <w:rPr>
                <w:color w:val="000000"/>
                <w:sz w:val="20"/>
              </w:rPr>
            </w:pPr>
            <w:r w:rsidRPr="00FF3EF7">
              <w:rPr>
                <w:color w:val="000000"/>
                <w:sz w:val="20"/>
              </w:rPr>
              <w:t>0.97 (0.94-1.01)</w:t>
            </w:r>
          </w:p>
        </w:tc>
        <w:tc>
          <w:tcPr>
            <w:tcW w:w="2070" w:type="dxa"/>
            <w:tcBorders>
              <w:top w:val="nil"/>
              <w:left w:val="nil"/>
              <w:bottom w:val="nil"/>
              <w:right w:val="nil"/>
            </w:tcBorders>
            <w:shd w:val="clear" w:color="auto" w:fill="auto"/>
            <w:noWrap/>
            <w:vAlign w:val="center"/>
            <w:hideMark/>
          </w:tcPr>
          <w:p w14:paraId="358D045D" w14:textId="77777777" w:rsidR="00C9738B" w:rsidRPr="00FF3EF7" w:rsidRDefault="00C9738B" w:rsidP="00C9738B">
            <w:pPr>
              <w:spacing w:after="0" w:line="240" w:lineRule="auto"/>
              <w:jc w:val="center"/>
              <w:rPr>
                <w:color w:val="000000"/>
                <w:sz w:val="20"/>
              </w:rPr>
            </w:pPr>
            <w:r w:rsidRPr="00FF3EF7">
              <w:rPr>
                <w:color w:val="000000"/>
                <w:sz w:val="20"/>
              </w:rPr>
              <w:t>0.98 (0.94-1.03)</w:t>
            </w:r>
          </w:p>
        </w:tc>
        <w:tc>
          <w:tcPr>
            <w:tcW w:w="2250" w:type="dxa"/>
            <w:tcBorders>
              <w:top w:val="nil"/>
              <w:left w:val="nil"/>
              <w:bottom w:val="nil"/>
              <w:right w:val="nil"/>
            </w:tcBorders>
            <w:shd w:val="clear" w:color="auto" w:fill="auto"/>
            <w:noWrap/>
            <w:vAlign w:val="center"/>
            <w:hideMark/>
          </w:tcPr>
          <w:p w14:paraId="7DED4411" w14:textId="77777777" w:rsidR="00C9738B" w:rsidRPr="00FF3EF7" w:rsidRDefault="00C9738B" w:rsidP="00C9738B">
            <w:pPr>
              <w:spacing w:after="0" w:line="240" w:lineRule="auto"/>
              <w:jc w:val="center"/>
              <w:rPr>
                <w:color w:val="000000"/>
                <w:sz w:val="20"/>
              </w:rPr>
            </w:pPr>
            <w:r w:rsidRPr="00FF3EF7">
              <w:rPr>
                <w:color w:val="000000"/>
                <w:sz w:val="20"/>
              </w:rPr>
              <w:t>0.95 (0.90-1.01)</w:t>
            </w:r>
          </w:p>
        </w:tc>
      </w:tr>
      <w:tr w:rsidR="00C9738B" w:rsidRPr="00F66DCB" w14:paraId="0254DE29"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01A0A21A" w14:textId="77777777" w:rsidR="00C9738B" w:rsidRPr="0093649A" w:rsidRDefault="00C9738B" w:rsidP="00C9738B">
            <w:pPr>
              <w:spacing w:after="0" w:line="240" w:lineRule="auto"/>
              <w:rPr>
                <w:color w:val="000000"/>
                <w:sz w:val="20"/>
              </w:rPr>
            </w:pPr>
            <w:r w:rsidRPr="0093649A">
              <w:rPr>
                <w:color w:val="000000"/>
                <w:sz w:val="20"/>
              </w:rPr>
              <w:t>Asian</w:t>
            </w:r>
          </w:p>
        </w:tc>
        <w:tc>
          <w:tcPr>
            <w:tcW w:w="1530" w:type="dxa"/>
            <w:tcBorders>
              <w:top w:val="nil"/>
              <w:left w:val="nil"/>
              <w:bottom w:val="nil"/>
              <w:right w:val="nil"/>
            </w:tcBorders>
            <w:shd w:val="clear" w:color="auto" w:fill="auto"/>
            <w:noWrap/>
            <w:vAlign w:val="center"/>
            <w:hideMark/>
          </w:tcPr>
          <w:p w14:paraId="0A77612B" w14:textId="77777777" w:rsidR="00C9738B" w:rsidRPr="00FF3EF7" w:rsidRDefault="00C9738B" w:rsidP="00C9738B">
            <w:pPr>
              <w:spacing w:after="0" w:line="240" w:lineRule="auto"/>
              <w:jc w:val="center"/>
              <w:rPr>
                <w:color w:val="000000"/>
                <w:sz w:val="20"/>
              </w:rPr>
            </w:pPr>
            <w:r w:rsidRPr="00FF3EF7">
              <w:rPr>
                <w:color w:val="000000"/>
                <w:sz w:val="20"/>
              </w:rPr>
              <w:t>568/1996</w:t>
            </w:r>
          </w:p>
        </w:tc>
        <w:tc>
          <w:tcPr>
            <w:tcW w:w="1350" w:type="dxa"/>
            <w:tcBorders>
              <w:top w:val="nil"/>
              <w:left w:val="nil"/>
              <w:bottom w:val="nil"/>
              <w:right w:val="single" w:sz="4" w:space="0" w:color="auto"/>
            </w:tcBorders>
            <w:shd w:val="clear" w:color="auto" w:fill="auto"/>
            <w:noWrap/>
            <w:vAlign w:val="center"/>
            <w:hideMark/>
          </w:tcPr>
          <w:p w14:paraId="20D7580F" w14:textId="77777777" w:rsidR="00C9738B" w:rsidRPr="00FF3EF7" w:rsidRDefault="00C9738B" w:rsidP="00C9738B">
            <w:pPr>
              <w:spacing w:after="0" w:line="240" w:lineRule="auto"/>
              <w:jc w:val="center"/>
              <w:rPr>
                <w:color w:val="000000"/>
                <w:sz w:val="20"/>
              </w:rPr>
            </w:pPr>
            <w:r w:rsidRPr="00FF3EF7">
              <w:rPr>
                <w:color w:val="000000"/>
                <w:sz w:val="20"/>
              </w:rPr>
              <w:t>28.5</w:t>
            </w:r>
          </w:p>
        </w:tc>
        <w:tc>
          <w:tcPr>
            <w:tcW w:w="2340" w:type="dxa"/>
            <w:tcBorders>
              <w:top w:val="nil"/>
              <w:left w:val="single" w:sz="4" w:space="0" w:color="auto"/>
              <w:bottom w:val="nil"/>
              <w:right w:val="nil"/>
            </w:tcBorders>
            <w:shd w:val="clear" w:color="auto" w:fill="auto"/>
            <w:noWrap/>
            <w:vAlign w:val="center"/>
            <w:hideMark/>
          </w:tcPr>
          <w:p w14:paraId="005A0797" w14:textId="77777777" w:rsidR="00C9738B" w:rsidRPr="00FF3EF7" w:rsidRDefault="00C9738B" w:rsidP="00C9738B">
            <w:pPr>
              <w:spacing w:after="0" w:line="240" w:lineRule="auto"/>
              <w:jc w:val="center"/>
              <w:rPr>
                <w:color w:val="000000"/>
                <w:sz w:val="20"/>
              </w:rPr>
            </w:pPr>
            <w:r w:rsidRPr="00FF3EF7">
              <w:rPr>
                <w:color w:val="000000"/>
                <w:sz w:val="20"/>
              </w:rPr>
              <w:t>0.85 (0.80-0.91)</w:t>
            </w:r>
          </w:p>
        </w:tc>
        <w:tc>
          <w:tcPr>
            <w:tcW w:w="2070" w:type="dxa"/>
            <w:tcBorders>
              <w:top w:val="nil"/>
              <w:left w:val="nil"/>
              <w:bottom w:val="nil"/>
              <w:right w:val="nil"/>
            </w:tcBorders>
            <w:shd w:val="clear" w:color="auto" w:fill="auto"/>
            <w:noWrap/>
            <w:vAlign w:val="center"/>
            <w:hideMark/>
          </w:tcPr>
          <w:p w14:paraId="18E1D64E" w14:textId="77777777" w:rsidR="00C9738B" w:rsidRPr="00FF3EF7" w:rsidRDefault="00C9738B" w:rsidP="00C9738B">
            <w:pPr>
              <w:spacing w:after="0" w:line="240" w:lineRule="auto"/>
              <w:jc w:val="center"/>
              <w:rPr>
                <w:color w:val="000000"/>
                <w:sz w:val="20"/>
              </w:rPr>
            </w:pPr>
            <w:r w:rsidRPr="00FF3EF7">
              <w:rPr>
                <w:color w:val="000000"/>
                <w:sz w:val="20"/>
              </w:rPr>
              <w:t>0.81 (0.75-0.88)</w:t>
            </w:r>
          </w:p>
        </w:tc>
        <w:tc>
          <w:tcPr>
            <w:tcW w:w="2250" w:type="dxa"/>
            <w:tcBorders>
              <w:top w:val="nil"/>
              <w:left w:val="nil"/>
              <w:bottom w:val="nil"/>
              <w:right w:val="nil"/>
            </w:tcBorders>
            <w:shd w:val="clear" w:color="auto" w:fill="auto"/>
            <w:noWrap/>
            <w:vAlign w:val="center"/>
            <w:hideMark/>
          </w:tcPr>
          <w:p w14:paraId="2AE73123" w14:textId="77777777" w:rsidR="00C9738B" w:rsidRPr="00FF3EF7" w:rsidRDefault="00C9738B" w:rsidP="00C9738B">
            <w:pPr>
              <w:spacing w:after="0" w:line="240" w:lineRule="auto"/>
              <w:jc w:val="center"/>
              <w:rPr>
                <w:color w:val="000000"/>
                <w:sz w:val="20"/>
              </w:rPr>
            </w:pPr>
            <w:r w:rsidRPr="00FF3EF7">
              <w:rPr>
                <w:color w:val="000000"/>
                <w:sz w:val="20"/>
              </w:rPr>
              <w:t>0.95 (0.95-1.07)</w:t>
            </w:r>
          </w:p>
        </w:tc>
      </w:tr>
      <w:tr w:rsidR="00C9738B" w:rsidRPr="00F66DCB" w14:paraId="307E3D25"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0CDB6F03" w14:textId="77777777" w:rsidR="00C9738B" w:rsidRPr="0093649A" w:rsidRDefault="00C9738B" w:rsidP="00C9738B">
            <w:pPr>
              <w:spacing w:after="0" w:line="240" w:lineRule="auto"/>
              <w:rPr>
                <w:color w:val="000000"/>
                <w:sz w:val="20"/>
              </w:rPr>
            </w:pPr>
            <w:r w:rsidRPr="0093649A">
              <w:rPr>
                <w:color w:val="000000"/>
                <w:sz w:val="20"/>
              </w:rPr>
              <w:t>Hispanic</w:t>
            </w:r>
          </w:p>
        </w:tc>
        <w:tc>
          <w:tcPr>
            <w:tcW w:w="1530" w:type="dxa"/>
            <w:tcBorders>
              <w:top w:val="nil"/>
              <w:left w:val="nil"/>
              <w:bottom w:val="nil"/>
              <w:right w:val="nil"/>
            </w:tcBorders>
            <w:shd w:val="clear" w:color="auto" w:fill="auto"/>
            <w:noWrap/>
            <w:vAlign w:val="center"/>
            <w:hideMark/>
          </w:tcPr>
          <w:p w14:paraId="593E8EB2" w14:textId="77777777" w:rsidR="00C9738B" w:rsidRPr="00FF3EF7" w:rsidRDefault="00C9738B" w:rsidP="00C9738B">
            <w:pPr>
              <w:spacing w:after="0" w:line="240" w:lineRule="auto"/>
              <w:jc w:val="center"/>
              <w:rPr>
                <w:color w:val="000000"/>
                <w:sz w:val="20"/>
              </w:rPr>
            </w:pPr>
            <w:r w:rsidRPr="00FF3EF7">
              <w:rPr>
                <w:color w:val="000000"/>
                <w:sz w:val="20"/>
              </w:rPr>
              <w:t>393/1374</w:t>
            </w:r>
          </w:p>
        </w:tc>
        <w:tc>
          <w:tcPr>
            <w:tcW w:w="1350" w:type="dxa"/>
            <w:tcBorders>
              <w:top w:val="nil"/>
              <w:left w:val="nil"/>
              <w:bottom w:val="nil"/>
              <w:right w:val="single" w:sz="4" w:space="0" w:color="auto"/>
            </w:tcBorders>
            <w:shd w:val="clear" w:color="auto" w:fill="auto"/>
            <w:noWrap/>
            <w:vAlign w:val="center"/>
            <w:hideMark/>
          </w:tcPr>
          <w:p w14:paraId="4FF533DF" w14:textId="77777777" w:rsidR="00C9738B" w:rsidRPr="00FF3EF7" w:rsidRDefault="00C9738B" w:rsidP="00C9738B">
            <w:pPr>
              <w:spacing w:after="0" w:line="240" w:lineRule="auto"/>
              <w:jc w:val="center"/>
              <w:rPr>
                <w:color w:val="000000"/>
                <w:sz w:val="20"/>
              </w:rPr>
            </w:pPr>
            <w:r w:rsidRPr="00FF3EF7">
              <w:rPr>
                <w:color w:val="000000"/>
                <w:sz w:val="20"/>
              </w:rPr>
              <w:t>28.6</w:t>
            </w:r>
          </w:p>
        </w:tc>
        <w:tc>
          <w:tcPr>
            <w:tcW w:w="2340" w:type="dxa"/>
            <w:tcBorders>
              <w:top w:val="nil"/>
              <w:left w:val="single" w:sz="4" w:space="0" w:color="auto"/>
              <w:bottom w:val="nil"/>
              <w:right w:val="nil"/>
            </w:tcBorders>
            <w:shd w:val="clear" w:color="auto" w:fill="auto"/>
            <w:noWrap/>
            <w:vAlign w:val="center"/>
            <w:hideMark/>
          </w:tcPr>
          <w:p w14:paraId="0CD3CE2D" w14:textId="77777777" w:rsidR="00C9738B" w:rsidRPr="00FF3EF7" w:rsidRDefault="00C9738B" w:rsidP="00C9738B">
            <w:pPr>
              <w:spacing w:after="0" w:line="240" w:lineRule="auto"/>
              <w:jc w:val="center"/>
              <w:rPr>
                <w:color w:val="000000"/>
                <w:sz w:val="20"/>
              </w:rPr>
            </w:pPr>
            <w:r w:rsidRPr="00FF3EF7">
              <w:rPr>
                <w:color w:val="000000"/>
                <w:sz w:val="20"/>
              </w:rPr>
              <w:t>0.88 (0.82-0.94)</w:t>
            </w:r>
          </w:p>
        </w:tc>
        <w:tc>
          <w:tcPr>
            <w:tcW w:w="2070" w:type="dxa"/>
            <w:tcBorders>
              <w:top w:val="nil"/>
              <w:left w:val="nil"/>
              <w:bottom w:val="nil"/>
              <w:right w:val="nil"/>
            </w:tcBorders>
            <w:shd w:val="clear" w:color="auto" w:fill="auto"/>
            <w:noWrap/>
            <w:vAlign w:val="center"/>
            <w:hideMark/>
          </w:tcPr>
          <w:p w14:paraId="349957DC" w14:textId="77777777" w:rsidR="00C9738B" w:rsidRPr="00FF3EF7" w:rsidRDefault="00C9738B" w:rsidP="00C9738B">
            <w:pPr>
              <w:spacing w:after="0" w:line="240" w:lineRule="auto"/>
              <w:jc w:val="center"/>
              <w:rPr>
                <w:color w:val="000000"/>
                <w:sz w:val="20"/>
              </w:rPr>
            </w:pPr>
            <w:r w:rsidRPr="00FF3EF7">
              <w:rPr>
                <w:color w:val="000000"/>
                <w:sz w:val="20"/>
              </w:rPr>
              <w:t>0.86 (0.79-0.93)</w:t>
            </w:r>
          </w:p>
        </w:tc>
        <w:tc>
          <w:tcPr>
            <w:tcW w:w="2250" w:type="dxa"/>
            <w:tcBorders>
              <w:top w:val="nil"/>
              <w:left w:val="nil"/>
              <w:bottom w:val="nil"/>
              <w:right w:val="nil"/>
            </w:tcBorders>
            <w:shd w:val="clear" w:color="auto" w:fill="auto"/>
            <w:noWrap/>
            <w:vAlign w:val="center"/>
            <w:hideMark/>
          </w:tcPr>
          <w:p w14:paraId="79CC5FA5" w14:textId="77777777" w:rsidR="00C9738B" w:rsidRPr="00FF3EF7" w:rsidRDefault="00C9738B" w:rsidP="00C9738B">
            <w:pPr>
              <w:spacing w:after="0" w:line="240" w:lineRule="auto"/>
              <w:jc w:val="center"/>
              <w:rPr>
                <w:color w:val="000000"/>
                <w:sz w:val="20"/>
              </w:rPr>
            </w:pPr>
            <w:r w:rsidRPr="00FF3EF7">
              <w:rPr>
                <w:color w:val="000000"/>
                <w:sz w:val="20"/>
              </w:rPr>
              <w:t>0.89 (0.80-0.99)</w:t>
            </w:r>
          </w:p>
        </w:tc>
      </w:tr>
      <w:tr w:rsidR="00C9738B" w:rsidRPr="00F66DCB" w14:paraId="4292C56D" w14:textId="77777777" w:rsidTr="00DA2DA0">
        <w:trPr>
          <w:trHeight w:val="20"/>
        </w:trPr>
        <w:tc>
          <w:tcPr>
            <w:tcW w:w="3325" w:type="dxa"/>
            <w:tcBorders>
              <w:top w:val="nil"/>
              <w:left w:val="nil"/>
              <w:bottom w:val="nil"/>
              <w:right w:val="nil"/>
            </w:tcBorders>
            <w:shd w:val="clear" w:color="auto" w:fill="auto"/>
            <w:noWrap/>
            <w:tcMar>
              <w:left w:w="216" w:type="dxa"/>
              <w:right w:w="115" w:type="dxa"/>
            </w:tcMar>
            <w:vAlign w:val="center"/>
            <w:hideMark/>
          </w:tcPr>
          <w:p w14:paraId="75FC862F" w14:textId="77777777" w:rsidR="00C9738B" w:rsidRPr="0093649A" w:rsidRDefault="00C9738B" w:rsidP="00C9738B">
            <w:pPr>
              <w:spacing w:after="0" w:line="240" w:lineRule="auto"/>
              <w:rPr>
                <w:color w:val="000000"/>
                <w:sz w:val="20"/>
              </w:rPr>
            </w:pPr>
            <w:r w:rsidRPr="0093649A">
              <w:rPr>
                <w:color w:val="000000"/>
                <w:sz w:val="20"/>
              </w:rPr>
              <w:t>Other</w:t>
            </w:r>
          </w:p>
        </w:tc>
        <w:tc>
          <w:tcPr>
            <w:tcW w:w="1530" w:type="dxa"/>
            <w:tcBorders>
              <w:top w:val="nil"/>
              <w:left w:val="nil"/>
              <w:bottom w:val="nil"/>
              <w:right w:val="nil"/>
            </w:tcBorders>
            <w:shd w:val="clear" w:color="auto" w:fill="auto"/>
            <w:noWrap/>
            <w:vAlign w:val="center"/>
            <w:hideMark/>
          </w:tcPr>
          <w:p w14:paraId="73B4BFCB" w14:textId="77777777" w:rsidR="00C9738B" w:rsidRPr="00FF3EF7" w:rsidRDefault="00C9738B" w:rsidP="00C9738B">
            <w:pPr>
              <w:spacing w:after="0" w:line="240" w:lineRule="auto"/>
              <w:jc w:val="center"/>
              <w:rPr>
                <w:color w:val="000000"/>
                <w:sz w:val="20"/>
              </w:rPr>
            </w:pPr>
            <w:r w:rsidRPr="00FF3EF7">
              <w:rPr>
                <w:color w:val="000000"/>
                <w:sz w:val="20"/>
              </w:rPr>
              <w:t>305/1176</w:t>
            </w:r>
          </w:p>
        </w:tc>
        <w:tc>
          <w:tcPr>
            <w:tcW w:w="1350" w:type="dxa"/>
            <w:tcBorders>
              <w:top w:val="nil"/>
              <w:left w:val="nil"/>
              <w:bottom w:val="nil"/>
              <w:right w:val="single" w:sz="4" w:space="0" w:color="auto"/>
            </w:tcBorders>
            <w:shd w:val="clear" w:color="auto" w:fill="auto"/>
            <w:noWrap/>
            <w:vAlign w:val="center"/>
            <w:hideMark/>
          </w:tcPr>
          <w:p w14:paraId="782EBF5C" w14:textId="77777777" w:rsidR="00C9738B" w:rsidRPr="00FF3EF7" w:rsidRDefault="00C9738B" w:rsidP="00C9738B">
            <w:pPr>
              <w:spacing w:after="0" w:line="240" w:lineRule="auto"/>
              <w:jc w:val="center"/>
              <w:rPr>
                <w:color w:val="000000"/>
                <w:sz w:val="20"/>
              </w:rPr>
            </w:pPr>
            <w:r w:rsidRPr="00FF3EF7">
              <w:rPr>
                <w:color w:val="000000"/>
                <w:sz w:val="20"/>
              </w:rPr>
              <w:t>25.9</w:t>
            </w:r>
          </w:p>
        </w:tc>
        <w:tc>
          <w:tcPr>
            <w:tcW w:w="2340" w:type="dxa"/>
            <w:tcBorders>
              <w:top w:val="nil"/>
              <w:left w:val="single" w:sz="4" w:space="0" w:color="auto"/>
              <w:bottom w:val="nil"/>
              <w:right w:val="nil"/>
            </w:tcBorders>
            <w:shd w:val="clear" w:color="auto" w:fill="auto"/>
            <w:noWrap/>
            <w:vAlign w:val="center"/>
            <w:hideMark/>
          </w:tcPr>
          <w:p w14:paraId="34702CED" w14:textId="77777777" w:rsidR="00C9738B" w:rsidRPr="00FF3EF7" w:rsidRDefault="00C9738B" w:rsidP="00C9738B">
            <w:pPr>
              <w:spacing w:after="0" w:line="240" w:lineRule="auto"/>
              <w:jc w:val="center"/>
              <w:rPr>
                <w:color w:val="000000"/>
                <w:sz w:val="20"/>
              </w:rPr>
            </w:pPr>
            <w:r w:rsidRPr="00FF3EF7">
              <w:rPr>
                <w:color w:val="000000"/>
                <w:sz w:val="20"/>
              </w:rPr>
              <w:t>0.85 (0.79-0.92)</w:t>
            </w:r>
          </w:p>
        </w:tc>
        <w:tc>
          <w:tcPr>
            <w:tcW w:w="2070" w:type="dxa"/>
            <w:tcBorders>
              <w:top w:val="nil"/>
              <w:left w:val="nil"/>
              <w:bottom w:val="nil"/>
              <w:right w:val="nil"/>
            </w:tcBorders>
            <w:shd w:val="clear" w:color="auto" w:fill="auto"/>
            <w:noWrap/>
            <w:vAlign w:val="center"/>
            <w:hideMark/>
          </w:tcPr>
          <w:p w14:paraId="4E78475B" w14:textId="77777777" w:rsidR="00C9738B" w:rsidRPr="00FF3EF7" w:rsidRDefault="00C9738B" w:rsidP="00C9738B">
            <w:pPr>
              <w:spacing w:after="0" w:line="240" w:lineRule="auto"/>
              <w:jc w:val="center"/>
              <w:rPr>
                <w:color w:val="000000"/>
                <w:sz w:val="20"/>
              </w:rPr>
            </w:pPr>
            <w:r w:rsidRPr="00FF3EF7">
              <w:rPr>
                <w:color w:val="000000"/>
                <w:sz w:val="20"/>
              </w:rPr>
              <w:t>0.85 (0.78-0.93)</w:t>
            </w:r>
          </w:p>
        </w:tc>
        <w:tc>
          <w:tcPr>
            <w:tcW w:w="2250" w:type="dxa"/>
            <w:tcBorders>
              <w:top w:val="nil"/>
              <w:left w:val="nil"/>
              <w:bottom w:val="nil"/>
              <w:right w:val="nil"/>
            </w:tcBorders>
            <w:shd w:val="clear" w:color="auto" w:fill="auto"/>
            <w:noWrap/>
            <w:vAlign w:val="center"/>
            <w:hideMark/>
          </w:tcPr>
          <w:p w14:paraId="77563DEE" w14:textId="77777777" w:rsidR="00C9738B" w:rsidRPr="00FF3EF7" w:rsidRDefault="00C9738B" w:rsidP="00C9738B">
            <w:pPr>
              <w:spacing w:after="0" w:line="240" w:lineRule="auto"/>
              <w:jc w:val="center"/>
              <w:rPr>
                <w:color w:val="000000"/>
                <w:sz w:val="20"/>
              </w:rPr>
            </w:pPr>
            <w:r w:rsidRPr="00FF3EF7">
              <w:rPr>
                <w:color w:val="000000"/>
                <w:sz w:val="20"/>
              </w:rPr>
              <w:t>0.83 (0.73-0.96)</w:t>
            </w:r>
          </w:p>
        </w:tc>
      </w:tr>
      <w:tr w:rsidR="00C9738B" w:rsidRPr="00F66DCB" w14:paraId="73BF691D" w14:textId="77777777" w:rsidTr="00DA2DA0">
        <w:trPr>
          <w:trHeight w:val="20"/>
        </w:trPr>
        <w:tc>
          <w:tcPr>
            <w:tcW w:w="3325" w:type="dxa"/>
            <w:tcBorders>
              <w:top w:val="nil"/>
              <w:left w:val="nil"/>
              <w:bottom w:val="nil"/>
              <w:right w:val="nil"/>
            </w:tcBorders>
            <w:shd w:val="clear" w:color="auto" w:fill="auto"/>
            <w:noWrap/>
            <w:vAlign w:val="center"/>
            <w:hideMark/>
          </w:tcPr>
          <w:p w14:paraId="13ACCB14" w14:textId="77777777" w:rsidR="00C9738B" w:rsidRPr="0093649A" w:rsidRDefault="00C9738B" w:rsidP="00C9738B">
            <w:pPr>
              <w:spacing w:after="0" w:line="240" w:lineRule="auto"/>
              <w:rPr>
                <w:color w:val="000000"/>
                <w:sz w:val="20"/>
              </w:rPr>
            </w:pPr>
            <w:r w:rsidRPr="0093649A">
              <w:rPr>
                <w:color w:val="000000"/>
                <w:sz w:val="20"/>
              </w:rPr>
              <w:t>Hospice Admission Setting</w:t>
            </w:r>
          </w:p>
        </w:tc>
        <w:tc>
          <w:tcPr>
            <w:tcW w:w="1530" w:type="dxa"/>
            <w:tcBorders>
              <w:top w:val="nil"/>
              <w:left w:val="nil"/>
              <w:bottom w:val="nil"/>
              <w:right w:val="nil"/>
            </w:tcBorders>
            <w:shd w:val="clear" w:color="auto" w:fill="auto"/>
            <w:noWrap/>
            <w:vAlign w:val="center"/>
            <w:hideMark/>
          </w:tcPr>
          <w:p w14:paraId="66F787FE" w14:textId="77777777" w:rsidR="00C9738B" w:rsidRPr="00FF3EF7" w:rsidRDefault="00C9738B" w:rsidP="00C9738B">
            <w:pPr>
              <w:spacing w:after="0" w:line="240" w:lineRule="auto"/>
              <w:rPr>
                <w:color w:val="000000"/>
                <w:sz w:val="20"/>
              </w:rPr>
            </w:pPr>
          </w:p>
        </w:tc>
        <w:tc>
          <w:tcPr>
            <w:tcW w:w="1350" w:type="dxa"/>
            <w:tcBorders>
              <w:top w:val="nil"/>
              <w:left w:val="nil"/>
              <w:bottom w:val="nil"/>
              <w:right w:val="single" w:sz="4" w:space="0" w:color="auto"/>
            </w:tcBorders>
            <w:shd w:val="clear" w:color="auto" w:fill="auto"/>
            <w:noWrap/>
            <w:vAlign w:val="center"/>
            <w:hideMark/>
          </w:tcPr>
          <w:p w14:paraId="41291149" w14:textId="77777777" w:rsidR="00C9738B" w:rsidRPr="00FF3EF7" w:rsidRDefault="00C9738B" w:rsidP="00C9738B">
            <w:pPr>
              <w:spacing w:after="0" w:line="240" w:lineRule="auto"/>
              <w:jc w:val="center"/>
              <w:rPr>
                <w:sz w:val="20"/>
              </w:rPr>
            </w:pPr>
          </w:p>
        </w:tc>
        <w:tc>
          <w:tcPr>
            <w:tcW w:w="2340" w:type="dxa"/>
            <w:tcBorders>
              <w:top w:val="nil"/>
              <w:left w:val="single" w:sz="4" w:space="0" w:color="auto"/>
              <w:bottom w:val="nil"/>
              <w:right w:val="nil"/>
            </w:tcBorders>
            <w:shd w:val="clear" w:color="auto" w:fill="auto"/>
            <w:noWrap/>
            <w:vAlign w:val="center"/>
            <w:hideMark/>
          </w:tcPr>
          <w:p w14:paraId="5F88FA94" w14:textId="77777777" w:rsidR="00C9738B" w:rsidRPr="00FF3EF7" w:rsidRDefault="00C9738B" w:rsidP="00C9738B">
            <w:pPr>
              <w:spacing w:after="0" w:line="240" w:lineRule="auto"/>
              <w:jc w:val="center"/>
              <w:rPr>
                <w:sz w:val="20"/>
              </w:rPr>
            </w:pPr>
          </w:p>
        </w:tc>
        <w:tc>
          <w:tcPr>
            <w:tcW w:w="2070" w:type="dxa"/>
            <w:tcBorders>
              <w:top w:val="nil"/>
              <w:left w:val="nil"/>
              <w:bottom w:val="nil"/>
              <w:right w:val="nil"/>
            </w:tcBorders>
            <w:shd w:val="clear" w:color="auto" w:fill="auto"/>
            <w:noWrap/>
            <w:vAlign w:val="center"/>
            <w:hideMark/>
          </w:tcPr>
          <w:p w14:paraId="2501F089" w14:textId="77777777" w:rsidR="00C9738B" w:rsidRPr="00FF3EF7" w:rsidRDefault="00C9738B" w:rsidP="00C9738B">
            <w:pPr>
              <w:spacing w:after="0" w:line="240" w:lineRule="auto"/>
              <w:jc w:val="center"/>
              <w:rPr>
                <w:sz w:val="20"/>
              </w:rPr>
            </w:pPr>
          </w:p>
        </w:tc>
        <w:tc>
          <w:tcPr>
            <w:tcW w:w="2250" w:type="dxa"/>
            <w:tcBorders>
              <w:top w:val="nil"/>
              <w:left w:val="nil"/>
              <w:bottom w:val="nil"/>
              <w:right w:val="nil"/>
            </w:tcBorders>
            <w:shd w:val="clear" w:color="auto" w:fill="auto"/>
            <w:noWrap/>
            <w:vAlign w:val="center"/>
            <w:hideMark/>
          </w:tcPr>
          <w:p w14:paraId="56757968" w14:textId="77777777" w:rsidR="00C9738B" w:rsidRPr="00FF3EF7" w:rsidRDefault="00C9738B" w:rsidP="00C9738B">
            <w:pPr>
              <w:spacing w:after="0" w:line="240" w:lineRule="auto"/>
              <w:jc w:val="center"/>
              <w:rPr>
                <w:sz w:val="20"/>
              </w:rPr>
            </w:pPr>
          </w:p>
        </w:tc>
      </w:tr>
      <w:tr w:rsidR="00C9738B" w:rsidRPr="00F66DCB" w14:paraId="57A98CA6"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113071AD" w14:textId="77777777" w:rsidR="00C9738B" w:rsidRPr="0093649A" w:rsidRDefault="00C9738B" w:rsidP="00C9738B">
            <w:pPr>
              <w:spacing w:after="0" w:line="240" w:lineRule="auto"/>
              <w:rPr>
                <w:color w:val="000000"/>
                <w:sz w:val="20"/>
              </w:rPr>
            </w:pPr>
            <w:r>
              <w:rPr>
                <w:color w:val="000000"/>
                <w:sz w:val="20"/>
              </w:rPr>
              <w:t>Private Home</w:t>
            </w:r>
          </w:p>
        </w:tc>
        <w:tc>
          <w:tcPr>
            <w:tcW w:w="1530" w:type="dxa"/>
            <w:tcBorders>
              <w:top w:val="nil"/>
              <w:left w:val="nil"/>
              <w:bottom w:val="nil"/>
              <w:right w:val="nil"/>
            </w:tcBorders>
            <w:shd w:val="clear" w:color="auto" w:fill="auto"/>
            <w:noWrap/>
            <w:vAlign w:val="center"/>
            <w:hideMark/>
          </w:tcPr>
          <w:p w14:paraId="0A85C24F" w14:textId="77777777" w:rsidR="00C9738B" w:rsidRPr="00FF3EF7" w:rsidRDefault="00C9738B" w:rsidP="00C9738B">
            <w:pPr>
              <w:spacing w:after="0" w:line="240" w:lineRule="auto"/>
              <w:jc w:val="center"/>
              <w:rPr>
                <w:color w:val="000000"/>
                <w:sz w:val="20"/>
              </w:rPr>
            </w:pPr>
            <w:r w:rsidRPr="00FF3EF7">
              <w:rPr>
                <w:color w:val="000000"/>
                <w:sz w:val="20"/>
              </w:rPr>
              <w:t>12,992/40,241</w:t>
            </w:r>
          </w:p>
        </w:tc>
        <w:tc>
          <w:tcPr>
            <w:tcW w:w="1350" w:type="dxa"/>
            <w:tcBorders>
              <w:top w:val="nil"/>
              <w:left w:val="nil"/>
              <w:bottom w:val="nil"/>
              <w:right w:val="single" w:sz="4" w:space="0" w:color="auto"/>
            </w:tcBorders>
            <w:shd w:val="clear" w:color="auto" w:fill="auto"/>
            <w:noWrap/>
            <w:vAlign w:val="center"/>
            <w:hideMark/>
          </w:tcPr>
          <w:p w14:paraId="487BF69D" w14:textId="77777777" w:rsidR="00C9738B" w:rsidRPr="00FF3EF7" w:rsidRDefault="00C9738B" w:rsidP="00C9738B">
            <w:pPr>
              <w:spacing w:after="0" w:line="240" w:lineRule="auto"/>
              <w:jc w:val="center"/>
              <w:rPr>
                <w:color w:val="000000"/>
                <w:sz w:val="20"/>
              </w:rPr>
            </w:pPr>
            <w:r w:rsidRPr="00FF3EF7">
              <w:rPr>
                <w:color w:val="000000"/>
                <w:sz w:val="20"/>
              </w:rPr>
              <w:t>32.3</w:t>
            </w:r>
          </w:p>
        </w:tc>
        <w:tc>
          <w:tcPr>
            <w:tcW w:w="2340" w:type="dxa"/>
            <w:tcBorders>
              <w:top w:val="nil"/>
              <w:left w:val="single" w:sz="4" w:space="0" w:color="auto"/>
              <w:bottom w:val="nil"/>
              <w:right w:val="nil"/>
            </w:tcBorders>
            <w:shd w:val="clear" w:color="auto" w:fill="auto"/>
            <w:noWrap/>
            <w:vAlign w:val="center"/>
            <w:hideMark/>
          </w:tcPr>
          <w:p w14:paraId="56B0BB6D"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e</w:t>
            </w:r>
          </w:p>
        </w:tc>
        <w:tc>
          <w:tcPr>
            <w:tcW w:w="2070" w:type="dxa"/>
            <w:tcBorders>
              <w:top w:val="nil"/>
              <w:left w:val="nil"/>
              <w:bottom w:val="nil"/>
              <w:right w:val="nil"/>
            </w:tcBorders>
            <w:shd w:val="clear" w:color="auto" w:fill="auto"/>
            <w:noWrap/>
            <w:vAlign w:val="center"/>
            <w:hideMark/>
          </w:tcPr>
          <w:p w14:paraId="55132EFF"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e</w:t>
            </w:r>
          </w:p>
        </w:tc>
        <w:tc>
          <w:tcPr>
            <w:tcW w:w="2250" w:type="dxa"/>
            <w:tcBorders>
              <w:top w:val="nil"/>
              <w:left w:val="nil"/>
              <w:bottom w:val="nil"/>
              <w:right w:val="nil"/>
            </w:tcBorders>
            <w:shd w:val="clear" w:color="auto" w:fill="auto"/>
            <w:noWrap/>
            <w:vAlign w:val="center"/>
            <w:hideMark/>
          </w:tcPr>
          <w:p w14:paraId="5BFEC3C7"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e</w:t>
            </w:r>
          </w:p>
        </w:tc>
      </w:tr>
      <w:tr w:rsidR="00C9738B" w:rsidRPr="00F66DCB" w14:paraId="1A16366F"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1E85909A" w14:textId="77777777" w:rsidR="00C9738B" w:rsidRPr="0093649A" w:rsidRDefault="00C9738B" w:rsidP="00C9738B">
            <w:pPr>
              <w:spacing w:after="0" w:line="240" w:lineRule="auto"/>
              <w:rPr>
                <w:color w:val="000000"/>
                <w:sz w:val="20"/>
              </w:rPr>
            </w:pPr>
            <w:r w:rsidRPr="0093649A">
              <w:rPr>
                <w:color w:val="000000"/>
                <w:sz w:val="20"/>
              </w:rPr>
              <w:t>Assisted Living Facility</w:t>
            </w:r>
          </w:p>
        </w:tc>
        <w:tc>
          <w:tcPr>
            <w:tcW w:w="1530" w:type="dxa"/>
            <w:tcBorders>
              <w:top w:val="nil"/>
              <w:left w:val="nil"/>
              <w:bottom w:val="nil"/>
              <w:right w:val="nil"/>
            </w:tcBorders>
            <w:shd w:val="clear" w:color="auto" w:fill="auto"/>
            <w:noWrap/>
            <w:vAlign w:val="center"/>
            <w:hideMark/>
          </w:tcPr>
          <w:p w14:paraId="050924B0" w14:textId="77777777" w:rsidR="00C9738B" w:rsidRPr="00FF3EF7" w:rsidRDefault="00C9738B" w:rsidP="00C9738B">
            <w:pPr>
              <w:spacing w:after="0" w:line="240" w:lineRule="auto"/>
              <w:jc w:val="center"/>
              <w:rPr>
                <w:color w:val="000000"/>
                <w:sz w:val="20"/>
              </w:rPr>
            </w:pPr>
            <w:r w:rsidRPr="00FF3EF7">
              <w:rPr>
                <w:color w:val="000000"/>
                <w:sz w:val="20"/>
              </w:rPr>
              <w:t>1496/3103</w:t>
            </w:r>
          </w:p>
        </w:tc>
        <w:tc>
          <w:tcPr>
            <w:tcW w:w="1350" w:type="dxa"/>
            <w:tcBorders>
              <w:top w:val="nil"/>
              <w:left w:val="nil"/>
              <w:bottom w:val="nil"/>
              <w:right w:val="single" w:sz="4" w:space="0" w:color="auto"/>
            </w:tcBorders>
            <w:shd w:val="clear" w:color="auto" w:fill="auto"/>
            <w:noWrap/>
            <w:vAlign w:val="center"/>
            <w:hideMark/>
          </w:tcPr>
          <w:p w14:paraId="4AD12504" w14:textId="77777777" w:rsidR="00C9738B" w:rsidRPr="00FF3EF7" w:rsidRDefault="00C9738B" w:rsidP="00C9738B">
            <w:pPr>
              <w:spacing w:after="0" w:line="240" w:lineRule="auto"/>
              <w:jc w:val="center"/>
              <w:rPr>
                <w:color w:val="000000"/>
                <w:sz w:val="20"/>
              </w:rPr>
            </w:pPr>
            <w:r w:rsidRPr="00FF3EF7">
              <w:rPr>
                <w:color w:val="000000"/>
                <w:sz w:val="20"/>
              </w:rPr>
              <w:t>48.2</w:t>
            </w:r>
          </w:p>
        </w:tc>
        <w:tc>
          <w:tcPr>
            <w:tcW w:w="2340" w:type="dxa"/>
            <w:tcBorders>
              <w:top w:val="nil"/>
              <w:left w:val="single" w:sz="4" w:space="0" w:color="auto"/>
              <w:bottom w:val="nil"/>
              <w:right w:val="nil"/>
            </w:tcBorders>
            <w:shd w:val="clear" w:color="auto" w:fill="auto"/>
            <w:noWrap/>
            <w:vAlign w:val="center"/>
            <w:hideMark/>
          </w:tcPr>
          <w:p w14:paraId="5485E351" w14:textId="77777777" w:rsidR="00C9738B" w:rsidRPr="00FF3EF7" w:rsidRDefault="00C9738B" w:rsidP="00C9738B">
            <w:pPr>
              <w:spacing w:after="0" w:line="240" w:lineRule="auto"/>
              <w:jc w:val="center"/>
              <w:rPr>
                <w:color w:val="000000"/>
                <w:sz w:val="20"/>
              </w:rPr>
            </w:pPr>
            <w:r w:rsidRPr="00FF3EF7">
              <w:rPr>
                <w:color w:val="000000"/>
                <w:sz w:val="20"/>
              </w:rPr>
              <w:t>1.28 (1.24-1.32)</w:t>
            </w:r>
          </w:p>
        </w:tc>
        <w:tc>
          <w:tcPr>
            <w:tcW w:w="2070" w:type="dxa"/>
            <w:tcBorders>
              <w:top w:val="nil"/>
              <w:left w:val="nil"/>
              <w:bottom w:val="nil"/>
              <w:right w:val="nil"/>
            </w:tcBorders>
            <w:shd w:val="clear" w:color="auto" w:fill="auto"/>
            <w:noWrap/>
            <w:vAlign w:val="center"/>
            <w:hideMark/>
          </w:tcPr>
          <w:p w14:paraId="2F6E849A" w14:textId="77777777" w:rsidR="00C9738B" w:rsidRPr="00FF3EF7" w:rsidRDefault="00C9738B" w:rsidP="00C9738B">
            <w:pPr>
              <w:spacing w:after="0" w:line="240" w:lineRule="auto"/>
              <w:jc w:val="center"/>
              <w:rPr>
                <w:color w:val="000000"/>
                <w:sz w:val="20"/>
              </w:rPr>
            </w:pPr>
            <w:r w:rsidRPr="00FF3EF7">
              <w:rPr>
                <w:color w:val="000000"/>
                <w:sz w:val="20"/>
              </w:rPr>
              <w:t>1.24 (1.18-1.30)</w:t>
            </w:r>
          </w:p>
        </w:tc>
        <w:tc>
          <w:tcPr>
            <w:tcW w:w="2250" w:type="dxa"/>
            <w:tcBorders>
              <w:top w:val="nil"/>
              <w:left w:val="nil"/>
              <w:bottom w:val="nil"/>
              <w:right w:val="nil"/>
            </w:tcBorders>
            <w:shd w:val="clear" w:color="auto" w:fill="auto"/>
            <w:noWrap/>
            <w:vAlign w:val="center"/>
            <w:hideMark/>
          </w:tcPr>
          <w:p w14:paraId="3DE1CA2F" w14:textId="77777777" w:rsidR="00C9738B" w:rsidRPr="00FF3EF7" w:rsidRDefault="00C9738B" w:rsidP="00C9738B">
            <w:pPr>
              <w:spacing w:after="0" w:line="240" w:lineRule="auto"/>
              <w:jc w:val="center"/>
              <w:rPr>
                <w:color w:val="000000"/>
                <w:sz w:val="20"/>
              </w:rPr>
            </w:pPr>
            <w:r w:rsidRPr="00FF3EF7">
              <w:rPr>
                <w:color w:val="000000"/>
                <w:sz w:val="20"/>
              </w:rPr>
              <w:t>1.28 (1.22-1.34)</w:t>
            </w:r>
          </w:p>
        </w:tc>
      </w:tr>
      <w:tr w:rsidR="00C9738B" w:rsidRPr="00F66DCB" w14:paraId="4B335942"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6132ED21" w14:textId="77777777" w:rsidR="00C9738B" w:rsidRPr="0093649A" w:rsidRDefault="00C9738B" w:rsidP="00C9738B">
            <w:pPr>
              <w:spacing w:after="0" w:line="240" w:lineRule="auto"/>
              <w:rPr>
                <w:color w:val="000000"/>
                <w:sz w:val="20"/>
              </w:rPr>
            </w:pPr>
            <w:r w:rsidRPr="0093649A">
              <w:rPr>
                <w:color w:val="000000"/>
                <w:sz w:val="20"/>
              </w:rPr>
              <w:t>Non-Skilled Nursing Facility</w:t>
            </w:r>
          </w:p>
        </w:tc>
        <w:tc>
          <w:tcPr>
            <w:tcW w:w="1530" w:type="dxa"/>
            <w:tcBorders>
              <w:top w:val="nil"/>
              <w:left w:val="nil"/>
              <w:bottom w:val="nil"/>
              <w:right w:val="nil"/>
            </w:tcBorders>
            <w:shd w:val="clear" w:color="auto" w:fill="auto"/>
            <w:noWrap/>
            <w:vAlign w:val="center"/>
            <w:hideMark/>
          </w:tcPr>
          <w:p w14:paraId="79BFFCA7" w14:textId="77777777" w:rsidR="00C9738B" w:rsidRPr="00FF3EF7" w:rsidRDefault="00C9738B" w:rsidP="00C9738B">
            <w:pPr>
              <w:spacing w:after="0" w:line="240" w:lineRule="auto"/>
              <w:jc w:val="center"/>
              <w:rPr>
                <w:color w:val="000000"/>
                <w:sz w:val="20"/>
              </w:rPr>
            </w:pPr>
            <w:r w:rsidRPr="00FF3EF7">
              <w:rPr>
                <w:color w:val="000000"/>
                <w:sz w:val="20"/>
              </w:rPr>
              <w:t>3812/8601</w:t>
            </w:r>
          </w:p>
        </w:tc>
        <w:tc>
          <w:tcPr>
            <w:tcW w:w="1350" w:type="dxa"/>
            <w:tcBorders>
              <w:top w:val="nil"/>
              <w:left w:val="nil"/>
              <w:bottom w:val="nil"/>
              <w:right w:val="single" w:sz="4" w:space="0" w:color="auto"/>
            </w:tcBorders>
            <w:shd w:val="clear" w:color="auto" w:fill="auto"/>
            <w:noWrap/>
            <w:vAlign w:val="center"/>
            <w:hideMark/>
          </w:tcPr>
          <w:p w14:paraId="554C8190" w14:textId="77777777" w:rsidR="00C9738B" w:rsidRPr="00FF3EF7" w:rsidRDefault="00C9738B" w:rsidP="00C9738B">
            <w:pPr>
              <w:spacing w:after="0" w:line="240" w:lineRule="auto"/>
              <w:jc w:val="center"/>
              <w:rPr>
                <w:color w:val="000000"/>
                <w:sz w:val="20"/>
              </w:rPr>
            </w:pPr>
            <w:r w:rsidRPr="00FF3EF7">
              <w:rPr>
                <w:color w:val="000000"/>
                <w:sz w:val="20"/>
              </w:rPr>
              <w:t>44.3</w:t>
            </w:r>
          </w:p>
        </w:tc>
        <w:tc>
          <w:tcPr>
            <w:tcW w:w="2340" w:type="dxa"/>
            <w:tcBorders>
              <w:top w:val="nil"/>
              <w:left w:val="single" w:sz="4" w:space="0" w:color="auto"/>
              <w:bottom w:val="nil"/>
              <w:right w:val="nil"/>
            </w:tcBorders>
            <w:shd w:val="clear" w:color="auto" w:fill="auto"/>
            <w:noWrap/>
            <w:vAlign w:val="center"/>
            <w:hideMark/>
          </w:tcPr>
          <w:p w14:paraId="7313448E" w14:textId="77777777" w:rsidR="00C9738B" w:rsidRPr="00FF3EF7" w:rsidRDefault="00C9738B" w:rsidP="00C9738B">
            <w:pPr>
              <w:spacing w:after="0" w:line="240" w:lineRule="auto"/>
              <w:jc w:val="center"/>
              <w:rPr>
                <w:color w:val="000000"/>
                <w:sz w:val="20"/>
              </w:rPr>
            </w:pPr>
            <w:r w:rsidRPr="00FF3EF7">
              <w:rPr>
                <w:color w:val="000000"/>
                <w:sz w:val="20"/>
              </w:rPr>
              <w:t>1.29 (1.25-1.32)</w:t>
            </w:r>
          </w:p>
        </w:tc>
        <w:tc>
          <w:tcPr>
            <w:tcW w:w="2070" w:type="dxa"/>
            <w:tcBorders>
              <w:top w:val="nil"/>
              <w:left w:val="nil"/>
              <w:bottom w:val="nil"/>
              <w:right w:val="nil"/>
            </w:tcBorders>
            <w:shd w:val="clear" w:color="auto" w:fill="auto"/>
            <w:noWrap/>
            <w:vAlign w:val="center"/>
            <w:hideMark/>
          </w:tcPr>
          <w:p w14:paraId="4539F438" w14:textId="77777777" w:rsidR="00C9738B" w:rsidRPr="00FF3EF7" w:rsidRDefault="00C9738B" w:rsidP="00C9738B">
            <w:pPr>
              <w:spacing w:after="0" w:line="240" w:lineRule="auto"/>
              <w:jc w:val="center"/>
              <w:rPr>
                <w:color w:val="000000"/>
                <w:sz w:val="20"/>
              </w:rPr>
            </w:pPr>
            <w:r w:rsidRPr="00FF3EF7">
              <w:rPr>
                <w:color w:val="000000"/>
                <w:sz w:val="20"/>
              </w:rPr>
              <w:t>1.35 (1.30-1.40)</w:t>
            </w:r>
          </w:p>
        </w:tc>
        <w:tc>
          <w:tcPr>
            <w:tcW w:w="2250" w:type="dxa"/>
            <w:tcBorders>
              <w:top w:val="nil"/>
              <w:left w:val="nil"/>
              <w:bottom w:val="nil"/>
              <w:right w:val="nil"/>
            </w:tcBorders>
            <w:shd w:val="clear" w:color="auto" w:fill="auto"/>
            <w:noWrap/>
            <w:vAlign w:val="center"/>
            <w:hideMark/>
          </w:tcPr>
          <w:p w14:paraId="5B5AF344" w14:textId="77777777" w:rsidR="00C9738B" w:rsidRPr="00FF3EF7" w:rsidRDefault="00C9738B" w:rsidP="00C9738B">
            <w:pPr>
              <w:spacing w:after="0" w:line="240" w:lineRule="auto"/>
              <w:jc w:val="center"/>
              <w:rPr>
                <w:color w:val="000000"/>
                <w:sz w:val="20"/>
              </w:rPr>
            </w:pPr>
            <w:r w:rsidRPr="00FF3EF7">
              <w:rPr>
                <w:color w:val="000000"/>
                <w:sz w:val="20"/>
              </w:rPr>
              <w:t>1.26 (1.21-1.32)</w:t>
            </w:r>
          </w:p>
        </w:tc>
      </w:tr>
      <w:tr w:rsidR="00C9738B" w:rsidRPr="00F66DCB" w14:paraId="73AB29AB"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0BF425DA" w14:textId="77777777" w:rsidR="00C9738B" w:rsidRPr="0093649A" w:rsidRDefault="00C9738B" w:rsidP="00C9738B">
            <w:pPr>
              <w:spacing w:after="0" w:line="240" w:lineRule="auto"/>
              <w:rPr>
                <w:color w:val="000000"/>
                <w:sz w:val="20"/>
              </w:rPr>
            </w:pPr>
            <w:r w:rsidRPr="0093649A">
              <w:rPr>
                <w:color w:val="000000"/>
                <w:sz w:val="20"/>
              </w:rPr>
              <w:t>Skilled Nursing Facility</w:t>
            </w:r>
          </w:p>
        </w:tc>
        <w:tc>
          <w:tcPr>
            <w:tcW w:w="1530" w:type="dxa"/>
            <w:tcBorders>
              <w:top w:val="nil"/>
              <w:left w:val="nil"/>
              <w:bottom w:val="nil"/>
              <w:right w:val="nil"/>
            </w:tcBorders>
            <w:shd w:val="clear" w:color="auto" w:fill="auto"/>
            <w:noWrap/>
            <w:vAlign w:val="center"/>
            <w:hideMark/>
          </w:tcPr>
          <w:p w14:paraId="305CCCC0" w14:textId="77777777" w:rsidR="00C9738B" w:rsidRPr="00FF3EF7" w:rsidRDefault="00C9738B" w:rsidP="00C9738B">
            <w:pPr>
              <w:spacing w:after="0" w:line="240" w:lineRule="auto"/>
              <w:jc w:val="center"/>
              <w:rPr>
                <w:color w:val="000000"/>
                <w:sz w:val="20"/>
              </w:rPr>
            </w:pPr>
            <w:r w:rsidRPr="00FF3EF7">
              <w:rPr>
                <w:color w:val="000000"/>
                <w:sz w:val="20"/>
              </w:rPr>
              <w:t>2012/5778</w:t>
            </w:r>
          </w:p>
        </w:tc>
        <w:tc>
          <w:tcPr>
            <w:tcW w:w="1350" w:type="dxa"/>
            <w:tcBorders>
              <w:top w:val="nil"/>
              <w:left w:val="nil"/>
              <w:bottom w:val="nil"/>
              <w:right w:val="single" w:sz="4" w:space="0" w:color="auto"/>
            </w:tcBorders>
            <w:shd w:val="clear" w:color="auto" w:fill="auto"/>
            <w:noWrap/>
            <w:vAlign w:val="center"/>
            <w:hideMark/>
          </w:tcPr>
          <w:p w14:paraId="7327B032" w14:textId="77777777" w:rsidR="00C9738B" w:rsidRPr="00FF3EF7" w:rsidRDefault="00C9738B" w:rsidP="00C9738B">
            <w:pPr>
              <w:spacing w:after="0" w:line="240" w:lineRule="auto"/>
              <w:jc w:val="center"/>
              <w:rPr>
                <w:color w:val="000000"/>
                <w:sz w:val="20"/>
              </w:rPr>
            </w:pPr>
            <w:r w:rsidRPr="00FF3EF7">
              <w:rPr>
                <w:color w:val="000000"/>
                <w:sz w:val="20"/>
              </w:rPr>
              <w:t>34.8</w:t>
            </w:r>
          </w:p>
        </w:tc>
        <w:tc>
          <w:tcPr>
            <w:tcW w:w="2340" w:type="dxa"/>
            <w:tcBorders>
              <w:top w:val="nil"/>
              <w:left w:val="single" w:sz="4" w:space="0" w:color="auto"/>
              <w:bottom w:val="nil"/>
              <w:right w:val="nil"/>
            </w:tcBorders>
            <w:shd w:val="clear" w:color="auto" w:fill="auto"/>
            <w:noWrap/>
            <w:vAlign w:val="center"/>
            <w:hideMark/>
          </w:tcPr>
          <w:p w14:paraId="549F752F" w14:textId="77777777" w:rsidR="00C9738B" w:rsidRPr="00FF3EF7" w:rsidRDefault="00C9738B" w:rsidP="00C9738B">
            <w:pPr>
              <w:spacing w:after="0" w:line="240" w:lineRule="auto"/>
              <w:jc w:val="center"/>
              <w:rPr>
                <w:color w:val="000000"/>
                <w:sz w:val="20"/>
              </w:rPr>
            </w:pPr>
            <w:r w:rsidRPr="00FF3EF7">
              <w:rPr>
                <w:color w:val="000000"/>
                <w:sz w:val="20"/>
              </w:rPr>
              <w:t>1.25 (1.20-1.29)</w:t>
            </w:r>
          </w:p>
        </w:tc>
        <w:tc>
          <w:tcPr>
            <w:tcW w:w="2070" w:type="dxa"/>
            <w:tcBorders>
              <w:top w:val="nil"/>
              <w:left w:val="nil"/>
              <w:bottom w:val="nil"/>
              <w:right w:val="nil"/>
            </w:tcBorders>
            <w:shd w:val="clear" w:color="auto" w:fill="auto"/>
            <w:noWrap/>
            <w:vAlign w:val="center"/>
            <w:hideMark/>
          </w:tcPr>
          <w:p w14:paraId="045F7235" w14:textId="77777777" w:rsidR="00C9738B" w:rsidRPr="00FF3EF7" w:rsidRDefault="00C9738B" w:rsidP="00C9738B">
            <w:pPr>
              <w:spacing w:after="0" w:line="240" w:lineRule="auto"/>
              <w:jc w:val="center"/>
              <w:rPr>
                <w:color w:val="000000"/>
                <w:sz w:val="20"/>
              </w:rPr>
            </w:pPr>
            <w:r w:rsidRPr="00FF3EF7">
              <w:rPr>
                <w:color w:val="000000"/>
                <w:sz w:val="20"/>
              </w:rPr>
              <w:t>1.29 (1.23-1.36)</w:t>
            </w:r>
          </w:p>
        </w:tc>
        <w:tc>
          <w:tcPr>
            <w:tcW w:w="2250" w:type="dxa"/>
            <w:tcBorders>
              <w:top w:val="nil"/>
              <w:left w:val="nil"/>
              <w:bottom w:val="nil"/>
              <w:right w:val="nil"/>
            </w:tcBorders>
            <w:shd w:val="clear" w:color="auto" w:fill="auto"/>
            <w:noWrap/>
            <w:vAlign w:val="center"/>
            <w:hideMark/>
          </w:tcPr>
          <w:p w14:paraId="5CACFE78" w14:textId="77777777" w:rsidR="00C9738B" w:rsidRPr="00FF3EF7" w:rsidRDefault="00C9738B" w:rsidP="00C9738B">
            <w:pPr>
              <w:spacing w:after="0" w:line="240" w:lineRule="auto"/>
              <w:jc w:val="center"/>
              <w:rPr>
                <w:color w:val="000000"/>
                <w:sz w:val="20"/>
              </w:rPr>
            </w:pPr>
            <w:r w:rsidRPr="00FF3EF7">
              <w:rPr>
                <w:color w:val="000000"/>
                <w:sz w:val="20"/>
              </w:rPr>
              <w:t>1.21 (1.15-1.27)</w:t>
            </w:r>
          </w:p>
        </w:tc>
      </w:tr>
      <w:tr w:rsidR="00C9738B" w:rsidRPr="00F66DCB" w14:paraId="5F2BA64E"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086A6A6E" w14:textId="77777777" w:rsidR="00C9738B" w:rsidRPr="0093649A" w:rsidRDefault="00C9738B" w:rsidP="00C9738B">
            <w:pPr>
              <w:spacing w:after="0" w:line="240" w:lineRule="auto"/>
              <w:rPr>
                <w:color w:val="000000"/>
                <w:sz w:val="20"/>
              </w:rPr>
            </w:pPr>
            <w:r w:rsidRPr="0093649A">
              <w:rPr>
                <w:color w:val="000000"/>
                <w:sz w:val="20"/>
              </w:rPr>
              <w:t>Inpatient (Acute Care) Hospital</w:t>
            </w:r>
          </w:p>
        </w:tc>
        <w:tc>
          <w:tcPr>
            <w:tcW w:w="1530" w:type="dxa"/>
            <w:tcBorders>
              <w:top w:val="nil"/>
              <w:left w:val="nil"/>
              <w:bottom w:val="nil"/>
              <w:right w:val="nil"/>
            </w:tcBorders>
            <w:shd w:val="clear" w:color="auto" w:fill="auto"/>
            <w:noWrap/>
            <w:vAlign w:val="center"/>
            <w:hideMark/>
          </w:tcPr>
          <w:p w14:paraId="7581A140" w14:textId="77777777" w:rsidR="00C9738B" w:rsidRPr="00FF3EF7" w:rsidRDefault="00C9738B" w:rsidP="00C9738B">
            <w:pPr>
              <w:spacing w:after="0" w:line="240" w:lineRule="auto"/>
              <w:jc w:val="center"/>
              <w:rPr>
                <w:color w:val="000000"/>
                <w:sz w:val="20"/>
              </w:rPr>
            </w:pPr>
            <w:r w:rsidRPr="00FF3EF7">
              <w:rPr>
                <w:color w:val="000000"/>
                <w:sz w:val="20"/>
              </w:rPr>
              <w:t>239/5718</w:t>
            </w:r>
          </w:p>
        </w:tc>
        <w:tc>
          <w:tcPr>
            <w:tcW w:w="1350" w:type="dxa"/>
            <w:tcBorders>
              <w:top w:val="nil"/>
              <w:left w:val="nil"/>
              <w:bottom w:val="nil"/>
              <w:right w:val="single" w:sz="4" w:space="0" w:color="auto"/>
            </w:tcBorders>
            <w:shd w:val="clear" w:color="auto" w:fill="auto"/>
            <w:noWrap/>
            <w:vAlign w:val="center"/>
            <w:hideMark/>
          </w:tcPr>
          <w:p w14:paraId="0914034C" w14:textId="77777777" w:rsidR="00C9738B" w:rsidRPr="00FF3EF7" w:rsidRDefault="00C9738B" w:rsidP="00C9738B">
            <w:pPr>
              <w:spacing w:after="0" w:line="240" w:lineRule="auto"/>
              <w:jc w:val="center"/>
              <w:rPr>
                <w:color w:val="000000"/>
                <w:sz w:val="20"/>
              </w:rPr>
            </w:pPr>
            <w:r w:rsidRPr="00FF3EF7">
              <w:rPr>
                <w:color w:val="000000"/>
                <w:sz w:val="20"/>
              </w:rPr>
              <w:t>4.2</w:t>
            </w:r>
          </w:p>
        </w:tc>
        <w:tc>
          <w:tcPr>
            <w:tcW w:w="2340" w:type="dxa"/>
            <w:tcBorders>
              <w:top w:val="nil"/>
              <w:left w:val="single" w:sz="4" w:space="0" w:color="auto"/>
              <w:bottom w:val="nil"/>
              <w:right w:val="nil"/>
            </w:tcBorders>
            <w:shd w:val="clear" w:color="auto" w:fill="auto"/>
            <w:noWrap/>
            <w:vAlign w:val="center"/>
            <w:hideMark/>
          </w:tcPr>
          <w:p w14:paraId="5FCF3594" w14:textId="77777777" w:rsidR="00C9738B" w:rsidRPr="00FF3EF7" w:rsidRDefault="00C9738B" w:rsidP="00C9738B">
            <w:pPr>
              <w:spacing w:after="0" w:line="240" w:lineRule="auto"/>
              <w:jc w:val="center"/>
              <w:rPr>
                <w:color w:val="000000"/>
                <w:sz w:val="20"/>
              </w:rPr>
            </w:pPr>
            <w:r w:rsidRPr="00FF3EF7">
              <w:rPr>
                <w:color w:val="000000"/>
                <w:sz w:val="20"/>
              </w:rPr>
              <w:t>0.45 (0.40-0.51)</w:t>
            </w:r>
          </w:p>
        </w:tc>
        <w:tc>
          <w:tcPr>
            <w:tcW w:w="2070" w:type="dxa"/>
            <w:tcBorders>
              <w:top w:val="nil"/>
              <w:left w:val="nil"/>
              <w:bottom w:val="nil"/>
              <w:right w:val="nil"/>
            </w:tcBorders>
            <w:shd w:val="clear" w:color="auto" w:fill="auto"/>
            <w:noWrap/>
            <w:vAlign w:val="center"/>
            <w:hideMark/>
          </w:tcPr>
          <w:p w14:paraId="2B4746BC" w14:textId="77777777" w:rsidR="00C9738B" w:rsidRPr="00FF3EF7" w:rsidRDefault="00C9738B" w:rsidP="00C9738B">
            <w:pPr>
              <w:spacing w:after="0" w:line="240" w:lineRule="auto"/>
              <w:jc w:val="center"/>
              <w:rPr>
                <w:color w:val="000000"/>
                <w:sz w:val="20"/>
              </w:rPr>
            </w:pPr>
            <w:r w:rsidRPr="00FF3EF7">
              <w:rPr>
                <w:color w:val="000000"/>
                <w:sz w:val="20"/>
              </w:rPr>
              <w:t>0.49 (0.42-0.56)</w:t>
            </w:r>
          </w:p>
        </w:tc>
        <w:tc>
          <w:tcPr>
            <w:tcW w:w="2250" w:type="dxa"/>
            <w:tcBorders>
              <w:top w:val="nil"/>
              <w:left w:val="nil"/>
              <w:bottom w:val="nil"/>
              <w:right w:val="nil"/>
            </w:tcBorders>
            <w:shd w:val="clear" w:color="auto" w:fill="auto"/>
            <w:noWrap/>
            <w:vAlign w:val="center"/>
            <w:hideMark/>
          </w:tcPr>
          <w:p w14:paraId="68715736" w14:textId="77777777" w:rsidR="00C9738B" w:rsidRPr="00FF3EF7" w:rsidRDefault="00C9738B" w:rsidP="00C9738B">
            <w:pPr>
              <w:spacing w:after="0" w:line="240" w:lineRule="auto"/>
              <w:jc w:val="center"/>
              <w:rPr>
                <w:color w:val="000000"/>
                <w:sz w:val="20"/>
              </w:rPr>
            </w:pPr>
            <w:r w:rsidRPr="00FF3EF7">
              <w:rPr>
                <w:color w:val="000000"/>
                <w:sz w:val="20"/>
              </w:rPr>
              <w:t>0.38 (0.31-0.47)</w:t>
            </w:r>
          </w:p>
        </w:tc>
      </w:tr>
      <w:tr w:rsidR="00C9738B" w:rsidRPr="00F66DCB" w14:paraId="387AD87A"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2897E98F" w14:textId="77777777" w:rsidR="00C9738B" w:rsidRPr="0093649A" w:rsidRDefault="00C9738B" w:rsidP="00C9738B">
            <w:pPr>
              <w:spacing w:after="0" w:line="240" w:lineRule="auto"/>
              <w:rPr>
                <w:color w:val="000000"/>
                <w:sz w:val="20"/>
              </w:rPr>
            </w:pPr>
            <w:r w:rsidRPr="0093649A">
              <w:rPr>
                <w:color w:val="000000"/>
                <w:sz w:val="20"/>
              </w:rPr>
              <w:t>Inpatient Hospice Facility</w:t>
            </w:r>
          </w:p>
        </w:tc>
        <w:tc>
          <w:tcPr>
            <w:tcW w:w="1530" w:type="dxa"/>
            <w:tcBorders>
              <w:top w:val="nil"/>
              <w:left w:val="nil"/>
              <w:bottom w:val="nil"/>
              <w:right w:val="nil"/>
            </w:tcBorders>
            <w:shd w:val="clear" w:color="auto" w:fill="auto"/>
            <w:noWrap/>
            <w:vAlign w:val="center"/>
            <w:hideMark/>
          </w:tcPr>
          <w:p w14:paraId="66E7EA04" w14:textId="77777777" w:rsidR="00C9738B" w:rsidRPr="00FF3EF7" w:rsidRDefault="00C9738B" w:rsidP="00C9738B">
            <w:pPr>
              <w:spacing w:after="0" w:line="240" w:lineRule="auto"/>
              <w:jc w:val="center"/>
              <w:rPr>
                <w:color w:val="000000"/>
                <w:sz w:val="20"/>
              </w:rPr>
            </w:pPr>
            <w:r w:rsidRPr="00FF3EF7">
              <w:rPr>
                <w:color w:val="000000"/>
                <w:sz w:val="20"/>
              </w:rPr>
              <w:t>345/5655</w:t>
            </w:r>
          </w:p>
        </w:tc>
        <w:tc>
          <w:tcPr>
            <w:tcW w:w="1350" w:type="dxa"/>
            <w:tcBorders>
              <w:top w:val="nil"/>
              <w:left w:val="nil"/>
              <w:bottom w:val="nil"/>
              <w:right w:val="single" w:sz="4" w:space="0" w:color="auto"/>
            </w:tcBorders>
            <w:shd w:val="clear" w:color="auto" w:fill="auto"/>
            <w:noWrap/>
            <w:vAlign w:val="center"/>
            <w:hideMark/>
          </w:tcPr>
          <w:p w14:paraId="6A0977D6" w14:textId="77777777" w:rsidR="00C9738B" w:rsidRPr="00FF3EF7" w:rsidRDefault="00C9738B" w:rsidP="00C9738B">
            <w:pPr>
              <w:spacing w:after="0" w:line="240" w:lineRule="auto"/>
              <w:jc w:val="center"/>
              <w:rPr>
                <w:color w:val="000000"/>
                <w:sz w:val="20"/>
              </w:rPr>
            </w:pPr>
            <w:r w:rsidRPr="00FF3EF7">
              <w:rPr>
                <w:color w:val="000000"/>
                <w:sz w:val="20"/>
              </w:rPr>
              <w:t>6.1</w:t>
            </w:r>
          </w:p>
        </w:tc>
        <w:tc>
          <w:tcPr>
            <w:tcW w:w="2340" w:type="dxa"/>
            <w:tcBorders>
              <w:top w:val="nil"/>
              <w:left w:val="single" w:sz="4" w:space="0" w:color="auto"/>
              <w:bottom w:val="nil"/>
              <w:right w:val="nil"/>
            </w:tcBorders>
            <w:shd w:val="clear" w:color="auto" w:fill="auto"/>
            <w:noWrap/>
            <w:vAlign w:val="center"/>
            <w:hideMark/>
          </w:tcPr>
          <w:p w14:paraId="08474B86" w14:textId="77777777" w:rsidR="00C9738B" w:rsidRPr="00FF3EF7" w:rsidRDefault="00C9738B" w:rsidP="00C9738B">
            <w:pPr>
              <w:spacing w:after="0" w:line="240" w:lineRule="auto"/>
              <w:jc w:val="center"/>
              <w:rPr>
                <w:color w:val="000000"/>
                <w:sz w:val="20"/>
              </w:rPr>
            </w:pPr>
            <w:r w:rsidRPr="00FF3EF7">
              <w:rPr>
                <w:color w:val="000000"/>
                <w:sz w:val="20"/>
              </w:rPr>
              <w:t>0.46 (0.40-0.52)</w:t>
            </w:r>
          </w:p>
        </w:tc>
        <w:tc>
          <w:tcPr>
            <w:tcW w:w="2070" w:type="dxa"/>
            <w:tcBorders>
              <w:top w:val="nil"/>
              <w:left w:val="nil"/>
              <w:bottom w:val="nil"/>
              <w:right w:val="nil"/>
            </w:tcBorders>
            <w:shd w:val="clear" w:color="auto" w:fill="auto"/>
            <w:noWrap/>
            <w:vAlign w:val="center"/>
            <w:hideMark/>
          </w:tcPr>
          <w:p w14:paraId="3229140B" w14:textId="77777777" w:rsidR="00C9738B" w:rsidRPr="00FF3EF7" w:rsidRDefault="00C9738B" w:rsidP="00C9738B">
            <w:pPr>
              <w:spacing w:after="0" w:line="240" w:lineRule="auto"/>
              <w:jc w:val="center"/>
              <w:rPr>
                <w:color w:val="000000"/>
                <w:sz w:val="20"/>
              </w:rPr>
            </w:pPr>
            <w:r w:rsidRPr="00FF3EF7">
              <w:rPr>
                <w:color w:val="000000"/>
                <w:sz w:val="20"/>
              </w:rPr>
              <w:t>0.51 (0.44-0.60)</w:t>
            </w:r>
          </w:p>
        </w:tc>
        <w:tc>
          <w:tcPr>
            <w:tcW w:w="2250" w:type="dxa"/>
            <w:tcBorders>
              <w:top w:val="nil"/>
              <w:left w:val="nil"/>
              <w:bottom w:val="nil"/>
              <w:right w:val="nil"/>
            </w:tcBorders>
            <w:shd w:val="clear" w:color="auto" w:fill="auto"/>
            <w:noWrap/>
            <w:vAlign w:val="center"/>
            <w:hideMark/>
          </w:tcPr>
          <w:p w14:paraId="6CF2C4F5" w14:textId="77777777" w:rsidR="00C9738B" w:rsidRPr="00FF3EF7" w:rsidRDefault="00C9738B" w:rsidP="00C9738B">
            <w:pPr>
              <w:spacing w:after="0" w:line="240" w:lineRule="auto"/>
              <w:jc w:val="center"/>
              <w:rPr>
                <w:color w:val="000000"/>
                <w:sz w:val="20"/>
              </w:rPr>
            </w:pPr>
            <w:r w:rsidRPr="00FF3EF7">
              <w:rPr>
                <w:color w:val="000000"/>
                <w:sz w:val="20"/>
              </w:rPr>
              <w:t>0.35 (0.29-0.43)</w:t>
            </w:r>
          </w:p>
        </w:tc>
      </w:tr>
      <w:tr w:rsidR="00C9738B" w:rsidRPr="00F66DCB" w14:paraId="2FE0B522"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5BCF8255" w14:textId="77777777" w:rsidR="00C9738B" w:rsidRPr="0093649A" w:rsidRDefault="00C9738B" w:rsidP="00C9738B">
            <w:pPr>
              <w:spacing w:after="0" w:line="240" w:lineRule="auto"/>
              <w:rPr>
                <w:color w:val="000000"/>
                <w:sz w:val="20"/>
              </w:rPr>
            </w:pPr>
            <w:r w:rsidRPr="0093649A">
              <w:rPr>
                <w:color w:val="000000"/>
                <w:sz w:val="20"/>
              </w:rPr>
              <w:t>Other</w:t>
            </w:r>
          </w:p>
        </w:tc>
        <w:tc>
          <w:tcPr>
            <w:tcW w:w="1530" w:type="dxa"/>
            <w:tcBorders>
              <w:top w:val="nil"/>
              <w:left w:val="nil"/>
              <w:bottom w:val="nil"/>
              <w:right w:val="nil"/>
            </w:tcBorders>
            <w:shd w:val="clear" w:color="auto" w:fill="auto"/>
            <w:noWrap/>
            <w:vAlign w:val="center"/>
            <w:hideMark/>
          </w:tcPr>
          <w:p w14:paraId="42C7D1B1" w14:textId="77777777" w:rsidR="00C9738B" w:rsidRPr="00FF3EF7" w:rsidRDefault="00C9738B" w:rsidP="00C9738B">
            <w:pPr>
              <w:spacing w:after="0" w:line="240" w:lineRule="auto"/>
              <w:jc w:val="center"/>
              <w:rPr>
                <w:color w:val="000000"/>
                <w:sz w:val="20"/>
              </w:rPr>
            </w:pPr>
            <w:r w:rsidRPr="00FF3EF7">
              <w:rPr>
                <w:color w:val="000000"/>
                <w:sz w:val="20"/>
              </w:rPr>
              <w:t>157/939</w:t>
            </w:r>
          </w:p>
        </w:tc>
        <w:tc>
          <w:tcPr>
            <w:tcW w:w="1350" w:type="dxa"/>
            <w:tcBorders>
              <w:top w:val="nil"/>
              <w:left w:val="nil"/>
              <w:bottom w:val="nil"/>
              <w:right w:val="single" w:sz="4" w:space="0" w:color="auto"/>
            </w:tcBorders>
            <w:shd w:val="clear" w:color="auto" w:fill="auto"/>
            <w:noWrap/>
            <w:vAlign w:val="center"/>
            <w:hideMark/>
          </w:tcPr>
          <w:p w14:paraId="06C452D7" w14:textId="77777777" w:rsidR="00C9738B" w:rsidRPr="00FF3EF7" w:rsidRDefault="00C9738B" w:rsidP="00C9738B">
            <w:pPr>
              <w:spacing w:after="0" w:line="240" w:lineRule="auto"/>
              <w:jc w:val="center"/>
              <w:rPr>
                <w:color w:val="000000"/>
                <w:sz w:val="20"/>
              </w:rPr>
            </w:pPr>
            <w:r w:rsidRPr="00FF3EF7">
              <w:rPr>
                <w:color w:val="000000"/>
                <w:sz w:val="20"/>
              </w:rPr>
              <w:t>16.7</w:t>
            </w:r>
          </w:p>
        </w:tc>
        <w:tc>
          <w:tcPr>
            <w:tcW w:w="2340" w:type="dxa"/>
            <w:tcBorders>
              <w:top w:val="nil"/>
              <w:left w:val="single" w:sz="4" w:space="0" w:color="auto"/>
              <w:bottom w:val="nil"/>
              <w:right w:val="nil"/>
            </w:tcBorders>
            <w:shd w:val="clear" w:color="auto" w:fill="auto"/>
            <w:noWrap/>
            <w:vAlign w:val="center"/>
            <w:hideMark/>
          </w:tcPr>
          <w:p w14:paraId="34AAA5EC" w14:textId="77777777" w:rsidR="00C9738B" w:rsidRPr="00FF3EF7" w:rsidRDefault="00C9738B" w:rsidP="00C9738B">
            <w:pPr>
              <w:spacing w:after="0" w:line="240" w:lineRule="auto"/>
              <w:jc w:val="center"/>
              <w:rPr>
                <w:color w:val="000000"/>
                <w:sz w:val="20"/>
              </w:rPr>
            </w:pPr>
            <w:r w:rsidRPr="00FF3EF7">
              <w:rPr>
                <w:color w:val="000000"/>
                <w:sz w:val="20"/>
              </w:rPr>
              <w:t>0.91 (0.79-1.05)</w:t>
            </w:r>
          </w:p>
        </w:tc>
        <w:tc>
          <w:tcPr>
            <w:tcW w:w="2070" w:type="dxa"/>
            <w:tcBorders>
              <w:top w:val="nil"/>
              <w:left w:val="nil"/>
              <w:bottom w:val="nil"/>
              <w:right w:val="nil"/>
            </w:tcBorders>
            <w:shd w:val="clear" w:color="auto" w:fill="auto"/>
            <w:noWrap/>
            <w:vAlign w:val="center"/>
            <w:hideMark/>
          </w:tcPr>
          <w:p w14:paraId="11AC21D5" w14:textId="77777777" w:rsidR="00C9738B" w:rsidRPr="00FF3EF7" w:rsidRDefault="00C9738B" w:rsidP="00C9738B">
            <w:pPr>
              <w:spacing w:after="0" w:line="240" w:lineRule="auto"/>
              <w:jc w:val="center"/>
              <w:rPr>
                <w:color w:val="000000"/>
                <w:sz w:val="20"/>
              </w:rPr>
            </w:pPr>
            <w:r w:rsidRPr="00FF3EF7">
              <w:rPr>
                <w:color w:val="000000"/>
                <w:sz w:val="20"/>
              </w:rPr>
              <w:t>0.86 (0.71-1.06)</w:t>
            </w:r>
          </w:p>
        </w:tc>
        <w:tc>
          <w:tcPr>
            <w:tcW w:w="2250" w:type="dxa"/>
            <w:tcBorders>
              <w:top w:val="nil"/>
              <w:left w:val="nil"/>
              <w:bottom w:val="nil"/>
              <w:right w:val="nil"/>
            </w:tcBorders>
            <w:shd w:val="clear" w:color="auto" w:fill="auto"/>
            <w:noWrap/>
            <w:vAlign w:val="center"/>
            <w:hideMark/>
          </w:tcPr>
          <w:p w14:paraId="139AACB7" w14:textId="77777777" w:rsidR="00C9738B" w:rsidRPr="00FF3EF7" w:rsidRDefault="00C9738B" w:rsidP="00C9738B">
            <w:pPr>
              <w:spacing w:after="0" w:line="240" w:lineRule="auto"/>
              <w:jc w:val="center"/>
              <w:rPr>
                <w:color w:val="000000"/>
                <w:sz w:val="20"/>
              </w:rPr>
            </w:pPr>
            <w:r w:rsidRPr="00FF3EF7">
              <w:rPr>
                <w:color w:val="000000"/>
                <w:sz w:val="20"/>
              </w:rPr>
              <w:t>0.96 (0.80-1.17)</w:t>
            </w:r>
          </w:p>
        </w:tc>
      </w:tr>
      <w:tr w:rsidR="00C9738B" w:rsidRPr="00F66DCB" w14:paraId="539089AA" w14:textId="77777777" w:rsidTr="00DA2DA0">
        <w:trPr>
          <w:trHeight w:val="20"/>
        </w:trPr>
        <w:tc>
          <w:tcPr>
            <w:tcW w:w="3325" w:type="dxa"/>
            <w:tcBorders>
              <w:top w:val="nil"/>
              <w:left w:val="nil"/>
              <w:bottom w:val="nil"/>
              <w:right w:val="nil"/>
            </w:tcBorders>
            <w:shd w:val="clear" w:color="auto" w:fill="auto"/>
            <w:noWrap/>
            <w:vAlign w:val="center"/>
            <w:hideMark/>
          </w:tcPr>
          <w:p w14:paraId="5A91AC39" w14:textId="77777777" w:rsidR="00C9738B" w:rsidRPr="0093649A" w:rsidRDefault="00C9738B" w:rsidP="00C9738B">
            <w:pPr>
              <w:spacing w:after="0" w:line="240" w:lineRule="auto"/>
              <w:rPr>
                <w:color w:val="000000"/>
                <w:sz w:val="20"/>
              </w:rPr>
            </w:pPr>
            <w:r w:rsidRPr="0093649A">
              <w:rPr>
                <w:color w:val="000000"/>
                <w:sz w:val="20"/>
              </w:rPr>
              <w:t>Hospice Admission Diagnosis</w:t>
            </w:r>
          </w:p>
        </w:tc>
        <w:tc>
          <w:tcPr>
            <w:tcW w:w="1530" w:type="dxa"/>
            <w:tcBorders>
              <w:top w:val="nil"/>
              <w:left w:val="nil"/>
              <w:bottom w:val="nil"/>
              <w:right w:val="nil"/>
            </w:tcBorders>
            <w:shd w:val="clear" w:color="auto" w:fill="auto"/>
            <w:noWrap/>
            <w:vAlign w:val="center"/>
            <w:hideMark/>
          </w:tcPr>
          <w:p w14:paraId="2188DC81" w14:textId="77777777" w:rsidR="00C9738B" w:rsidRPr="00FF3EF7" w:rsidRDefault="00C9738B" w:rsidP="00C9738B">
            <w:pPr>
              <w:spacing w:after="0" w:line="240" w:lineRule="auto"/>
              <w:rPr>
                <w:color w:val="000000"/>
                <w:sz w:val="20"/>
              </w:rPr>
            </w:pPr>
          </w:p>
        </w:tc>
        <w:tc>
          <w:tcPr>
            <w:tcW w:w="1350" w:type="dxa"/>
            <w:tcBorders>
              <w:top w:val="nil"/>
              <w:left w:val="nil"/>
              <w:bottom w:val="nil"/>
              <w:right w:val="single" w:sz="4" w:space="0" w:color="auto"/>
            </w:tcBorders>
            <w:shd w:val="clear" w:color="auto" w:fill="auto"/>
            <w:noWrap/>
            <w:vAlign w:val="center"/>
            <w:hideMark/>
          </w:tcPr>
          <w:p w14:paraId="1A7FF384" w14:textId="77777777" w:rsidR="00C9738B" w:rsidRPr="00FF3EF7" w:rsidRDefault="00C9738B" w:rsidP="00C9738B">
            <w:pPr>
              <w:spacing w:after="0" w:line="240" w:lineRule="auto"/>
              <w:jc w:val="center"/>
              <w:rPr>
                <w:sz w:val="20"/>
              </w:rPr>
            </w:pPr>
          </w:p>
        </w:tc>
        <w:tc>
          <w:tcPr>
            <w:tcW w:w="2340" w:type="dxa"/>
            <w:tcBorders>
              <w:top w:val="nil"/>
              <w:left w:val="single" w:sz="4" w:space="0" w:color="auto"/>
              <w:bottom w:val="nil"/>
              <w:right w:val="nil"/>
            </w:tcBorders>
            <w:shd w:val="clear" w:color="auto" w:fill="auto"/>
            <w:noWrap/>
            <w:vAlign w:val="center"/>
            <w:hideMark/>
          </w:tcPr>
          <w:p w14:paraId="39ADE0B3" w14:textId="77777777" w:rsidR="00C9738B" w:rsidRPr="00FF3EF7" w:rsidRDefault="00C9738B" w:rsidP="00C9738B">
            <w:pPr>
              <w:spacing w:after="0" w:line="240" w:lineRule="auto"/>
              <w:jc w:val="center"/>
              <w:rPr>
                <w:sz w:val="20"/>
              </w:rPr>
            </w:pPr>
          </w:p>
        </w:tc>
        <w:tc>
          <w:tcPr>
            <w:tcW w:w="2070" w:type="dxa"/>
            <w:tcBorders>
              <w:top w:val="nil"/>
              <w:left w:val="nil"/>
              <w:bottom w:val="nil"/>
              <w:right w:val="nil"/>
            </w:tcBorders>
            <w:shd w:val="clear" w:color="auto" w:fill="auto"/>
            <w:noWrap/>
            <w:vAlign w:val="center"/>
            <w:hideMark/>
          </w:tcPr>
          <w:p w14:paraId="5E921362" w14:textId="77777777" w:rsidR="00C9738B" w:rsidRPr="00FF3EF7" w:rsidRDefault="00C9738B" w:rsidP="00C9738B">
            <w:pPr>
              <w:spacing w:after="0" w:line="240" w:lineRule="auto"/>
              <w:jc w:val="center"/>
              <w:rPr>
                <w:sz w:val="20"/>
              </w:rPr>
            </w:pPr>
          </w:p>
        </w:tc>
        <w:tc>
          <w:tcPr>
            <w:tcW w:w="2250" w:type="dxa"/>
            <w:tcBorders>
              <w:top w:val="nil"/>
              <w:left w:val="nil"/>
              <w:bottom w:val="nil"/>
              <w:right w:val="nil"/>
            </w:tcBorders>
            <w:shd w:val="clear" w:color="auto" w:fill="auto"/>
            <w:noWrap/>
            <w:vAlign w:val="center"/>
            <w:hideMark/>
          </w:tcPr>
          <w:p w14:paraId="24FE8712" w14:textId="77777777" w:rsidR="00C9738B" w:rsidRPr="00FF3EF7" w:rsidRDefault="00C9738B" w:rsidP="00C9738B">
            <w:pPr>
              <w:spacing w:after="0" w:line="240" w:lineRule="auto"/>
              <w:jc w:val="center"/>
              <w:rPr>
                <w:sz w:val="20"/>
              </w:rPr>
            </w:pPr>
          </w:p>
        </w:tc>
      </w:tr>
      <w:tr w:rsidR="00C9738B" w:rsidRPr="00F66DCB" w14:paraId="7213790A"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6AFE2D93" w14:textId="77777777" w:rsidR="00C9738B" w:rsidRPr="0093649A" w:rsidRDefault="00C9738B" w:rsidP="00C9738B">
            <w:pPr>
              <w:spacing w:after="0" w:line="240" w:lineRule="auto"/>
              <w:rPr>
                <w:color w:val="000000"/>
                <w:sz w:val="20"/>
              </w:rPr>
            </w:pPr>
            <w:r w:rsidRPr="0093649A">
              <w:rPr>
                <w:color w:val="000000"/>
                <w:sz w:val="20"/>
              </w:rPr>
              <w:t>Cancer</w:t>
            </w:r>
          </w:p>
        </w:tc>
        <w:tc>
          <w:tcPr>
            <w:tcW w:w="1530" w:type="dxa"/>
            <w:tcBorders>
              <w:top w:val="nil"/>
              <w:left w:val="nil"/>
              <w:bottom w:val="nil"/>
              <w:right w:val="nil"/>
            </w:tcBorders>
            <w:shd w:val="clear" w:color="auto" w:fill="auto"/>
            <w:noWrap/>
            <w:vAlign w:val="center"/>
            <w:hideMark/>
          </w:tcPr>
          <w:p w14:paraId="3427530B" w14:textId="77777777" w:rsidR="00C9738B" w:rsidRPr="00FF3EF7" w:rsidRDefault="00C9738B" w:rsidP="00C9738B">
            <w:pPr>
              <w:spacing w:after="0" w:line="240" w:lineRule="auto"/>
              <w:jc w:val="center"/>
              <w:rPr>
                <w:color w:val="000000"/>
                <w:sz w:val="20"/>
              </w:rPr>
            </w:pPr>
            <w:r w:rsidRPr="00FF3EF7">
              <w:rPr>
                <w:color w:val="000000"/>
                <w:sz w:val="20"/>
              </w:rPr>
              <w:t>13,191/44,218</w:t>
            </w:r>
          </w:p>
        </w:tc>
        <w:tc>
          <w:tcPr>
            <w:tcW w:w="1350" w:type="dxa"/>
            <w:tcBorders>
              <w:top w:val="nil"/>
              <w:left w:val="nil"/>
              <w:bottom w:val="nil"/>
              <w:right w:val="single" w:sz="4" w:space="0" w:color="auto"/>
            </w:tcBorders>
            <w:shd w:val="clear" w:color="auto" w:fill="auto"/>
            <w:noWrap/>
            <w:vAlign w:val="center"/>
            <w:hideMark/>
          </w:tcPr>
          <w:p w14:paraId="63A9A389" w14:textId="77777777" w:rsidR="00C9738B" w:rsidRPr="00FF3EF7" w:rsidRDefault="00C9738B" w:rsidP="00C9738B">
            <w:pPr>
              <w:spacing w:after="0" w:line="240" w:lineRule="auto"/>
              <w:jc w:val="center"/>
              <w:rPr>
                <w:color w:val="000000"/>
                <w:sz w:val="20"/>
              </w:rPr>
            </w:pPr>
            <w:r w:rsidRPr="00FF3EF7">
              <w:rPr>
                <w:color w:val="000000"/>
                <w:sz w:val="20"/>
              </w:rPr>
              <w:t>29.8</w:t>
            </w:r>
          </w:p>
        </w:tc>
        <w:tc>
          <w:tcPr>
            <w:tcW w:w="2340" w:type="dxa"/>
            <w:tcBorders>
              <w:top w:val="nil"/>
              <w:left w:val="single" w:sz="4" w:space="0" w:color="auto"/>
              <w:bottom w:val="nil"/>
              <w:right w:val="nil"/>
            </w:tcBorders>
            <w:shd w:val="clear" w:color="auto" w:fill="auto"/>
            <w:noWrap/>
            <w:vAlign w:val="center"/>
            <w:hideMark/>
          </w:tcPr>
          <w:p w14:paraId="7DF3B71A"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f</w:t>
            </w:r>
          </w:p>
        </w:tc>
        <w:tc>
          <w:tcPr>
            <w:tcW w:w="2070" w:type="dxa"/>
            <w:vMerge w:val="restart"/>
            <w:tcBorders>
              <w:top w:val="nil"/>
              <w:left w:val="nil"/>
              <w:bottom w:val="nil"/>
              <w:right w:val="nil"/>
            </w:tcBorders>
            <w:shd w:val="clear" w:color="auto" w:fill="auto"/>
            <w:noWrap/>
            <w:vAlign w:val="center"/>
            <w:hideMark/>
          </w:tcPr>
          <w:p w14:paraId="09C455B6" w14:textId="77777777" w:rsidR="00C9738B" w:rsidRPr="00FF3EF7" w:rsidRDefault="00C9738B" w:rsidP="00C9738B">
            <w:pPr>
              <w:spacing w:after="0" w:line="240" w:lineRule="auto"/>
              <w:jc w:val="center"/>
              <w:rPr>
                <w:color w:val="000000"/>
                <w:sz w:val="20"/>
              </w:rPr>
            </w:pPr>
          </w:p>
        </w:tc>
        <w:tc>
          <w:tcPr>
            <w:tcW w:w="2250" w:type="dxa"/>
            <w:vMerge w:val="restart"/>
            <w:tcBorders>
              <w:top w:val="nil"/>
              <w:left w:val="nil"/>
              <w:bottom w:val="nil"/>
              <w:right w:val="nil"/>
            </w:tcBorders>
            <w:shd w:val="clear" w:color="auto" w:fill="auto"/>
            <w:noWrap/>
            <w:vAlign w:val="center"/>
            <w:hideMark/>
          </w:tcPr>
          <w:p w14:paraId="4C18E4EF" w14:textId="77777777" w:rsidR="00C9738B" w:rsidRPr="00FF3EF7" w:rsidRDefault="00C9738B" w:rsidP="00C9738B">
            <w:pPr>
              <w:spacing w:after="0" w:line="240" w:lineRule="auto"/>
              <w:jc w:val="center"/>
              <w:rPr>
                <w:sz w:val="20"/>
              </w:rPr>
            </w:pPr>
          </w:p>
        </w:tc>
      </w:tr>
      <w:tr w:rsidR="00C9738B" w:rsidRPr="00F66DCB" w14:paraId="1A0F7865"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70177B20" w14:textId="77777777" w:rsidR="00C9738B" w:rsidRPr="0093649A" w:rsidRDefault="00C9738B" w:rsidP="00C9738B">
            <w:pPr>
              <w:spacing w:after="0" w:line="240" w:lineRule="auto"/>
              <w:rPr>
                <w:color w:val="000000"/>
                <w:sz w:val="20"/>
              </w:rPr>
            </w:pPr>
            <w:r w:rsidRPr="0093649A">
              <w:rPr>
                <w:color w:val="000000"/>
                <w:sz w:val="20"/>
              </w:rPr>
              <w:t>Debility/Adult Failure to Thrive</w:t>
            </w:r>
          </w:p>
        </w:tc>
        <w:tc>
          <w:tcPr>
            <w:tcW w:w="1530" w:type="dxa"/>
            <w:tcBorders>
              <w:top w:val="nil"/>
              <w:left w:val="nil"/>
              <w:bottom w:val="nil"/>
              <w:right w:val="nil"/>
            </w:tcBorders>
            <w:shd w:val="clear" w:color="auto" w:fill="auto"/>
            <w:noWrap/>
            <w:vAlign w:val="center"/>
            <w:hideMark/>
          </w:tcPr>
          <w:p w14:paraId="4FDB7CA0" w14:textId="77777777" w:rsidR="00C9738B" w:rsidRPr="00FF3EF7" w:rsidRDefault="00C9738B" w:rsidP="00C9738B">
            <w:pPr>
              <w:spacing w:after="0" w:line="240" w:lineRule="auto"/>
              <w:jc w:val="center"/>
              <w:rPr>
                <w:color w:val="000000"/>
                <w:sz w:val="20"/>
              </w:rPr>
            </w:pPr>
            <w:r w:rsidRPr="00FF3EF7">
              <w:rPr>
                <w:color w:val="000000"/>
                <w:sz w:val="20"/>
              </w:rPr>
              <w:t>2190/5757</w:t>
            </w:r>
          </w:p>
        </w:tc>
        <w:tc>
          <w:tcPr>
            <w:tcW w:w="1350" w:type="dxa"/>
            <w:tcBorders>
              <w:top w:val="nil"/>
              <w:left w:val="nil"/>
              <w:bottom w:val="nil"/>
              <w:right w:val="single" w:sz="4" w:space="0" w:color="auto"/>
            </w:tcBorders>
            <w:shd w:val="clear" w:color="auto" w:fill="auto"/>
            <w:noWrap/>
            <w:vAlign w:val="center"/>
            <w:hideMark/>
          </w:tcPr>
          <w:p w14:paraId="3248E5A9" w14:textId="77777777" w:rsidR="00C9738B" w:rsidRPr="00FF3EF7" w:rsidRDefault="00C9738B" w:rsidP="00C9738B">
            <w:pPr>
              <w:spacing w:after="0" w:line="240" w:lineRule="auto"/>
              <w:jc w:val="center"/>
              <w:rPr>
                <w:color w:val="000000"/>
                <w:sz w:val="20"/>
              </w:rPr>
            </w:pPr>
            <w:r w:rsidRPr="00FF3EF7">
              <w:rPr>
                <w:color w:val="000000"/>
                <w:sz w:val="20"/>
              </w:rPr>
              <w:t>38.0</w:t>
            </w:r>
          </w:p>
        </w:tc>
        <w:tc>
          <w:tcPr>
            <w:tcW w:w="2340" w:type="dxa"/>
            <w:tcBorders>
              <w:top w:val="nil"/>
              <w:left w:val="single" w:sz="4" w:space="0" w:color="auto"/>
              <w:bottom w:val="nil"/>
              <w:right w:val="nil"/>
            </w:tcBorders>
            <w:shd w:val="clear" w:color="auto" w:fill="auto"/>
            <w:noWrap/>
            <w:vAlign w:val="center"/>
            <w:hideMark/>
          </w:tcPr>
          <w:p w14:paraId="319F4E93" w14:textId="77777777" w:rsidR="00C9738B" w:rsidRPr="00FF3EF7" w:rsidRDefault="00C9738B" w:rsidP="00C9738B">
            <w:pPr>
              <w:spacing w:after="0" w:line="240" w:lineRule="auto"/>
              <w:jc w:val="center"/>
              <w:rPr>
                <w:color w:val="000000"/>
                <w:sz w:val="20"/>
              </w:rPr>
            </w:pPr>
            <w:r w:rsidRPr="00FF3EF7">
              <w:rPr>
                <w:color w:val="000000"/>
                <w:sz w:val="20"/>
              </w:rPr>
              <w:t>1.05 (1.02-1.09)</w:t>
            </w:r>
          </w:p>
        </w:tc>
        <w:tc>
          <w:tcPr>
            <w:tcW w:w="2070" w:type="dxa"/>
            <w:vMerge/>
            <w:tcBorders>
              <w:top w:val="nil"/>
              <w:left w:val="nil"/>
              <w:bottom w:val="nil"/>
              <w:right w:val="nil"/>
            </w:tcBorders>
            <w:shd w:val="clear" w:color="auto" w:fill="auto"/>
            <w:noWrap/>
            <w:vAlign w:val="center"/>
            <w:hideMark/>
          </w:tcPr>
          <w:p w14:paraId="4796307F" w14:textId="77777777" w:rsidR="00C9738B" w:rsidRPr="00FF3EF7" w:rsidRDefault="00C9738B" w:rsidP="00C9738B">
            <w:pPr>
              <w:spacing w:after="0" w:line="240" w:lineRule="auto"/>
              <w:jc w:val="center"/>
              <w:rPr>
                <w:color w:val="000000"/>
                <w:sz w:val="20"/>
              </w:rPr>
            </w:pPr>
          </w:p>
        </w:tc>
        <w:tc>
          <w:tcPr>
            <w:tcW w:w="2250" w:type="dxa"/>
            <w:vMerge/>
            <w:tcBorders>
              <w:top w:val="nil"/>
              <w:left w:val="nil"/>
              <w:bottom w:val="nil"/>
              <w:right w:val="nil"/>
            </w:tcBorders>
            <w:shd w:val="clear" w:color="auto" w:fill="auto"/>
            <w:noWrap/>
            <w:vAlign w:val="center"/>
            <w:hideMark/>
          </w:tcPr>
          <w:p w14:paraId="67CF62D5" w14:textId="77777777" w:rsidR="00C9738B" w:rsidRPr="00FF3EF7" w:rsidRDefault="00C9738B" w:rsidP="00C9738B">
            <w:pPr>
              <w:spacing w:after="0" w:line="240" w:lineRule="auto"/>
              <w:jc w:val="center"/>
              <w:rPr>
                <w:sz w:val="20"/>
              </w:rPr>
            </w:pPr>
          </w:p>
        </w:tc>
      </w:tr>
      <w:tr w:rsidR="00C9738B" w:rsidRPr="00F66DCB" w14:paraId="54283B29"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5E8A8D90" w14:textId="77777777" w:rsidR="00C9738B" w:rsidRPr="0093649A" w:rsidRDefault="00C9738B" w:rsidP="00C9738B">
            <w:pPr>
              <w:spacing w:after="0" w:line="240" w:lineRule="auto"/>
              <w:rPr>
                <w:color w:val="000000"/>
                <w:sz w:val="20"/>
              </w:rPr>
            </w:pPr>
            <w:r w:rsidRPr="0093649A">
              <w:rPr>
                <w:color w:val="000000"/>
                <w:sz w:val="20"/>
              </w:rPr>
              <w:t>Dementia</w:t>
            </w:r>
          </w:p>
        </w:tc>
        <w:tc>
          <w:tcPr>
            <w:tcW w:w="1530" w:type="dxa"/>
            <w:tcBorders>
              <w:top w:val="nil"/>
              <w:left w:val="nil"/>
              <w:bottom w:val="nil"/>
              <w:right w:val="nil"/>
            </w:tcBorders>
            <w:shd w:val="clear" w:color="auto" w:fill="auto"/>
            <w:noWrap/>
            <w:vAlign w:val="center"/>
            <w:hideMark/>
          </w:tcPr>
          <w:p w14:paraId="0465A31C" w14:textId="77777777" w:rsidR="00C9738B" w:rsidRPr="00FF3EF7" w:rsidRDefault="00C9738B" w:rsidP="00C9738B">
            <w:pPr>
              <w:spacing w:after="0" w:line="240" w:lineRule="auto"/>
              <w:jc w:val="center"/>
              <w:rPr>
                <w:color w:val="000000"/>
                <w:sz w:val="20"/>
              </w:rPr>
            </w:pPr>
            <w:r w:rsidRPr="00FF3EF7">
              <w:rPr>
                <w:color w:val="000000"/>
                <w:sz w:val="20"/>
              </w:rPr>
              <w:t>2025/5425</w:t>
            </w:r>
          </w:p>
        </w:tc>
        <w:tc>
          <w:tcPr>
            <w:tcW w:w="1350" w:type="dxa"/>
            <w:tcBorders>
              <w:top w:val="nil"/>
              <w:left w:val="nil"/>
              <w:bottom w:val="nil"/>
              <w:right w:val="single" w:sz="4" w:space="0" w:color="auto"/>
            </w:tcBorders>
            <w:shd w:val="clear" w:color="auto" w:fill="auto"/>
            <w:noWrap/>
            <w:vAlign w:val="center"/>
            <w:hideMark/>
          </w:tcPr>
          <w:p w14:paraId="4A2F1BD3" w14:textId="77777777" w:rsidR="00C9738B" w:rsidRPr="00FF3EF7" w:rsidRDefault="00C9738B" w:rsidP="00C9738B">
            <w:pPr>
              <w:spacing w:after="0" w:line="240" w:lineRule="auto"/>
              <w:jc w:val="center"/>
              <w:rPr>
                <w:color w:val="000000"/>
                <w:sz w:val="20"/>
              </w:rPr>
            </w:pPr>
            <w:r w:rsidRPr="00FF3EF7">
              <w:rPr>
                <w:color w:val="000000"/>
                <w:sz w:val="20"/>
              </w:rPr>
              <w:t>37.3</w:t>
            </w:r>
          </w:p>
        </w:tc>
        <w:tc>
          <w:tcPr>
            <w:tcW w:w="2340" w:type="dxa"/>
            <w:tcBorders>
              <w:top w:val="nil"/>
              <w:left w:val="single" w:sz="4" w:space="0" w:color="auto"/>
              <w:bottom w:val="nil"/>
              <w:right w:val="nil"/>
            </w:tcBorders>
            <w:shd w:val="clear" w:color="auto" w:fill="auto"/>
            <w:noWrap/>
            <w:vAlign w:val="center"/>
            <w:hideMark/>
          </w:tcPr>
          <w:p w14:paraId="0C4B3F67" w14:textId="77777777" w:rsidR="00C9738B" w:rsidRPr="00FF3EF7" w:rsidRDefault="00C9738B" w:rsidP="00C9738B">
            <w:pPr>
              <w:spacing w:after="0" w:line="240" w:lineRule="auto"/>
              <w:jc w:val="center"/>
              <w:rPr>
                <w:color w:val="000000"/>
                <w:sz w:val="20"/>
              </w:rPr>
            </w:pPr>
            <w:r w:rsidRPr="00FF3EF7">
              <w:rPr>
                <w:color w:val="000000"/>
                <w:sz w:val="20"/>
              </w:rPr>
              <w:t>1.06 (1.03-1.10)</w:t>
            </w:r>
          </w:p>
        </w:tc>
        <w:tc>
          <w:tcPr>
            <w:tcW w:w="2070" w:type="dxa"/>
            <w:vMerge/>
            <w:tcBorders>
              <w:top w:val="nil"/>
              <w:left w:val="nil"/>
              <w:bottom w:val="nil"/>
              <w:right w:val="nil"/>
            </w:tcBorders>
            <w:shd w:val="clear" w:color="auto" w:fill="auto"/>
            <w:noWrap/>
            <w:vAlign w:val="center"/>
            <w:hideMark/>
          </w:tcPr>
          <w:p w14:paraId="3DCC0C6A" w14:textId="77777777" w:rsidR="00C9738B" w:rsidRPr="00FF3EF7" w:rsidRDefault="00C9738B" w:rsidP="00C9738B">
            <w:pPr>
              <w:spacing w:after="0" w:line="240" w:lineRule="auto"/>
              <w:jc w:val="center"/>
              <w:rPr>
                <w:color w:val="000000"/>
                <w:sz w:val="20"/>
              </w:rPr>
            </w:pPr>
          </w:p>
        </w:tc>
        <w:tc>
          <w:tcPr>
            <w:tcW w:w="2250" w:type="dxa"/>
            <w:vMerge/>
            <w:tcBorders>
              <w:top w:val="nil"/>
              <w:left w:val="nil"/>
              <w:bottom w:val="nil"/>
              <w:right w:val="nil"/>
            </w:tcBorders>
            <w:shd w:val="clear" w:color="auto" w:fill="auto"/>
            <w:noWrap/>
            <w:vAlign w:val="center"/>
            <w:hideMark/>
          </w:tcPr>
          <w:p w14:paraId="5805089C" w14:textId="77777777" w:rsidR="00C9738B" w:rsidRPr="00FF3EF7" w:rsidRDefault="00C9738B" w:rsidP="00C9738B">
            <w:pPr>
              <w:spacing w:after="0" w:line="240" w:lineRule="auto"/>
              <w:jc w:val="center"/>
              <w:rPr>
                <w:sz w:val="20"/>
              </w:rPr>
            </w:pPr>
          </w:p>
        </w:tc>
      </w:tr>
      <w:tr w:rsidR="00C9738B" w:rsidRPr="00F66DCB" w14:paraId="5786AADB"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267282B7" w14:textId="77777777" w:rsidR="00C9738B" w:rsidRPr="0093649A" w:rsidRDefault="00C9738B" w:rsidP="00C9738B">
            <w:pPr>
              <w:spacing w:after="0" w:line="240" w:lineRule="auto"/>
              <w:rPr>
                <w:color w:val="000000"/>
                <w:sz w:val="20"/>
              </w:rPr>
            </w:pPr>
            <w:r w:rsidRPr="0093649A">
              <w:rPr>
                <w:color w:val="000000"/>
                <w:sz w:val="20"/>
              </w:rPr>
              <w:t>Lung Disease</w:t>
            </w:r>
          </w:p>
        </w:tc>
        <w:tc>
          <w:tcPr>
            <w:tcW w:w="1530" w:type="dxa"/>
            <w:tcBorders>
              <w:top w:val="nil"/>
              <w:left w:val="nil"/>
              <w:bottom w:val="nil"/>
              <w:right w:val="nil"/>
            </w:tcBorders>
            <w:shd w:val="clear" w:color="auto" w:fill="auto"/>
            <w:noWrap/>
            <w:vAlign w:val="center"/>
            <w:hideMark/>
          </w:tcPr>
          <w:p w14:paraId="120D72C3" w14:textId="77777777" w:rsidR="00C9738B" w:rsidRPr="00FF3EF7" w:rsidRDefault="00C9738B" w:rsidP="00C9738B">
            <w:pPr>
              <w:spacing w:after="0" w:line="240" w:lineRule="auto"/>
              <w:jc w:val="center"/>
              <w:rPr>
                <w:color w:val="000000"/>
                <w:sz w:val="20"/>
              </w:rPr>
            </w:pPr>
            <w:r w:rsidRPr="00FF3EF7">
              <w:rPr>
                <w:color w:val="000000"/>
                <w:sz w:val="20"/>
              </w:rPr>
              <w:t>1024/3568</w:t>
            </w:r>
          </w:p>
        </w:tc>
        <w:tc>
          <w:tcPr>
            <w:tcW w:w="1350" w:type="dxa"/>
            <w:tcBorders>
              <w:top w:val="nil"/>
              <w:left w:val="nil"/>
              <w:bottom w:val="nil"/>
              <w:right w:val="single" w:sz="4" w:space="0" w:color="auto"/>
            </w:tcBorders>
            <w:shd w:val="clear" w:color="auto" w:fill="auto"/>
            <w:noWrap/>
            <w:vAlign w:val="center"/>
            <w:hideMark/>
          </w:tcPr>
          <w:p w14:paraId="28F852DF" w14:textId="77777777" w:rsidR="00C9738B" w:rsidRPr="00FF3EF7" w:rsidRDefault="00C9738B" w:rsidP="00C9738B">
            <w:pPr>
              <w:spacing w:after="0" w:line="240" w:lineRule="auto"/>
              <w:jc w:val="center"/>
              <w:rPr>
                <w:color w:val="000000"/>
                <w:sz w:val="20"/>
              </w:rPr>
            </w:pPr>
            <w:r w:rsidRPr="00FF3EF7">
              <w:rPr>
                <w:color w:val="000000"/>
                <w:sz w:val="20"/>
              </w:rPr>
              <w:t>28.7</w:t>
            </w:r>
          </w:p>
        </w:tc>
        <w:tc>
          <w:tcPr>
            <w:tcW w:w="2340" w:type="dxa"/>
            <w:tcBorders>
              <w:top w:val="nil"/>
              <w:left w:val="single" w:sz="4" w:space="0" w:color="auto"/>
              <w:bottom w:val="nil"/>
              <w:right w:val="nil"/>
            </w:tcBorders>
            <w:shd w:val="clear" w:color="auto" w:fill="auto"/>
            <w:noWrap/>
            <w:vAlign w:val="center"/>
            <w:hideMark/>
          </w:tcPr>
          <w:p w14:paraId="598FF90C" w14:textId="77777777" w:rsidR="00C9738B" w:rsidRPr="00FF3EF7" w:rsidRDefault="00C9738B" w:rsidP="00C9738B">
            <w:pPr>
              <w:spacing w:after="0" w:line="240" w:lineRule="auto"/>
              <w:jc w:val="center"/>
              <w:rPr>
                <w:color w:val="000000"/>
                <w:sz w:val="20"/>
              </w:rPr>
            </w:pPr>
            <w:r w:rsidRPr="00FF3EF7">
              <w:rPr>
                <w:color w:val="000000"/>
                <w:sz w:val="20"/>
              </w:rPr>
              <w:t>1.11 (1.07-1.16)</w:t>
            </w:r>
          </w:p>
        </w:tc>
        <w:tc>
          <w:tcPr>
            <w:tcW w:w="2070" w:type="dxa"/>
            <w:vMerge/>
            <w:tcBorders>
              <w:top w:val="nil"/>
              <w:left w:val="nil"/>
              <w:bottom w:val="nil"/>
              <w:right w:val="nil"/>
            </w:tcBorders>
            <w:shd w:val="clear" w:color="auto" w:fill="auto"/>
            <w:noWrap/>
            <w:vAlign w:val="center"/>
            <w:hideMark/>
          </w:tcPr>
          <w:p w14:paraId="03521881" w14:textId="77777777" w:rsidR="00C9738B" w:rsidRPr="00FF3EF7" w:rsidRDefault="00C9738B" w:rsidP="00C9738B">
            <w:pPr>
              <w:spacing w:after="0" w:line="240" w:lineRule="auto"/>
              <w:jc w:val="center"/>
              <w:rPr>
                <w:color w:val="000000"/>
                <w:sz w:val="20"/>
              </w:rPr>
            </w:pPr>
          </w:p>
        </w:tc>
        <w:tc>
          <w:tcPr>
            <w:tcW w:w="2250" w:type="dxa"/>
            <w:vMerge/>
            <w:tcBorders>
              <w:top w:val="nil"/>
              <w:left w:val="nil"/>
              <w:bottom w:val="nil"/>
              <w:right w:val="nil"/>
            </w:tcBorders>
            <w:shd w:val="clear" w:color="auto" w:fill="auto"/>
            <w:noWrap/>
            <w:vAlign w:val="center"/>
            <w:hideMark/>
          </w:tcPr>
          <w:p w14:paraId="7F82C9DA" w14:textId="77777777" w:rsidR="00C9738B" w:rsidRPr="00FF3EF7" w:rsidRDefault="00C9738B" w:rsidP="00C9738B">
            <w:pPr>
              <w:spacing w:after="0" w:line="240" w:lineRule="auto"/>
              <w:jc w:val="center"/>
              <w:rPr>
                <w:sz w:val="20"/>
              </w:rPr>
            </w:pPr>
          </w:p>
        </w:tc>
      </w:tr>
      <w:tr w:rsidR="00C9738B" w:rsidRPr="00F66DCB" w14:paraId="08C692E3"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64556B4C" w14:textId="77777777" w:rsidR="00C9738B" w:rsidRPr="0093649A" w:rsidRDefault="00C9738B" w:rsidP="00C9738B">
            <w:pPr>
              <w:spacing w:after="0" w:line="240" w:lineRule="auto"/>
              <w:rPr>
                <w:color w:val="000000"/>
                <w:sz w:val="20"/>
              </w:rPr>
            </w:pPr>
            <w:r w:rsidRPr="0093649A">
              <w:rPr>
                <w:color w:val="000000"/>
                <w:sz w:val="20"/>
              </w:rPr>
              <w:t>Heart Disease</w:t>
            </w:r>
          </w:p>
        </w:tc>
        <w:tc>
          <w:tcPr>
            <w:tcW w:w="1530" w:type="dxa"/>
            <w:tcBorders>
              <w:top w:val="nil"/>
              <w:left w:val="nil"/>
              <w:bottom w:val="nil"/>
              <w:right w:val="nil"/>
            </w:tcBorders>
            <w:shd w:val="clear" w:color="auto" w:fill="auto"/>
            <w:noWrap/>
            <w:vAlign w:val="center"/>
            <w:hideMark/>
          </w:tcPr>
          <w:p w14:paraId="3C023759" w14:textId="77777777" w:rsidR="00C9738B" w:rsidRPr="00FF3EF7" w:rsidRDefault="00C9738B" w:rsidP="00C9738B">
            <w:pPr>
              <w:spacing w:after="0" w:line="240" w:lineRule="auto"/>
              <w:jc w:val="center"/>
              <w:rPr>
                <w:color w:val="000000"/>
                <w:sz w:val="20"/>
              </w:rPr>
            </w:pPr>
            <w:r w:rsidRPr="00FF3EF7">
              <w:rPr>
                <w:color w:val="000000"/>
                <w:sz w:val="20"/>
              </w:rPr>
              <w:t>1286/4368</w:t>
            </w:r>
          </w:p>
        </w:tc>
        <w:tc>
          <w:tcPr>
            <w:tcW w:w="1350" w:type="dxa"/>
            <w:tcBorders>
              <w:top w:val="nil"/>
              <w:left w:val="nil"/>
              <w:bottom w:val="nil"/>
              <w:right w:val="single" w:sz="4" w:space="0" w:color="auto"/>
            </w:tcBorders>
            <w:shd w:val="clear" w:color="auto" w:fill="auto"/>
            <w:noWrap/>
            <w:vAlign w:val="center"/>
            <w:hideMark/>
          </w:tcPr>
          <w:p w14:paraId="3C122B06" w14:textId="77777777" w:rsidR="00C9738B" w:rsidRPr="00FF3EF7" w:rsidRDefault="00C9738B" w:rsidP="00C9738B">
            <w:pPr>
              <w:spacing w:after="0" w:line="240" w:lineRule="auto"/>
              <w:jc w:val="center"/>
              <w:rPr>
                <w:color w:val="000000"/>
                <w:sz w:val="20"/>
              </w:rPr>
            </w:pPr>
            <w:r w:rsidRPr="00FF3EF7">
              <w:rPr>
                <w:color w:val="000000"/>
                <w:sz w:val="20"/>
              </w:rPr>
              <w:t>29.4</w:t>
            </w:r>
          </w:p>
        </w:tc>
        <w:tc>
          <w:tcPr>
            <w:tcW w:w="2340" w:type="dxa"/>
            <w:tcBorders>
              <w:top w:val="nil"/>
              <w:left w:val="single" w:sz="4" w:space="0" w:color="auto"/>
              <w:bottom w:val="nil"/>
              <w:right w:val="nil"/>
            </w:tcBorders>
            <w:shd w:val="clear" w:color="auto" w:fill="auto"/>
            <w:noWrap/>
            <w:vAlign w:val="center"/>
            <w:hideMark/>
          </w:tcPr>
          <w:p w14:paraId="200948EB" w14:textId="77777777" w:rsidR="00C9738B" w:rsidRPr="00FF3EF7" w:rsidRDefault="00C9738B" w:rsidP="00C9738B">
            <w:pPr>
              <w:spacing w:after="0" w:line="240" w:lineRule="auto"/>
              <w:jc w:val="center"/>
              <w:rPr>
                <w:color w:val="000000"/>
                <w:sz w:val="20"/>
              </w:rPr>
            </w:pPr>
            <w:r w:rsidRPr="00FF3EF7">
              <w:rPr>
                <w:color w:val="000000"/>
                <w:sz w:val="20"/>
              </w:rPr>
              <w:t>0.97 (0.93-1.01)</w:t>
            </w:r>
          </w:p>
        </w:tc>
        <w:tc>
          <w:tcPr>
            <w:tcW w:w="2070" w:type="dxa"/>
            <w:vMerge/>
            <w:tcBorders>
              <w:top w:val="nil"/>
              <w:left w:val="nil"/>
              <w:bottom w:val="nil"/>
              <w:right w:val="nil"/>
            </w:tcBorders>
            <w:shd w:val="clear" w:color="auto" w:fill="auto"/>
            <w:noWrap/>
            <w:vAlign w:val="center"/>
            <w:hideMark/>
          </w:tcPr>
          <w:p w14:paraId="1F3F1AA4" w14:textId="77777777" w:rsidR="00C9738B" w:rsidRPr="00FF3EF7" w:rsidRDefault="00C9738B" w:rsidP="00C9738B">
            <w:pPr>
              <w:spacing w:after="0" w:line="240" w:lineRule="auto"/>
              <w:jc w:val="center"/>
              <w:rPr>
                <w:color w:val="000000"/>
                <w:sz w:val="20"/>
              </w:rPr>
            </w:pPr>
          </w:p>
        </w:tc>
        <w:tc>
          <w:tcPr>
            <w:tcW w:w="2250" w:type="dxa"/>
            <w:vMerge/>
            <w:tcBorders>
              <w:top w:val="nil"/>
              <w:left w:val="nil"/>
              <w:bottom w:val="nil"/>
              <w:right w:val="nil"/>
            </w:tcBorders>
            <w:shd w:val="clear" w:color="auto" w:fill="auto"/>
            <w:noWrap/>
            <w:vAlign w:val="center"/>
            <w:hideMark/>
          </w:tcPr>
          <w:p w14:paraId="52EDD30E" w14:textId="77777777" w:rsidR="00C9738B" w:rsidRPr="00FF3EF7" w:rsidRDefault="00C9738B" w:rsidP="00C9738B">
            <w:pPr>
              <w:spacing w:after="0" w:line="240" w:lineRule="auto"/>
              <w:jc w:val="center"/>
              <w:rPr>
                <w:sz w:val="20"/>
              </w:rPr>
            </w:pPr>
          </w:p>
        </w:tc>
      </w:tr>
      <w:tr w:rsidR="00C9738B" w:rsidRPr="00F66DCB" w14:paraId="25BFDBF8"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44FDB6ED" w14:textId="77777777" w:rsidR="00C9738B" w:rsidRPr="0093649A" w:rsidRDefault="00C9738B" w:rsidP="00C9738B">
            <w:pPr>
              <w:spacing w:after="0" w:line="240" w:lineRule="auto"/>
              <w:rPr>
                <w:color w:val="000000"/>
                <w:sz w:val="20"/>
              </w:rPr>
            </w:pPr>
            <w:r w:rsidRPr="0093649A">
              <w:rPr>
                <w:color w:val="000000"/>
                <w:sz w:val="20"/>
              </w:rPr>
              <w:t>Ischemic Stroke</w:t>
            </w:r>
          </w:p>
        </w:tc>
        <w:tc>
          <w:tcPr>
            <w:tcW w:w="1530" w:type="dxa"/>
            <w:tcBorders>
              <w:top w:val="nil"/>
              <w:left w:val="nil"/>
              <w:bottom w:val="nil"/>
              <w:right w:val="nil"/>
            </w:tcBorders>
            <w:shd w:val="clear" w:color="auto" w:fill="auto"/>
            <w:noWrap/>
            <w:vAlign w:val="center"/>
            <w:hideMark/>
          </w:tcPr>
          <w:p w14:paraId="545F7F3C" w14:textId="77777777" w:rsidR="00C9738B" w:rsidRPr="00FF3EF7" w:rsidRDefault="00C9738B" w:rsidP="00C9738B">
            <w:pPr>
              <w:spacing w:after="0" w:line="240" w:lineRule="auto"/>
              <w:jc w:val="center"/>
              <w:rPr>
                <w:color w:val="000000"/>
                <w:sz w:val="20"/>
              </w:rPr>
            </w:pPr>
            <w:r w:rsidRPr="00FF3EF7">
              <w:rPr>
                <w:color w:val="000000"/>
                <w:sz w:val="20"/>
              </w:rPr>
              <w:t>244/1389</w:t>
            </w:r>
          </w:p>
        </w:tc>
        <w:tc>
          <w:tcPr>
            <w:tcW w:w="1350" w:type="dxa"/>
            <w:tcBorders>
              <w:top w:val="nil"/>
              <w:left w:val="nil"/>
              <w:bottom w:val="nil"/>
              <w:right w:val="single" w:sz="4" w:space="0" w:color="auto"/>
            </w:tcBorders>
            <w:shd w:val="clear" w:color="auto" w:fill="auto"/>
            <w:noWrap/>
            <w:vAlign w:val="center"/>
            <w:hideMark/>
          </w:tcPr>
          <w:p w14:paraId="6EA0F22B" w14:textId="77777777" w:rsidR="00C9738B" w:rsidRPr="00FF3EF7" w:rsidRDefault="00C9738B" w:rsidP="00C9738B">
            <w:pPr>
              <w:spacing w:after="0" w:line="240" w:lineRule="auto"/>
              <w:jc w:val="center"/>
              <w:rPr>
                <w:color w:val="000000"/>
                <w:sz w:val="20"/>
              </w:rPr>
            </w:pPr>
            <w:r w:rsidRPr="00FF3EF7">
              <w:rPr>
                <w:color w:val="000000"/>
                <w:sz w:val="20"/>
              </w:rPr>
              <w:t>17.6</w:t>
            </w:r>
          </w:p>
        </w:tc>
        <w:tc>
          <w:tcPr>
            <w:tcW w:w="2340" w:type="dxa"/>
            <w:tcBorders>
              <w:top w:val="nil"/>
              <w:left w:val="single" w:sz="4" w:space="0" w:color="auto"/>
              <w:bottom w:val="nil"/>
              <w:right w:val="nil"/>
            </w:tcBorders>
            <w:shd w:val="clear" w:color="auto" w:fill="auto"/>
            <w:noWrap/>
            <w:vAlign w:val="center"/>
            <w:hideMark/>
          </w:tcPr>
          <w:p w14:paraId="2F773F80" w14:textId="77777777" w:rsidR="00C9738B" w:rsidRPr="00FF3EF7" w:rsidRDefault="00C9738B" w:rsidP="00C9738B">
            <w:pPr>
              <w:spacing w:after="0" w:line="240" w:lineRule="auto"/>
              <w:jc w:val="center"/>
              <w:rPr>
                <w:color w:val="000000"/>
                <w:sz w:val="20"/>
              </w:rPr>
            </w:pPr>
            <w:r w:rsidRPr="00FF3EF7">
              <w:rPr>
                <w:color w:val="000000"/>
                <w:sz w:val="20"/>
              </w:rPr>
              <w:t>0.89 (0.81-0.98)</w:t>
            </w:r>
          </w:p>
        </w:tc>
        <w:tc>
          <w:tcPr>
            <w:tcW w:w="2070" w:type="dxa"/>
            <w:vMerge/>
            <w:tcBorders>
              <w:top w:val="nil"/>
              <w:left w:val="nil"/>
              <w:bottom w:val="nil"/>
              <w:right w:val="nil"/>
            </w:tcBorders>
            <w:shd w:val="clear" w:color="auto" w:fill="auto"/>
            <w:noWrap/>
            <w:vAlign w:val="center"/>
            <w:hideMark/>
          </w:tcPr>
          <w:p w14:paraId="0CCBF04A" w14:textId="77777777" w:rsidR="00C9738B" w:rsidRPr="00FF3EF7" w:rsidRDefault="00C9738B" w:rsidP="00C9738B">
            <w:pPr>
              <w:spacing w:after="0" w:line="240" w:lineRule="auto"/>
              <w:jc w:val="center"/>
              <w:rPr>
                <w:color w:val="000000"/>
                <w:sz w:val="20"/>
              </w:rPr>
            </w:pPr>
          </w:p>
        </w:tc>
        <w:tc>
          <w:tcPr>
            <w:tcW w:w="2250" w:type="dxa"/>
            <w:vMerge/>
            <w:tcBorders>
              <w:top w:val="nil"/>
              <w:left w:val="nil"/>
              <w:bottom w:val="nil"/>
              <w:right w:val="nil"/>
            </w:tcBorders>
            <w:shd w:val="clear" w:color="auto" w:fill="auto"/>
            <w:noWrap/>
            <w:vAlign w:val="center"/>
            <w:hideMark/>
          </w:tcPr>
          <w:p w14:paraId="06CDF1BF" w14:textId="77777777" w:rsidR="00C9738B" w:rsidRPr="00FF3EF7" w:rsidRDefault="00C9738B" w:rsidP="00C9738B">
            <w:pPr>
              <w:spacing w:after="0" w:line="240" w:lineRule="auto"/>
              <w:jc w:val="center"/>
              <w:rPr>
                <w:sz w:val="20"/>
              </w:rPr>
            </w:pPr>
          </w:p>
        </w:tc>
      </w:tr>
      <w:tr w:rsidR="00C9738B" w:rsidRPr="00F66DCB" w14:paraId="3D195D46"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4C6679AE" w14:textId="77777777" w:rsidR="00C9738B" w:rsidRPr="0093649A" w:rsidRDefault="00C9738B" w:rsidP="00C9738B">
            <w:pPr>
              <w:spacing w:after="0" w:line="240" w:lineRule="auto"/>
              <w:rPr>
                <w:color w:val="000000"/>
                <w:sz w:val="20"/>
              </w:rPr>
            </w:pPr>
            <w:r w:rsidRPr="0093649A">
              <w:rPr>
                <w:color w:val="000000"/>
                <w:sz w:val="20"/>
              </w:rPr>
              <w:t>Renal Disease</w:t>
            </w:r>
          </w:p>
        </w:tc>
        <w:tc>
          <w:tcPr>
            <w:tcW w:w="1530" w:type="dxa"/>
            <w:tcBorders>
              <w:top w:val="nil"/>
              <w:left w:val="nil"/>
              <w:bottom w:val="nil"/>
              <w:right w:val="nil"/>
            </w:tcBorders>
            <w:shd w:val="clear" w:color="auto" w:fill="auto"/>
            <w:noWrap/>
            <w:vAlign w:val="center"/>
            <w:hideMark/>
          </w:tcPr>
          <w:p w14:paraId="1256F815" w14:textId="77777777" w:rsidR="00C9738B" w:rsidRPr="00FF3EF7" w:rsidRDefault="00C9738B" w:rsidP="00C9738B">
            <w:pPr>
              <w:spacing w:after="0" w:line="240" w:lineRule="auto"/>
              <w:jc w:val="center"/>
              <w:rPr>
                <w:color w:val="000000"/>
                <w:sz w:val="20"/>
              </w:rPr>
            </w:pPr>
            <w:r w:rsidRPr="00FF3EF7">
              <w:rPr>
                <w:color w:val="000000"/>
                <w:sz w:val="20"/>
              </w:rPr>
              <w:t>253/1512</w:t>
            </w:r>
          </w:p>
        </w:tc>
        <w:tc>
          <w:tcPr>
            <w:tcW w:w="1350" w:type="dxa"/>
            <w:tcBorders>
              <w:top w:val="nil"/>
              <w:left w:val="nil"/>
              <w:bottom w:val="nil"/>
              <w:right w:val="single" w:sz="4" w:space="0" w:color="auto"/>
            </w:tcBorders>
            <w:shd w:val="clear" w:color="auto" w:fill="auto"/>
            <w:noWrap/>
            <w:vAlign w:val="center"/>
            <w:hideMark/>
          </w:tcPr>
          <w:p w14:paraId="2D77F860" w14:textId="77777777" w:rsidR="00C9738B" w:rsidRPr="00FF3EF7" w:rsidRDefault="00C9738B" w:rsidP="00C9738B">
            <w:pPr>
              <w:spacing w:after="0" w:line="240" w:lineRule="auto"/>
              <w:jc w:val="center"/>
              <w:rPr>
                <w:color w:val="000000"/>
                <w:sz w:val="20"/>
              </w:rPr>
            </w:pPr>
            <w:r w:rsidRPr="00FF3EF7">
              <w:rPr>
                <w:color w:val="000000"/>
                <w:sz w:val="20"/>
              </w:rPr>
              <w:t>16.7</w:t>
            </w:r>
          </w:p>
        </w:tc>
        <w:tc>
          <w:tcPr>
            <w:tcW w:w="2340" w:type="dxa"/>
            <w:tcBorders>
              <w:top w:val="nil"/>
              <w:left w:val="single" w:sz="4" w:space="0" w:color="auto"/>
              <w:bottom w:val="nil"/>
              <w:right w:val="nil"/>
            </w:tcBorders>
            <w:shd w:val="clear" w:color="auto" w:fill="auto"/>
            <w:noWrap/>
            <w:vAlign w:val="center"/>
            <w:hideMark/>
          </w:tcPr>
          <w:p w14:paraId="6E803DEF" w14:textId="77777777" w:rsidR="00C9738B" w:rsidRPr="00FF3EF7" w:rsidRDefault="00C9738B" w:rsidP="00C9738B">
            <w:pPr>
              <w:spacing w:after="0" w:line="240" w:lineRule="auto"/>
              <w:jc w:val="center"/>
              <w:rPr>
                <w:color w:val="000000"/>
                <w:sz w:val="20"/>
              </w:rPr>
            </w:pPr>
            <w:r w:rsidRPr="00FF3EF7">
              <w:rPr>
                <w:color w:val="000000"/>
                <w:sz w:val="20"/>
              </w:rPr>
              <w:t>1.03 (0.94-1.13)</w:t>
            </w:r>
          </w:p>
        </w:tc>
        <w:tc>
          <w:tcPr>
            <w:tcW w:w="2070" w:type="dxa"/>
            <w:vMerge/>
            <w:tcBorders>
              <w:top w:val="nil"/>
              <w:left w:val="nil"/>
              <w:bottom w:val="nil"/>
              <w:right w:val="nil"/>
            </w:tcBorders>
            <w:shd w:val="clear" w:color="auto" w:fill="auto"/>
            <w:noWrap/>
            <w:vAlign w:val="center"/>
            <w:hideMark/>
          </w:tcPr>
          <w:p w14:paraId="48D4E978" w14:textId="77777777" w:rsidR="00C9738B" w:rsidRPr="00FF3EF7" w:rsidRDefault="00C9738B" w:rsidP="00C9738B">
            <w:pPr>
              <w:spacing w:after="0" w:line="240" w:lineRule="auto"/>
              <w:jc w:val="center"/>
              <w:rPr>
                <w:color w:val="000000"/>
                <w:sz w:val="20"/>
              </w:rPr>
            </w:pPr>
          </w:p>
        </w:tc>
        <w:tc>
          <w:tcPr>
            <w:tcW w:w="2250" w:type="dxa"/>
            <w:vMerge/>
            <w:tcBorders>
              <w:top w:val="nil"/>
              <w:left w:val="nil"/>
              <w:bottom w:val="nil"/>
              <w:right w:val="nil"/>
            </w:tcBorders>
            <w:shd w:val="clear" w:color="auto" w:fill="auto"/>
            <w:noWrap/>
            <w:vAlign w:val="center"/>
            <w:hideMark/>
          </w:tcPr>
          <w:p w14:paraId="2B0D6CF3" w14:textId="77777777" w:rsidR="00C9738B" w:rsidRPr="00FF3EF7" w:rsidRDefault="00C9738B" w:rsidP="00C9738B">
            <w:pPr>
              <w:spacing w:after="0" w:line="240" w:lineRule="auto"/>
              <w:jc w:val="center"/>
              <w:rPr>
                <w:sz w:val="20"/>
              </w:rPr>
            </w:pPr>
          </w:p>
        </w:tc>
      </w:tr>
      <w:tr w:rsidR="00C9738B" w:rsidRPr="00F66DCB" w14:paraId="17738BCA" w14:textId="77777777" w:rsidTr="003025FC">
        <w:trPr>
          <w:trHeight w:val="20"/>
        </w:trPr>
        <w:tc>
          <w:tcPr>
            <w:tcW w:w="3325" w:type="dxa"/>
            <w:tcBorders>
              <w:top w:val="nil"/>
              <w:left w:val="nil"/>
              <w:bottom w:val="single" w:sz="4" w:space="0" w:color="auto"/>
              <w:right w:val="nil"/>
            </w:tcBorders>
            <w:shd w:val="clear" w:color="auto" w:fill="auto"/>
            <w:noWrap/>
            <w:tcMar>
              <w:left w:w="216" w:type="dxa"/>
            </w:tcMar>
            <w:vAlign w:val="center"/>
            <w:hideMark/>
          </w:tcPr>
          <w:p w14:paraId="111C2CB6" w14:textId="77777777" w:rsidR="00C9738B" w:rsidRPr="0093649A" w:rsidRDefault="00C9738B" w:rsidP="00C9738B">
            <w:pPr>
              <w:spacing w:after="0" w:line="240" w:lineRule="auto"/>
              <w:rPr>
                <w:color w:val="000000"/>
                <w:sz w:val="20"/>
              </w:rPr>
            </w:pPr>
            <w:r w:rsidRPr="0093649A">
              <w:rPr>
                <w:color w:val="000000"/>
                <w:sz w:val="20"/>
              </w:rPr>
              <w:t>Other Non-Cancer</w:t>
            </w:r>
          </w:p>
        </w:tc>
        <w:tc>
          <w:tcPr>
            <w:tcW w:w="1530" w:type="dxa"/>
            <w:tcBorders>
              <w:top w:val="nil"/>
              <w:left w:val="nil"/>
              <w:bottom w:val="single" w:sz="4" w:space="0" w:color="auto"/>
              <w:right w:val="nil"/>
            </w:tcBorders>
            <w:shd w:val="clear" w:color="auto" w:fill="auto"/>
            <w:noWrap/>
            <w:vAlign w:val="center"/>
            <w:hideMark/>
          </w:tcPr>
          <w:p w14:paraId="00EBF346" w14:textId="77777777" w:rsidR="00C9738B" w:rsidRPr="00FF3EF7" w:rsidRDefault="00C9738B" w:rsidP="00C9738B">
            <w:pPr>
              <w:spacing w:after="0" w:line="240" w:lineRule="auto"/>
              <w:jc w:val="center"/>
              <w:rPr>
                <w:color w:val="000000"/>
                <w:sz w:val="20"/>
              </w:rPr>
            </w:pPr>
            <w:r w:rsidRPr="00FF3EF7">
              <w:rPr>
                <w:color w:val="000000"/>
                <w:sz w:val="20"/>
              </w:rPr>
              <w:t>840/3798</w:t>
            </w:r>
          </w:p>
        </w:tc>
        <w:tc>
          <w:tcPr>
            <w:tcW w:w="1350" w:type="dxa"/>
            <w:tcBorders>
              <w:top w:val="nil"/>
              <w:left w:val="nil"/>
              <w:bottom w:val="single" w:sz="4" w:space="0" w:color="auto"/>
              <w:right w:val="single" w:sz="4" w:space="0" w:color="auto"/>
            </w:tcBorders>
            <w:shd w:val="clear" w:color="auto" w:fill="auto"/>
            <w:noWrap/>
            <w:vAlign w:val="center"/>
            <w:hideMark/>
          </w:tcPr>
          <w:p w14:paraId="76E07DE6" w14:textId="77777777" w:rsidR="00C9738B" w:rsidRPr="00FF3EF7" w:rsidRDefault="00C9738B" w:rsidP="00C9738B">
            <w:pPr>
              <w:spacing w:after="0" w:line="240" w:lineRule="auto"/>
              <w:jc w:val="center"/>
              <w:rPr>
                <w:color w:val="000000"/>
                <w:sz w:val="20"/>
              </w:rPr>
            </w:pPr>
            <w:r w:rsidRPr="00FF3EF7">
              <w:rPr>
                <w:color w:val="000000"/>
                <w:sz w:val="20"/>
              </w:rPr>
              <w:t>22.2</w:t>
            </w:r>
          </w:p>
        </w:tc>
        <w:tc>
          <w:tcPr>
            <w:tcW w:w="2340" w:type="dxa"/>
            <w:tcBorders>
              <w:top w:val="nil"/>
              <w:left w:val="single" w:sz="4" w:space="0" w:color="auto"/>
              <w:bottom w:val="single" w:sz="4" w:space="0" w:color="auto"/>
              <w:right w:val="nil"/>
            </w:tcBorders>
            <w:shd w:val="clear" w:color="auto" w:fill="auto"/>
            <w:noWrap/>
            <w:vAlign w:val="center"/>
            <w:hideMark/>
          </w:tcPr>
          <w:p w14:paraId="1D4AC69C" w14:textId="77777777" w:rsidR="00C9738B" w:rsidRPr="00FF3EF7" w:rsidRDefault="00C9738B" w:rsidP="00C9738B">
            <w:pPr>
              <w:spacing w:after="0" w:line="240" w:lineRule="auto"/>
              <w:jc w:val="center"/>
              <w:rPr>
                <w:color w:val="000000"/>
                <w:sz w:val="20"/>
              </w:rPr>
            </w:pPr>
            <w:r w:rsidRPr="00FF3EF7">
              <w:rPr>
                <w:color w:val="000000"/>
                <w:sz w:val="20"/>
              </w:rPr>
              <w:t>0.98 (0.93-1.03)</w:t>
            </w:r>
          </w:p>
        </w:tc>
        <w:tc>
          <w:tcPr>
            <w:tcW w:w="2070" w:type="dxa"/>
            <w:vMerge/>
            <w:tcBorders>
              <w:top w:val="nil"/>
              <w:left w:val="nil"/>
              <w:bottom w:val="single" w:sz="4" w:space="0" w:color="auto"/>
              <w:right w:val="nil"/>
            </w:tcBorders>
            <w:shd w:val="clear" w:color="auto" w:fill="auto"/>
            <w:noWrap/>
            <w:vAlign w:val="center"/>
            <w:hideMark/>
          </w:tcPr>
          <w:p w14:paraId="58B21CD2" w14:textId="77777777" w:rsidR="00C9738B" w:rsidRPr="00FF3EF7" w:rsidRDefault="00C9738B" w:rsidP="00C9738B">
            <w:pPr>
              <w:spacing w:after="0" w:line="240" w:lineRule="auto"/>
              <w:jc w:val="center"/>
              <w:rPr>
                <w:color w:val="000000"/>
                <w:sz w:val="20"/>
              </w:rPr>
            </w:pPr>
          </w:p>
        </w:tc>
        <w:tc>
          <w:tcPr>
            <w:tcW w:w="2250" w:type="dxa"/>
            <w:vMerge/>
            <w:tcBorders>
              <w:top w:val="nil"/>
              <w:left w:val="nil"/>
              <w:bottom w:val="single" w:sz="4" w:space="0" w:color="auto"/>
              <w:right w:val="nil"/>
            </w:tcBorders>
            <w:shd w:val="clear" w:color="auto" w:fill="auto"/>
            <w:noWrap/>
            <w:vAlign w:val="center"/>
            <w:hideMark/>
          </w:tcPr>
          <w:p w14:paraId="44088F70" w14:textId="77777777" w:rsidR="00C9738B" w:rsidRPr="00FF3EF7" w:rsidRDefault="00C9738B" w:rsidP="00C9738B">
            <w:pPr>
              <w:spacing w:after="0" w:line="240" w:lineRule="auto"/>
              <w:jc w:val="center"/>
              <w:rPr>
                <w:sz w:val="20"/>
              </w:rPr>
            </w:pPr>
          </w:p>
        </w:tc>
      </w:tr>
    </w:tbl>
    <w:p w14:paraId="05C4F709" w14:textId="77777777" w:rsidR="00EA4C3D" w:rsidRDefault="00EA4C3D"/>
    <w:p w14:paraId="40200A45" w14:textId="39BF642B" w:rsidR="00EA4C3D" w:rsidRDefault="000F38E5" w:rsidP="00EA4C3D">
      <w:pPr>
        <w:spacing w:after="0" w:line="240" w:lineRule="auto"/>
        <w:ind w:right="432"/>
        <w:jc w:val="center"/>
        <w:rPr>
          <w:b/>
        </w:rPr>
      </w:pPr>
      <w:r>
        <w:rPr>
          <w:b/>
        </w:rPr>
        <w:lastRenderedPageBreak/>
        <w:t>TABLE XIII</w:t>
      </w:r>
      <w:r w:rsidR="00EA4C3D">
        <w:rPr>
          <w:b/>
        </w:rPr>
        <w:t xml:space="preserve"> (continued)</w:t>
      </w:r>
    </w:p>
    <w:p w14:paraId="2836CD5D" w14:textId="77777777" w:rsidR="00EA4C3D" w:rsidRDefault="00EA4C3D" w:rsidP="00EA4C3D">
      <w:pPr>
        <w:spacing w:after="0" w:line="240" w:lineRule="auto"/>
        <w:jc w:val="center"/>
        <w:rPr>
          <w:b/>
        </w:rPr>
      </w:pPr>
    </w:p>
    <w:p w14:paraId="7045CF63" w14:textId="6552D11E" w:rsidR="00EA4C3D" w:rsidRPr="00EA4C3D" w:rsidRDefault="00EA4C3D" w:rsidP="00EA4C3D">
      <w:pPr>
        <w:spacing w:after="0" w:line="240" w:lineRule="auto"/>
        <w:ind w:right="432"/>
        <w:jc w:val="center"/>
        <w:rPr>
          <w:caps/>
        </w:rPr>
      </w:pPr>
      <w:r w:rsidRPr="00C9738B">
        <w:rPr>
          <w:caps/>
        </w:rPr>
        <w:t>Factors Associated With Continuation of ≥1 Limited Benefit Medication After Hospice Admission</w:t>
      </w:r>
    </w:p>
    <w:tbl>
      <w:tblPr>
        <w:tblW w:w="12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325"/>
        <w:gridCol w:w="1530"/>
        <w:gridCol w:w="1350"/>
        <w:gridCol w:w="2340"/>
        <w:gridCol w:w="2070"/>
        <w:gridCol w:w="2250"/>
      </w:tblGrid>
      <w:tr w:rsidR="006A12F6" w:rsidRPr="00F66DCB" w14:paraId="56E357C9" w14:textId="77777777" w:rsidTr="003025FC">
        <w:trPr>
          <w:trHeight w:val="385"/>
        </w:trPr>
        <w:tc>
          <w:tcPr>
            <w:tcW w:w="3325" w:type="dxa"/>
            <w:tcBorders>
              <w:top w:val="single" w:sz="4" w:space="0" w:color="auto"/>
              <w:left w:val="nil"/>
              <w:bottom w:val="nil"/>
              <w:right w:val="nil"/>
            </w:tcBorders>
            <w:shd w:val="clear" w:color="auto" w:fill="auto"/>
            <w:noWrap/>
            <w:vAlign w:val="center"/>
          </w:tcPr>
          <w:p w14:paraId="4C4CEC22" w14:textId="77777777" w:rsidR="006A12F6" w:rsidRPr="0093649A" w:rsidRDefault="006A12F6" w:rsidP="00077D08">
            <w:pPr>
              <w:spacing w:after="0" w:line="240" w:lineRule="auto"/>
              <w:rPr>
                <w:color w:val="000000"/>
                <w:sz w:val="20"/>
              </w:rPr>
            </w:pPr>
          </w:p>
        </w:tc>
        <w:tc>
          <w:tcPr>
            <w:tcW w:w="2880" w:type="dxa"/>
            <w:gridSpan w:val="2"/>
            <w:tcBorders>
              <w:top w:val="single" w:sz="4" w:space="0" w:color="auto"/>
              <w:left w:val="nil"/>
              <w:bottom w:val="single" w:sz="4" w:space="0" w:color="auto"/>
              <w:right w:val="nil"/>
            </w:tcBorders>
            <w:shd w:val="clear" w:color="auto" w:fill="auto"/>
            <w:noWrap/>
            <w:tcMar>
              <w:left w:w="29" w:type="dxa"/>
              <w:right w:w="29" w:type="dxa"/>
            </w:tcMar>
          </w:tcPr>
          <w:p w14:paraId="5F4EF4AE" w14:textId="7CE5671E" w:rsidR="006A12F6" w:rsidRPr="00FF3EF7" w:rsidRDefault="006A12F6" w:rsidP="00077D08">
            <w:pPr>
              <w:spacing w:after="0" w:line="240" w:lineRule="auto"/>
              <w:jc w:val="center"/>
              <w:rPr>
                <w:sz w:val="20"/>
              </w:rPr>
            </w:pPr>
            <w:r w:rsidRPr="0093023C">
              <w:rPr>
                <w:b/>
                <w:color w:val="000000"/>
                <w:sz w:val="20"/>
              </w:rPr>
              <w:t>≥1</w:t>
            </w:r>
            <w:r>
              <w:rPr>
                <w:b/>
                <w:color w:val="000000"/>
                <w:sz w:val="20"/>
              </w:rPr>
              <w:t xml:space="preserve"> Limited Benefit Medication After Hospice Admission</w:t>
            </w:r>
          </w:p>
        </w:tc>
        <w:tc>
          <w:tcPr>
            <w:tcW w:w="2340" w:type="dxa"/>
            <w:tcBorders>
              <w:top w:val="single" w:sz="4" w:space="0" w:color="auto"/>
              <w:left w:val="nil"/>
              <w:bottom w:val="single" w:sz="4" w:space="0" w:color="auto"/>
              <w:right w:val="nil"/>
            </w:tcBorders>
            <w:shd w:val="clear" w:color="auto" w:fill="auto"/>
            <w:noWrap/>
            <w:vAlign w:val="bottom"/>
          </w:tcPr>
          <w:p w14:paraId="730DA846" w14:textId="5CD3A073" w:rsidR="006A12F6" w:rsidRPr="00FF3EF7" w:rsidRDefault="006A12F6" w:rsidP="00077D08">
            <w:pPr>
              <w:spacing w:after="0" w:line="240" w:lineRule="auto"/>
              <w:jc w:val="center"/>
              <w:rPr>
                <w:sz w:val="20"/>
              </w:rPr>
            </w:pPr>
            <w:r w:rsidRPr="0093023C">
              <w:rPr>
                <w:b/>
                <w:color w:val="000000"/>
                <w:sz w:val="20"/>
              </w:rPr>
              <w:t>All Patients</w:t>
            </w:r>
          </w:p>
        </w:tc>
        <w:tc>
          <w:tcPr>
            <w:tcW w:w="2070" w:type="dxa"/>
            <w:tcBorders>
              <w:top w:val="single" w:sz="4" w:space="0" w:color="auto"/>
              <w:left w:val="nil"/>
              <w:bottom w:val="single" w:sz="4" w:space="0" w:color="auto"/>
              <w:right w:val="nil"/>
            </w:tcBorders>
            <w:shd w:val="clear" w:color="auto" w:fill="auto"/>
            <w:noWrap/>
          </w:tcPr>
          <w:p w14:paraId="6DFD894D" w14:textId="3DBF3C6F" w:rsidR="006A12F6" w:rsidRPr="00FF3EF7" w:rsidRDefault="006A12F6" w:rsidP="00077D08">
            <w:pPr>
              <w:spacing w:after="0" w:line="240" w:lineRule="auto"/>
              <w:jc w:val="center"/>
              <w:rPr>
                <w:sz w:val="20"/>
              </w:rPr>
            </w:pPr>
            <w:r w:rsidRPr="0093023C">
              <w:rPr>
                <w:b/>
                <w:color w:val="000000"/>
                <w:sz w:val="20"/>
              </w:rPr>
              <w:t>Cancer Admission Diagnosis</w:t>
            </w:r>
          </w:p>
        </w:tc>
        <w:tc>
          <w:tcPr>
            <w:tcW w:w="2250" w:type="dxa"/>
            <w:tcBorders>
              <w:top w:val="single" w:sz="4" w:space="0" w:color="auto"/>
              <w:left w:val="nil"/>
              <w:bottom w:val="single" w:sz="4" w:space="0" w:color="auto"/>
              <w:right w:val="nil"/>
            </w:tcBorders>
            <w:shd w:val="clear" w:color="auto" w:fill="auto"/>
            <w:noWrap/>
          </w:tcPr>
          <w:p w14:paraId="32894330" w14:textId="63B922DE" w:rsidR="006A12F6" w:rsidRPr="006A12F6" w:rsidRDefault="006A12F6" w:rsidP="006A12F6">
            <w:pPr>
              <w:spacing w:after="0" w:line="240" w:lineRule="auto"/>
              <w:jc w:val="center"/>
              <w:rPr>
                <w:b/>
                <w:color w:val="000000"/>
                <w:sz w:val="20"/>
              </w:rPr>
            </w:pPr>
            <w:r w:rsidRPr="0093023C">
              <w:rPr>
                <w:b/>
                <w:color w:val="000000"/>
                <w:sz w:val="20"/>
              </w:rPr>
              <w:t>Non-Cancer Admission Diagnosis</w:t>
            </w:r>
          </w:p>
        </w:tc>
      </w:tr>
      <w:tr w:rsidR="00DE7FD3" w:rsidRPr="00F66DCB" w14:paraId="3F5A1283" w14:textId="77777777" w:rsidTr="003025FC">
        <w:trPr>
          <w:trHeight w:hRule="exact" w:val="288"/>
        </w:trPr>
        <w:tc>
          <w:tcPr>
            <w:tcW w:w="3325" w:type="dxa"/>
            <w:tcBorders>
              <w:top w:val="nil"/>
              <w:left w:val="nil"/>
              <w:bottom w:val="single" w:sz="4" w:space="0" w:color="auto"/>
              <w:right w:val="nil"/>
            </w:tcBorders>
            <w:shd w:val="clear" w:color="auto" w:fill="auto"/>
            <w:noWrap/>
            <w:vAlign w:val="center"/>
          </w:tcPr>
          <w:p w14:paraId="60C052F0" w14:textId="31AB805A" w:rsidR="00DE7FD3" w:rsidRPr="0093649A" w:rsidRDefault="00DE7FD3" w:rsidP="00077D08">
            <w:pPr>
              <w:spacing w:after="0" w:line="240" w:lineRule="auto"/>
              <w:rPr>
                <w:color w:val="000000"/>
                <w:sz w:val="20"/>
              </w:rPr>
            </w:pPr>
            <w:r>
              <w:rPr>
                <w:b/>
                <w:color w:val="000000"/>
                <w:sz w:val="20"/>
              </w:rPr>
              <w:t>Factor</w:t>
            </w:r>
          </w:p>
        </w:tc>
        <w:tc>
          <w:tcPr>
            <w:tcW w:w="1530" w:type="dxa"/>
            <w:tcBorders>
              <w:top w:val="single" w:sz="4" w:space="0" w:color="auto"/>
              <w:left w:val="nil"/>
              <w:bottom w:val="single" w:sz="6" w:space="0" w:color="auto"/>
              <w:right w:val="nil"/>
            </w:tcBorders>
            <w:shd w:val="clear" w:color="auto" w:fill="auto"/>
            <w:noWrap/>
            <w:vAlign w:val="center"/>
          </w:tcPr>
          <w:p w14:paraId="4D3AA49E" w14:textId="64CFCCAD" w:rsidR="00DE7FD3" w:rsidRPr="00FF3EF7" w:rsidRDefault="00DE7FD3" w:rsidP="00077D08">
            <w:pPr>
              <w:spacing w:after="0" w:line="240" w:lineRule="auto"/>
              <w:jc w:val="center"/>
              <w:rPr>
                <w:color w:val="000000"/>
                <w:sz w:val="20"/>
              </w:rPr>
            </w:pPr>
            <w:r w:rsidRPr="0093023C">
              <w:rPr>
                <w:b/>
                <w:color w:val="000000"/>
                <w:sz w:val="20"/>
              </w:rPr>
              <w:t>n/N</w:t>
            </w:r>
          </w:p>
        </w:tc>
        <w:tc>
          <w:tcPr>
            <w:tcW w:w="1350" w:type="dxa"/>
            <w:tcBorders>
              <w:top w:val="single" w:sz="4" w:space="0" w:color="auto"/>
              <w:left w:val="nil"/>
              <w:bottom w:val="single" w:sz="6" w:space="0" w:color="auto"/>
              <w:right w:val="nil"/>
            </w:tcBorders>
            <w:shd w:val="clear" w:color="auto" w:fill="auto"/>
            <w:noWrap/>
            <w:vAlign w:val="center"/>
          </w:tcPr>
          <w:p w14:paraId="5DCA1CA9" w14:textId="12EBEB75" w:rsidR="00DE7FD3" w:rsidRPr="00FF3EF7" w:rsidRDefault="00DE7FD3" w:rsidP="00077D08">
            <w:pPr>
              <w:spacing w:after="0" w:line="240" w:lineRule="auto"/>
              <w:jc w:val="center"/>
              <w:rPr>
                <w:sz w:val="20"/>
              </w:rPr>
            </w:pPr>
            <w:r w:rsidRPr="0093023C">
              <w:rPr>
                <w:b/>
                <w:color w:val="000000"/>
                <w:sz w:val="20"/>
              </w:rPr>
              <w:t>%</w:t>
            </w:r>
          </w:p>
        </w:tc>
        <w:tc>
          <w:tcPr>
            <w:tcW w:w="6660" w:type="dxa"/>
            <w:gridSpan w:val="3"/>
            <w:tcBorders>
              <w:top w:val="single" w:sz="4" w:space="0" w:color="auto"/>
              <w:left w:val="nil"/>
              <w:bottom w:val="single" w:sz="6" w:space="0" w:color="auto"/>
              <w:right w:val="nil"/>
            </w:tcBorders>
            <w:shd w:val="clear" w:color="auto" w:fill="auto"/>
            <w:noWrap/>
            <w:vAlign w:val="center"/>
          </w:tcPr>
          <w:p w14:paraId="1E585FA6" w14:textId="26A7B50C" w:rsidR="00DE7FD3" w:rsidRPr="00FF3EF7" w:rsidRDefault="00DE7FD3" w:rsidP="00DE7FD3">
            <w:pPr>
              <w:spacing w:after="0" w:line="240" w:lineRule="auto"/>
              <w:jc w:val="center"/>
              <w:rPr>
                <w:sz w:val="20"/>
              </w:rPr>
            </w:pPr>
            <w:r>
              <w:rPr>
                <w:b/>
                <w:color w:val="000000"/>
                <w:sz w:val="20"/>
              </w:rPr>
              <w:t xml:space="preserve">Adjusted </w:t>
            </w:r>
            <w:r w:rsidRPr="0093023C">
              <w:rPr>
                <w:b/>
                <w:color w:val="000000"/>
                <w:sz w:val="20"/>
              </w:rPr>
              <w:t>RR (95% CI)</w:t>
            </w:r>
            <w:r w:rsidRPr="00DE7FD3">
              <w:rPr>
                <w:b/>
                <w:color w:val="000000"/>
                <w:sz w:val="20"/>
                <w:vertAlign w:val="superscript"/>
              </w:rPr>
              <w:t>a</w:t>
            </w:r>
          </w:p>
        </w:tc>
      </w:tr>
      <w:tr w:rsidR="00C9738B" w:rsidRPr="00F66DCB" w14:paraId="2460B45F" w14:textId="77777777" w:rsidTr="003025FC">
        <w:trPr>
          <w:trHeight w:val="20"/>
        </w:trPr>
        <w:tc>
          <w:tcPr>
            <w:tcW w:w="3325" w:type="dxa"/>
            <w:tcBorders>
              <w:top w:val="single" w:sz="4" w:space="0" w:color="auto"/>
              <w:left w:val="nil"/>
              <w:bottom w:val="nil"/>
              <w:right w:val="nil"/>
            </w:tcBorders>
            <w:shd w:val="clear" w:color="auto" w:fill="auto"/>
            <w:noWrap/>
            <w:vAlign w:val="center"/>
            <w:hideMark/>
          </w:tcPr>
          <w:p w14:paraId="46C67E87" w14:textId="77777777" w:rsidR="00C9738B" w:rsidRPr="0093649A" w:rsidRDefault="00C9738B" w:rsidP="00C9738B">
            <w:pPr>
              <w:spacing w:after="0" w:line="240" w:lineRule="auto"/>
              <w:rPr>
                <w:color w:val="000000"/>
                <w:sz w:val="20"/>
              </w:rPr>
            </w:pPr>
            <w:r w:rsidRPr="0093649A">
              <w:rPr>
                <w:color w:val="000000"/>
                <w:sz w:val="20"/>
              </w:rPr>
              <w:t>Hospice Length of Stay (days)</w:t>
            </w:r>
          </w:p>
        </w:tc>
        <w:tc>
          <w:tcPr>
            <w:tcW w:w="1530" w:type="dxa"/>
            <w:tcBorders>
              <w:top w:val="single" w:sz="6" w:space="0" w:color="auto"/>
              <w:left w:val="nil"/>
              <w:bottom w:val="nil"/>
              <w:right w:val="nil"/>
            </w:tcBorders>
            <w:shd w:val="clear" w:color="auto" w:fill="auto"/>
            <w:noWrap/>
            <w:vAlign w:val="center"/>
            <w:hideMark/>
          </w:tcPr>
          <w:p w14:paraId="47F0D915" w14:textId="77777777" w:rsidR="00C9738B" w:rsidRPr="00FF3EF7" w:rsidRDefault="00C9738B" w:rsidP="00C9738B">
            <w:pPr>
              <w:spacing w:after="0" w:line="240" w:lineRule="auto"/>
              <w:rPr>
                <w:color w:val="000000"/>
                <w:sz w:val="20"/>
              </w:rPr>
            </w:pPr>
          </w:p>
        </w:tc>
        <w:tc>
          <w:tcPr>
            <w:tcW w:w="1350" w:type="dxa"/>
            <w:tcBorders>
              <w:top w:val="single" w:sz="6" w:space="0" w:color="auto"/>
              <w:left w:val="nil"/>
              <w:bottom w:val="nil"/>
              <w:right w:val="single" w:sz="4" w:space="0" w:color="auto"/>
            </w:tcBorders>
            <w:shd w:val="clear" w:color="auto" w:fill="auto"/>
            <w:noWrap/>
            <w:vAlign w:val="center"/>
            <w:hideMark/>
          </w:tcPr>
          <w:p w14:paraId="7DC4E4E0" w14:textId="77777777" w:rsidR="00C9738B" w:rsidRPr="00FF3EF7" w:rsidRDefault="00C9738B" w:rsidP="00C9738B">
            <w:pPr>
              <w:spacing w:after="0" w:line="240" w:lineRule="auto"/>
              <w:jc w:val="center"/>
              <w:rPr>
                <w:sz w:val="20"/>
              </w:rPr>
            </w:pPr>
          </w:p>
        </w:tc>
        <w:tc>
          <w:tcPr>
            <w:tcW w:w="2340" w:type="dxa"/>
            <w:tcBorders>
              <w:top w:val="single" w:sz="6" w:space="0" w:color="auto"/>
              <w:left w:val="single" w:sz="4" w:space="0" w:color="auto"/>
              <w:bottom w:val="nil"/>
              <w:right w:val="nil"/>
            </w:tcBorders>
            <w:shd w:val="clear" w:color="auto" w:fill="auto"/>
            <w:noWrap/>
            <w:vAlign w:val="center"/>
            <w:hideMark/>
          </w:tcPr>
          <w:p w14:paraId="058D54F2" w14:textId="77777777" w:rsidR="00C9738B" w:rsidRPr="00FF3EF7" w:rsidRDefault="00C9738B" w:rsidP="00C9738B">
            <w:pPr>
              <w:spacing w:after="0" w:line="240" w:lineRule="auto"/>
              <w:jc w:val="center"/>
              <w:rPr>
                <w:sz w:val="20"/>
              </w:rPr>
            </w:pPr>
          </w:p>
        </w:tc>
        <w:tc>
          <w:tcPr>
            <w:tcW w:w="2070" w:type="dxa"/>
            <w:tcBorders>
              <w:top w:val="single" w:sz="6" w:space="0" w:color="auto"/>
              <w:left w:val="nil"/>
              <w:bottom w:val="nil"/>
              <w:right w:val="nil"/>
            </w:tcBorders>
            <w:shd w:val="clear" w:color="auto" w:fill="auto"/>
            <w:noWrap/>
            <w:vAlign w:val="center"/>
            <w:hideMark/>
          </w:tcPr>
          <w:p w14:paraId="1A008D3A" w14:textId="77777777" w:rsidR="00C9738B" w:rsidRPr="00FF3EF7" w:rsidRDefault="00C9738B" w:rsidP="00C9738B">
            <w:pPr>
              <w:spacing w:after="0" w:line="240" w:lineRule="auto"/>
              <w:rPr>
                <w:sz w:val="20"/>
              </w:rPr>
            </w:pPr>
          </w:p>
        </w:tc>
        <w:tc>
          <w:tcPr>
            <w:tcW w:w="2250" w:type="dxa"/>
            <w:tcBorders>
              <w:top w:val="single" w:sz="6" w:space="0" w:color="auto"/>
              <w:left w:val="nil"/>
              <w:bottom w:val="nil"/>
              <w:right w:val="nil"/>
            </w:tcBorders>
            <w:shd w:val="clear" w:color="auto" w:fill="auto"/>
            <w:noWrap/>
            <w:vAlign w:val="center"/>
            <w:hideMark/>
          </w:tcPr>
          <w:p w14:paraId="22369E39" w14:textId="77777777" w:rsidR="00C9738B" w:rsidRPr="00FF3EF7" w:rsidRDefault="00C9738B" w:rsidP="00C9738B">
            <w:pPr>
              <w:spacing w:after="0" w:line="240" w:lineRule="auto"/>
              <w:jc w:val="center"/>
              <w:rPr>
                <w:sz w:val="20"/>
              </w:rPr>
            </w:pPr>
          </w:p>
        </w:tc>
      </w:tr>
      <w:tr w:rsidR="00C9738B" w:rsidRPr="00F66DCB" w14:paraId="1C420DA7"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2CF454D0" w14:textId="77777777" w:rsidR="00C9738B" w:rsidRPr="0093649A" w:rsidRDefault="00C9738B" w:rsidP="00C9738B">
            <w:pPr>
              <w:spacing w:after="0" w:line="240" w:lineRule="auto"/>
              <w:rPr>
                <w:color w:val="000000"/>
                <w:sz w:val="20"/>
              </w:rPr>
            </w:pPr>
            <w:r w:rsidRPr="0093649A">
              <w:rPr>
                <w:color w:val="000000"/>
                <w:sz w:val="20"/>
              </w:rPr>
              <w:t xml:space="preserve">≤7 </w:t>
            </w:r>
          </w:p>
        </w:tc>
        <w:tc>
          <w:tcPr>
            <w:tcW w:w="1530" w:type="dxa"/>
            <w:tcBorders>
              <w:top w:val="nil"/>
              <w:left w:val="nil"/>
              <w:bottom w:val="nil"/>
              <w:right w:val="nil"/>
            </w:tcBorders>
            <w:shd w:val="clear" w:color="auto" w:fill="auto"/>
            <w:noWrap/>
            <w:vAlign w:val="center"/>
            <w:hideMark/>
          </w:tcPr>
          <w:p w14:paraId="34668129" w14:textId="77777777" w:rsidR="00C9738B" w:rsidRPr="00FF3EF7" w:rsidRDefault="00C9738B" w:rsidP="00C9738B">
            <w:pPr>
              <w:spacing w:after="0" w:line="240" w:lineRule="auto"/>
              <w:jc w:val="center"/>
              <w:rPr>
                <w:color w:val="000000"/>
                <w:sz w:val="20"/>
              </w:rPr>
            </w:pPr>
            <w:r w:rsidRPr="00FF3EF7">
              <w:rPr>
                <w:color w:val="000000"/>
                <w:sz w:val="20"/>
              </w:rPr>
              <w:t>1122/23,339</w:t>
            </w:r>
          </w:p>
        </w:tc>
        <w:tc>
          <w:tcPr>
            <w:tcW w:w="1350" w:type="dxa"/>
            <w:tcBorders>
              <w:top w:val="nil"/>
              <w:left w:val="nil"/>
              <w:bottom w:val="nil"/>
              <w:right w:val="single" w:sz="4" w:space="0" w:color="auto"/>
            </w:tcBorders>
            <w:shd w:val="clear" w:color="auto" w:fill="auto"/>
            <w:noWrap/>
            <w:vAlign w:val="center"/>
            <w:hideMark/>
          </w:tcPr>
          <w:p w14:paraId="5B75D450" w14:textId="77777777" w:rsidR="00C9738B" w:rsidRPr="00FF3EF7" w:rsidRDefault="00C9738B" w:rsidP="00C9738B">
            <w:pPr>
              <w:spacing w:after="0" w:line="240" w:lineRule="auto"/>
              <w:jc w:val="center"/>
              <w:rPr>
                <w:color w:val="000000"/>
                <w:sz w:val="20"/>
              </w:rPr>
            </w:pPr>
            <w:r w:rsidRPr="00FF3EF7">
              <w:rPr>
                <w:color w:val="000000"/>
                <w:sz w:val="20"/>
              </w:rPr>
              <w:t>4.8</w:t>
            </w:r>
          </w:p>
        </w:tc>
        <w:tc>
          <w:tcPr>
            <w:tcW w:w="2340" w:type="dxa"/>
            <w:tcBorders>
              <w:top w:val="nil"/>
              <w:left w:val="single" w:sz="4" w:space="0" w:color="auto"/>
              <w:bottom w:val="nil"/>
              <w:right w:val="nil"/>
            </w:tcBorders>
            <w:shd w:val="clear" w:color="auto" w:fill="auto"/>
            <w:noWrap/>
            <w:vAlign w:val="center"/>
            <w:hideMark/>
          </w:tcPr>
          <w:p w14:paraId="525EF9C5" w14:textId="77777777" w:rsidR="00C9738B" w:rsidRPr="00B2558C" w:rsidRDefault="00C9738B" w:rsidP="00C9738B">
            <w:pPr>
              <w:spacing w:after="0" w:line="240" w:lineRule="auto"/>
              <w:jc w:val="center"/>
              <w:rPr>
                <w:color w:val="000000"/>
                <w:sz w:val="20"/>
                <w:vertAlign w:val="superscript"/>
              </w:rPr>
            </w:pPr>
            <w:r>
              <w:rPr>
                <w:color w:val="000000"/>
                <w:sz w:val="20"/>
              </w:rPr>
              <w:t>Ref</w:t>
            </w:r>
            <w:r>
              <w:rPr>
                <w:color w:val="000000"/>
                <w:sz w:val="20"/>
                <w:vertAlign w:val="superscript"/>
              </w:rPr>
              <w:t>g</w:t>
            </w:r>
          </w:p>
        </w:tc>
        <w:tc>
          <w:tcPr>
            <w:tcW w:w="2070" w:type="dxa"/>
            <w:tcBorders>
              <w:top w:val="nil"/>
              <w:left w:val="nil"/>
              <w:bottom w:val="nil"/>
              <w:right w:val="nil"/>
            </w:tcBorders>
            <w:shd w:val="clear" w:color="auto" w:fill="auto"/>
            <w:noWrap/>
            <w:vAlign w:val="center"/>
            <w:hideMark/>
          </w:tcPr>
          <w:p w14:paraId="20A0EC4F" w14:textId="77777777" w:rsidR="00C9738B" w:rsidRPr="00B2558C" w:rsidRDefault="00C9738B" w:rsidP="00C9738B">
            <w:pPr>
              <w:spacing w:after="0" w:line="240" w:lineRule="auto"/>
              <w:jc w:val="center"/>
              <w:rPr>
                <w:color w:val="000000"/>
                <w:sz w:val="20"/>
                <w:vertAlign w:val="superscript"/>
              </w:rPr>
            </w:pPr>
            <w:r>
              <w:rPr>
                <w:color w:val="000000"/>
                <w:sz w:val="20"/>
              </w:rPr>
              <w:t>Ref</w:t>
            </w:r>
            <w:r>
              <w:rPr>
                <w:color w:val="000000"/>
                <w:sz w:val="20"/>
                <w:vertAlign w:val="superscript"/>
              </w:rPr>
              <w:t>g</w:t>
            </w:r>
          </w:p>
        </w:tc>
        <w:tc>
          <w:tcPr>
            <w:tcW w:w="2250" w:type="dxa"/>
            <w:tcBorders>
              <w:top w:val="nil"/>
              <w:left w:val="nil"/>
              <w:bottom w:val="nil"/>
              <w:right w:val="nil"/>
            </w:tcBorders>
            <w:shd w:val="clear" w:color="auto" w:fill="auto"/>
            <w:noWrap/>
            <w:vAlign w:val="center"/>
            <w:hideMark/>
          </w:tcPr>
          <w:p w14:paraId="58966232" w14:textId="77777777" w:rsidR="00C9738B" w:rsidRPr="00B2558C" w:rsidRDefault="00C9738B" w:rsidP="00C9738B">
            <w:pPr>
              <w:spacing w:after="0" w:line="240" w:lineRule="auto"/>
              <w:jc w:val="center"/>
              <w:rPr>
                <w:color w:val="000000"/>
                <w:sz w:val="20"/>
                <w:vertAlign w:val="superscript"/>
              </w:rPr>
            </w:pPr>
            <w:r>
              <w:rPr>
                <w:color w:val="000000"/>
                <w:sz w:val="20"/>
              </w:rPr>
              <w:t>Ref</w:t>
            </w:r>
            <w:r>
              <w:rPr>
                <w:color w:val="000000"/>
                <w:sz w:val="20"/>
                <w:vertAlign w:val="superscript"/>
              </w:rPr>
              <w:t>g</w:t>
            </w:r>
          </w:p>
        </w:tc>
      </w:tr>
      <w:tr w:rsidR="00C9738B" w:rsidRPr="00F66DCB" w14:paraId="601F971D"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2D129251" w14:textId="77777777" w:rsidR="00C9738B" w:rsidRPr="0093649A" w:rsidRDefault="00C9738B" w:rsidP="00C9738B">
            <w:pPr>
              <w:spacing w:after="0" w:line="240" w:lineRule="auto"/>
              <w:rPr>
                <w:color w:val="000000"/>
                <w:sz w:val="20"/>
              </w:rPr>
            </w:pPr>
            <w:r w:rsidRPr="0093649A">
              <w:rPr>
                <w:color w:val="000000"/>
                <w:sz w:val="20"/>
              </w:rPr>
              <w:t xml:space="preserve">8-14 </w:t>
            </w:r>
          </w:p>
        </w:tc>
        <w:tc>
          <w:tcPr>
            <w:tcW w:w="1530" w:type="dxa"/>
            <w:tcBorders>
              <w:top w:val="nil"/>
              <w:left w:val="nil"/>
              <w:bottom w:val="nil"/>
              <w:right w:val="nil"/>
            </w:tcBorders>
            <w:shd w:val="clear" w:color="auto" w:fill="auto"/>
            <w:noWrap/>
            <w:vAlign w:val="center"/>
            <w:hideMark/>
          </w:tcPr>
          <w:p w14:paraId="3C83EE50" w14:textId="77777777" w:rsidR="00C9738B" w:rsidRPr="00FF3EF7" w:rsidRDefault="00C9738B" w:rsidP="00C9738B">
            <w:pPr>
              <w:spacing w:after="0" w:line="240" w:lineRule="auto"/>
              <w:jc w:val="center"/>
              <w:rPr>
                <w:color w:val="000000"/>
                <w:sz w:val="20"/>
              </w:rPr>
            </w:pPr>
            <w:r w:rsidRPr="00FF3EF7">
              <w:rPr>
                <w:color w:val="000000"/>
                <w:sz w:val="20"/>
              </w:rPr>
              <w:t>1498/10,994</w:t>
            </w:r>
          </w:p>
        </w:tc>
        <w:tc>
          <w:tcPr>
            <w:tcW w:w="1350" w:type="dxa"/>
            <w:tcBorders>
              <w:top w:val="nil"/>
              <w:left w:val="nil"/>
              <w:bottom w:val="nil"/>
              <w:right w:val="single" w:sz="4" w:space="0" w:color="auto"/>
            </w:tcBorders>
            <w:shd w:val="clear" w:color="auto" w:fill="auto"/>
            <w:noWrap/>
            <w:vAlign w:val="center"/>
            <w:hideMark/>
          </w:tcPr>
          <w:p w14:paraId="2C5A5871" w14:textId="77777777" w:rsidR="00C9738B" w:rsidRPr="00FF3EF7" w:rsidRDefault="00C9738B" w:rsidP="00C9738B">
            <w:pPr>
              <w:spacing w:after="0" w:line="240" w:lineRule="auto"/>
              <w:jc w:val="center"/>
              <w:rPr>
                <w:color w:val="000000"/>
                <w:sz w:val="20"/>
              </w:rPr>
            </w:pPr>
            <w:r w:rsidRPr="00FF3EF7">
              <w:rPr>
                <w:color w:val="000000"/>
                <w:sz w:val="20"/>
              </w:rPr>
              <w:t>13.6</w:t>
            </w:r>
          </w:p>
        </w:tc>
        <w:tc>
          <w:tcPr>
            <w:tcW w:w="2340" w:type="dxa"/>
            <w:tcBorders>
              <w:top w:val="nil"/>
              <w:left w:val="single" w:sz="4" w:space="0" w:color="auto"/>
              <w:bottom w:val="nil"/>
              <w:right w:val="nil"/>
            </w:tcBorders>
            <w:shd w:val="clear" w:color="auto" w:fill="auto"/>
            <w:noWrap/>
            <w:vAlign w:val="center"/>
            <w:hideMark/>
          </w:tcPr>
          <w:p w14:paraId="20FFB7AD" w14:textId="77777777" w:rsidR="00C9738B" w:rsidRPr="00FF3EF7" w:rsidRDefault="00C9738B" w:rsidP="00C9738B">
            <w:pPr>
              <w:spacing w:after="0" w:line="240" w:lineRule="auto"/>
              <w:jc w:val="center"/>
              <w:rPr>
                <w:color w:val="000000"/>
                <w:sz w:val="20"/>
              </w:rPr>
            </w:pPr>
            <w:r w:rsidRPr="00FF3EF7">
              <w:rPr>
                <w:color w:val="000000"/>
                <w:sz w:val="20"/>
              </w:rPr>
              <w:t>2.59 (2.41-2.79)</w:t>
            </w:r>
          </w:p>
        </w:tc>
        <w:tc>
          <w:tcPr>
            <w:tcW w:w="2070" w:type="dxa"/>
            <w:tcBorders>
              <w:top w:val="nil"/>
              <w:left w:val="nil"/>
              <w:bottom w:val="nil"/>
              <w:right w:val="nil"/>
            </w:tcBorders>
            <w:shd w:val="clear" w:color="auto" w:fill="auto"/>
            <w:noWrap/>
            <w:vAlign w:val="center"/>
            <w:hideMark/>
          </w:tcPr>
          <w:p w14:paraId="0D362C69" w14:textId="77777777" w:rsidR="00C9738B" w:rsidRPr="00FF3EF7" w:rsidRDefault="00C9738B" w:rsidP="00C9738B">
            <w:pPr>
              <w:spacing w:after="0" w:line="240" w:lineRule="auto"/>
              <w:jc w:val="center"/>
              <w:rPr>
                <w:color w:val="000000"/>
                <w:sz w:val="20"/>
              </w:rPr>
            </w:pPr>
            <w:r w:rsidRPr="00FF3EF7">
              <w:rPr>
                <w:color w:val="000000"/>
                <w:sz w:val="20"/>
              </w:rPr>
              <w:t>2.43 (2.22-2.66)</w:t>
            </w:r>
          </w:p>
        </w:tc>
        <w:tc>
          <w:tcPr>
            <w:tcW w:w="2250" w:type="dxa"/>
            <w:tcBorders>
              <w:top w:val="nil"/>
              <w:left w:val="nil"/>
              <w:bottom w:val="nil"/>
              <w:right w:val="nil"/>
            </w:tcBorders>
            <w:shd w:val="clear" w:color="auto" w:fill="auto"/>
            <w:noWrap/>
            <w:vAlign w:val="center"/>
            <w:hideMark/>
          </w:tcPr>
          <w:p w14:paraId="72527356" w14:textId="77777777" w:rsidR="00C9738B" w:rsidRPr="00FF3EF7" w:rsidRDefault="00C9738B" w:rsidP="00C9738B">
            <w:pPr>
              <w:spacing w:after="0" w:line="240" w:lineRule="auto"/>
              <w:jc w:val="center"/>
              <w:rPr>
                <w:color w:val="000000"/>
                <w:sz w:val="20"/>
              </w:rPr>
            </w:pPr>
            <w:r w:rsidRPr="00FF3EF7">
              <w:rPr>
                <w:color w:val="000000"/>
                <w:sz w:val="20"/>
              </w:rPr>
              <w:t>2.93 (2.61-3.30)</w:t>
            </w:r>
          </w:p>
        </w:tc>
      </w:tr>
      <w:tr w:rsidR="00C9738B" w:rsidRPr="00F66DCB" w14:paraId="55B72107"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36F50A87" w14:textId="77777777" w:rsidR="00C9738B" w:rsidRPr="0093649A" w:rsidRDefault="00C9738B" w:rsidP="00C9738B">
            <w:pPr>
              <w:spacing w:after="0" w:line="240" w:lineRule="auto"/>
              <w:rPr>
                <w:color w:val="000000"/>
                <w:sz w:val="20"/>
              </w:rPr>
            </w:pPr>
            <w:r w:rsidRPr="0093649A">
              <w:rPr>
                <w:color w:val="000000"/>
                <w:sz w:val="20"/>
              </w:rPr>
              <w:t xml:space="preserve">15-29 </w:t>
            </w:r>
          </w:p>
        </w:tc>
        <w:tc>
          <w:tcPr>
            <w:tcW w:w="1530" w:type="dxa"/>
            <w:tcBorders>
              <w:top w:val="nil"/>
              <w:left w:val="nil"/>
              <w:bottom w:val="nil"/>
              <w:right w:val="nil"/>
            </w:tcBorders>
            <w:shd w:val="clear" w:color="auto" w:fill="auto"/>
            <w:noWrap/>
            <w:vAlign w:val="center"/>
            <w:hideMark/>
          </w:tcPr>
          <w:p w14:paraId="71A1B275" w14:textId="77777777" w:rsidR="00C9738B" w:rsidRPr="00FF3EF7" w:rsidRDefault="00C9738B" w:rsidP="00C9738B">
            <w:pPr>
              <w:spacing w:after="0" w:line="240" w:lineRule="auto"/>
              <w:jc w:val="center"/>
              <w:rPr>
                <w:color w:val="000000"/>
                <w:sz w:val="20"/>
              </w:rPr>
            </w:pPr>
            <w:r w:rsidRPr="00FF3EF7">
              <w:rPr>
                <w:color w:val="000000"/>
                <w:sz w:val="20"/>
              </w:rPr>
              <w:t>3072/11,155</w:t>
            </w:r>
          </w:p>
        </w:tc>
        <w:tc>
          <w:tcPr>
            <w:tcW w:w="1350" w:type="dxa"/>
            <w:tcBorders>
              <w:top w:val="nil"/>
              <w:left w:val="nil"/>
              <w:bottom w:val="nil"/>
              <w:right w:val="single" w:sz="4" w:space="0" w:color="auto"/>
            </w:tcBorders>
            <w:shd w:val="clear" w:color="auto" w:fill="auto"/>
            <w:noWrap/>
            <w:vAlign w:val="center"/>
            <w:hideMark/>
          </w:tcPr>
          <w:p w14:paraId="63483567" w14:textId="77777777" w:rsidR="00C9738B" w:rsidRPr="00FF3EF7" w:rsidRDefault="00C9738B" w:rsidP="00C9738B">
            <w:pPr>
              <w:spacing w:after="0" w:line="240" w:lineRule="auto"/>
              <w:jc w:val="center"/>
              <w:rPr>
                <w:color w:val="000000"/>
                <w:sz w:val="20"/>
              </w:rPr>
            </w:pPr>
            <w:r w:rsidRPr="00FF3EF7">
              <w:rPr>
                <w:color w:val="000000"/>
                <w:sz w:val="20"/>
              </w:rPr>
              <w:t>27.5</w:t>
            </w:r>
          </w:p>
        </w:tc>
        <w:tc>
          <w:tcPr>
            <w:tcW w:w="2340" w:type="dxa"/>
            <w:tcBorders>
              <w:top w:val="nil"/>
              <w:left w:val="single" w:sz="4" w:space="0" w:color="auto"/>
              <w:bottom w:val="nil"/>
              <w:right w:val="nil"/>
            </w:tcBorders>
            <w:shd w:val="clear" w:color="auto" w:fill="auto"/>
            <w:noWrap/>
            <w:vAlign w:val="center"/>
            <w:hideMark/>
          </w:tcPr>
          <w:p w14:paraId="643596D8" w14:textId="77777777" w:rsidR="00C9738B" w:rsidRPr="00FF3EF7" w:rsidRDefault="00C9738B" w:rsidP="00C9738B">
            <w:pPr>
              <w:spacing w:after="0" w:line="240" w:lineRule="auto"/>
              <w:jc w:val="center"/>
              <w:rPr>
                <w:color w:val="000000"/>
                <w:sz w:val="20"/>
              </w:rPr>
            </w:pPr>
            <w:r w:rsidRPr="00FF3EF7">
              <w:rPr>
                <w:color w:val="000000"/>
                <w:sz w:val="20"/>
              </w:rPr>
              <w:t>4.95 (4.62-5.30)</w:t>
            </w:r>
          </w:p>
        </w:tc>
        <w:tc>
          <w:tcPr>
            <w:tcW w:w="2070" w:type="dxa"/>
            <w:tcBorders>
              <w:top w:val="nil"/>
              <w:left w:val="nil"/>
              <w:bottom w:val="nil"/>
              <w:right w:val="nil"/>
            </w:tcBorders>
            <w:shd w:val="clear" w:color="auto" w:fill="auto"/>
            <w:noWrap/>
            <w:vAlign w:val="center"/>
            <w:hideMark/>
          </w:tcPr>
          <w:p w14:paraId="76E8C1EB" w14:textId="77777777" w:rsidR="00C9738B" w:rsidRPr="00FF3EF7" w:rsidRDefault="00C9738B" w:rsidP="00C9738B">
            <w:pPr>
              <w:spacing w:after="0" w:line="240" w:lineRule="auto"/>
              <w:jc w:val="center"/>
              <w:rPr>
                <w:color w:val="000000"/>
                <w:sz w:val="20"/>
              </w:rPr>
            </w:pPr>
            <w:r w:rsidRPr="00FF3EF7">
              <w:rPr>
                <w:color w:val="000000"/>
                <w:sz w:val="20"/>
              </w:rPr>
              <w:t>4.60 (4.21-5.02)</w:t>
            </w:r>
          </w:p>
        </w:tc>
        <w:tc>
          <w:tcPr>
            <w:tcW w:w="2250" w:type="dxa"/>
            <w:tcBorders>
              <w:top w:val="nil"/>
              <w:left w:val="nil"/>
              <w:bottom w:val="nil"/>
              <w:right w:val="nil"/>
            </w:tcBorders>
            <w:shd w:val="clear" w:color="auto" w:fill="auto"/>
            <w:noWrap/>
            <w:vAlign w:val="center"/>
            <w:hideMark/>
          </w:tcPr>
          <w:p w14:paraId="5A645253" w14:textId="77777777" w:rsidR="00C9738B" w:rsidRPr="00FF3EF7" w:rsidRDefault="00C9738B" w:rsidP="00C9738B">
            <w:pPr>
              <w:spacing w:after="0" w:line="240" w:lineRule="auto"/>
              <w:jc w:val="center"/>
              <w:rPr>
                <w:color w:val="000000"/>
                <w:sz w:val="20"/>
              </w:rPr>
            </w:pPr>
            <w:r w:rsidRPr="00FF3EF7">
              <w:rPr>
                <w:color w:val="000000"/>
                <w:sz w:val="20"/>
              </w:rPr>
              <w:t>5.85 (5.26-6.51)</w:t>
            </w:r>
          </w:p>
        </w:tc>
      </w:tr>
      <w:tr w:rsidR="00C9738B" w:rsidRPr="00F66DCB" w14:paraId="1968933C"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6D7AF271" w14:textId="77777777" w:rsidR="00C9738B" w:rsidRPr="0093649A" w:rsidRDefault="00C9738B" w:rsidP="00C9738B">
            <w:pPr>
              <w:spacing w:after="0" w:line="240" w:lineRule="auto"/>
              <w:rPr>
                <w:color w:val="000000"/>
                <w:sz w:val="20"/>
              </w:rPr>
            </w:pPr>
            <w:r w:rsidRPr="0093649A">
              <w:rPr>
                <w:color w:val="000000"/>
                <w:sz w:val="20"/>
              </w:rPr>
              <w:t xml:space="preserve">30-89 </w:t>
            </w:r>
          </w:p>
        </w:tc>
        <w:tc>
          <w:tcPr>
            <w:tcW w:w="1530" w:type="dxa"/>
            <w:tcBorders>
              <w:top w:val="nil"/>
              <w:left w:val="nil"/>
              <w:bottom w:val="nil"/>
              <w:right w:val="nil"/>
            </w:tcBorders>
            <w:shd w:val="clear" w:color="auto" w:fill="auto"/>
            <w:noWrap/>
            <w:vAlign w:val="center"/>
            <w:hideMark/>
          </w:tcPr>
          <w:p w14:paraId="20B3BE48" w14:textId="77777777" w:rsidR="00C9738B" w:rsidRPr="00FF3EF7" w:rsidRDefault="00C9738B" w:rsidP="00C9738B">
            <w:pPr>
              <w:spacing w:after="0" w:line="240" w:lineRule="auto"/>
              <w:jc w:val="center"/>
              <w:rPr>
                <w:color w:val="000000"/>
                <w:sz w:val="20"/>
              </w:rPr>
            </w:pPr>
            <w:r w:rsidRPr="00FF3EF7">
              <w:rPr>
                <w:color w:val="000000"/>
                <w:sz w:val="20"/>
              </w:rPr>
              <w:t>7686/14,347</w:t>
            </w:r>
          </w:p>
        </w:tc>
        <w:tc>
          <w:tcPr>
            <w:tcW w:w="1350" w:type="dxa"/>
            <w:tcBorders>
              <w:top w:val="nil"/>
              <w:left w:val="nil"/>
              <w:bottom w:val="nil"/>
              <w:right w:val="single" w:sz="4" w:space="0" w:color="auto"/>
            </w:tcBorders>
            <w:shd w:val="clear" w:color="auto" w:fill="auto"/>
            <w:noWrap/>
            <w:vAlign w:val="center"/>
            <w:hideMark/>
          </w:tcPr>
          <w:p w14:paraId="2A9792EB" w14:textId="77777777" w:rsidR="00C9738B" w:rsidRPr="00FF3EF7" w:rsidRDefault="00C9738B" w:rsidP="00C9738B">
            <w:pPr>
              <w:spacing w:after="0" w:line="240" w:lineRule="auto"/>
              <w:jc w:val="center"/>
              <w:rPr>
                <w:color w:val="000000"/>
                <w:sz w:val="20"/>
              </w:rPr>
            </w:pPr>
            <w:r w:rsidRPr="00FF3EF7">
              <w:rPr>
                <w:color w:val="000000"/>
                <w:sz w:val="20"/>
              </w:rPr>
              <w:t>53.6</w:t>
            </w:r>
          </w:p>
        </w:tc>
        <w:tc>
          <w:tcPr>
            <w:tcW w:w="2340" w:type="dxa"/>
            <w:tcBorders>
              <w:top w:val="nil"/>
              <w:left w:val="single" w:sz="4" w:space="0" w:color="auto"/>
              <w:bottom w:val="nil"/>
              <w:right w:val="nil"/>
            </w:tcBorders>
            <w:shd w:val="clear" w:color="auto" w:fill="auto"/>
            <w:noWrap/>
            <w:vAlign w:val="center"/>
            <w:hideMark/>
          </w:tcPr>
          <w:p w14:paraId="13EC1525" w14:textId="77777777" w:rsidR="00C9738B" w:rsidRPr="00FF3EF7" w:rsidRDefault="00C9738B" w:rsidP="00C9738B">
            <w:pPr>
              <w:spacing w:after="0" w:line="240" w:lineRule="auto"/>
              <w:jc w:val="center"/>
              <w:rPr>
                <w:color w:val="000000"/>
                <w:sz w:val="20"/>
              </w:rPr>
            </w:pPr>
            <w:r w:rsidRPr="00FF3EF7">
              <w:rPr>
                <w:color w:val="000000"/>
                <w:sz w:val="20"/>
              </w:rPr>
              <w:t>9.39 (8.80-10.02)</w:t>
            </w:r>
          </w:p>
        </w:tc>
        <w:tc>
          <w:tcPr>
            <w:tcW w:w="2070" w:type="dxa"/>
            <w:tcBorders>
              <w:top w:val="nil"/>
              <w:left w:val="nil"/>
              <w:bottom w:val="nil"/>
              <w:right w:val="nil"/>
            </w:tcBorders>
            <w:shd w:val="clear" w:color="auto" w:fill="auto"/>
            <w:noWrap/>
            <w:vAlign w:val="center"/>
            <w:hideMark/>
          </w:tcPr>
          <w:p w14:paraId="62F3E2C3" w14:textId="77777777" w:rsidR="00C9738B" w:rsidRPr="00FF3EF7" w:rsidRDefault="00C9738B" w:rsidP="00C9738B">
            <w:pPr>
              <w:spacing w:after="0" w:line="240" w:lineRule="auto"/>
              <w:jc w:val="center"/>
              <w:rPr>
                <w:color w:val="000000"/>
                <w:sz w:val="20"/>
              </w:rPr>
            </w:pPr>
            <w:r w:rsidRPr="00FF3EF7">
              <w:rPr>
                <w:color w:val="000000"/>
                <w:sz w:val="20"/>
              </w:rPr>
              <w:t>8.82 (8.11-9.59)</w:t>
            </w:r>
          </w:p>
        </w:tc>
        <w:tc>
          <w:tcPr>
            <w:tcW w:w="2250" w:type="dxa"/>
            <w:tcBorders>
              <w:top w:val="nil"/>
              <w:left w:val="nil"/>
              <w:bottom w:val="nil"/>
              <w:right w:val="nil"/>
            </w:tcBorders>
            <w:shd w:val="clear" w:color="auto" w:fill="auto"/>
            <w:noWrap/>
            <w:vAlign w:val="center"/>
            <w:hideMark/>
          </w:tcPr>
          <w:p w14:paraId="414F4721" w14:textId="77777777" w:rsidR="00C9738B" w:rsidRPr="00FF3EF7" w:rsidRDefault="00C9738B" w:rsidP="00C9738B">
            <w:pPr>
              <w:spacing w:after="0" w:line="240" w:lineRule="auto"/>
              <w:jc w:val="center"/>
              <w:rPr>
                <w:color w:val="000000"/>
                <w:sz w:val="20"/>
              </w:rPr>
            </w:pPr>
            <w:r w:rsidRPr="00FF3EF7">
              <w:rPr>
                <w:color w:val="000000"/>
                <w:sz w:val="20"/>
              </w:rPr>
              <w:t>10.87 (9.86-11.98)</w:t>
            </w:r>
          </w:p>
        </w:tc>
      </w:tr>
      <w:tr w:rsidR="00C9738B" w:rsidRPr="00F66DCB" w14:paraId="011F8C91"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5BE51AE5" w14:textId="77777777" w:rsidR="00C9738B" w:rsidRPr="0093649A" w:rsidRDefault="00C9738B" w:rsidP="00C9738B">
            <w:pPr>
              <w:spacing w:after="0" w:line="240" w:lineRule="auto"/>
              <w:rPr>
                <w:color w:val="000000"/>
                <w:sz w:val="20"/>
              </w:rPr>
            </w:pPr>
            <w:r w:rsidRPr="0093649A">
              <w:rPr>
                <w:color w:val="000000"/>
                <w:sz w:val="20"/>
              </w:rPr>
              <w:t>90-179</w:t>
            </w:r>
          </w:p>
        </w:tc>
        <w:tc>
          <w:tcPr>
            <w:tcW w:w="1530" w:type="dxa"/>
            <w:tcBorders>
              <w:top w:val="nil"/>
              <w:left w:val="nil"/>
              <w:bottom w:val="nil"/>
              <w:right w:val="nil"/>
            </w:tcBorders>
            <w:shd w:val="clear" w:color="auto" w:fill="auto"/>
            <w:noWrap/>
            <w:vAlign w:val="center"/>
            <w:hideMark/>
          </w:tcPr>
          <w:p w14:paraId="7F45A292" w14:textId="77777777" w:rsidR="00C9738B" w:rsidRPr="00FF3EF7" w:rsidRDefault="00C9738B" w:rsidP="00C9738B">
            <w:pPr>
              <w:spacing w:after="0" w:line="240" w:lineRule="auto"/>
              <w:jc w:val="center"/>
              <w:rPr>
                <w:color w:val="000000"/>
                <w:sz w:val="20"/>
              </w:rPr>
            </w:pPr>
            <w:r w:rsidRPr="00FF3EF7">
              <w:rPr>
                <w:color w:val="000000"/>
                <w:sz w:val="20"/>
              </w:rPr>
              <w:t>4033/5650</w:t>
            </w:r>
          </w:p>
        </w:tc>
        <w:tc>
          <w:tcPr>
            <w:tcW w:w="1350" w:type="dxa"/>
            <w:tcBorders>
              <w:top w:val="nil"/>
              <w:left w:val="nil"/>
              <w:bottom w:val="nil"/>
              <w:right w:val="single" w:sz="4" w:space="0" w:color="auto"/>
            </w:tcBorders>
            <w:shd w:val="clear" w:color="auto" w:fill="auto"/>
            <w:noWrap/>
            <w:vAlign w:val="center"/>
            <w:hideMark/>
          </w:tcPr>
          <w:p w14:paraId="2D7AC402" w14:textId="77777777" w:rsidR="00C9738B" w:rsidRPr="00FF3EF7" w:rsidRDefault="00C9738B" w:rsidP="00C9738B">
            <w:pPr>
              <w:spacing w:after="0" w:line="240" w:lineRule="auto"/>
              <w:jc w:val="center"/>
              <w:rPr>
                <w:color w:val="000000"/>
                <w:sz w:val="20"/>
              </w:rPr>
            </w:pPr>
            <w:r w:rsidRPr="00FF3EF7">
              <w:rPr>
                <w:color w:val="000000"/>
                <w:sz w:val="20"/>
              </w:rPr>
              <w:t>71.4</w:t>
            </w:r>
          </w:p>
        </w:tc>
        <w:tc>
          <w:tcPr>
            <w:tcW w:w="2340" w:type="dxa"/>
            <w:tcBorders>
              <w:top w:val="nil"/>
              <w:left w:val="single" w:sz="4" w:space="0" w:color="auto"/>
              <w:bottom w:val="nil"/>
              <w:right w:val="nil"/>
            </w:tcBorders>
            <w:shd w:val="clear" w:color="auto" w:fill="auto"/>
            <w:noWrap/>
            <w:vAlign w:val="center"/>
            <w:hideMark/>
          </w:tcPr>
          <w:p w14:paraId="59BE5C10" w14:textId="77777777" w:rsidR="00C9738B" w:rsidRPr="00FF3EF7" w:rsidRDefault="00C9738B" w:rsidP="00C9738B">
            <w:pPr>
              <w:spacing w:after="0" w:line="240" w:lineRule="auto"/>
              <w:jc w:val="center"/>
              <w:rPr>
                <w:color w:val="000000"/>
                <w:sz w:val="20"/>
              </w:rPr>
            </w:pPr>
            <w:r w:rsidRPr="00FF3EF7">
              <w:rPr>
                <w:color w:val="000000"/>
                <w:sz w:val="20"/>
              </w:rPr>
              <w:t>12.11 (11.33-12.95)</w:t>
            </w:r>
          </w:p>
        </w:tc>
        <w:tc>
          <w:tcPr>
            <w:tcW w:w="2070" w:type="dxa"/>
            <w:tcBorders>
              <w:top w:val="nil"/>
              <w:left w:val="nil"/>
              <w:bottom w:val="nil"/>
              <w:right w:val="nil"/>
            </w:tcBorders>
            <w:shd w:val="clear" w:color="auto" w:fill="auto"/>
            <w:noWrap/>
            <w:vAlign w:val="center"/>
            <w:hideMark/>
          </w:tcPr>
          <w:p w14:paraId="76DEBBC2" w14:textId="77777777" w:rsidR="00C9738B" w:rsidRPr="00FF3EF7" w:rsidRDefault="00C9738B" w:rsidP="00C9738B">
            <w:pPr>
              <w:spacing w:after="0" w:line="240" w:lineRule="auto"/>
              <w:jc w:val="center"/>
              <w:rPr>
                <w:color w:val="000000"/>
                <w:sz w:val="20"/>
              </w:rPr>
            </w:pPr>
            <w:r w:rsidRPr="00FF3EF7">
              <w:rPr>
                <w:color w:val="000000"/>
                <w:sz w:val="20"/>
              </w:rPr>
              <w:t>11.81 (10.85-12.86)</w:t>
            </w:r>
          </w:p>
        </w:tc>
        <w:tc>
          <w:tcPr>
            <w:tcW w:w="2250" w:type="dxa"/>
            <w:tcBorders>
              <w:top w:val="nil"/>
              <w:left w:val="nil"/>
              <w:bottom w:val="nil"/>
              <w:right w:val="nil"/>
            </w:tcBorders>
            <w:shd w:val="clear" w:color="auto" w:fill="auto"/>
            <w:noWrap/>
            <w:vAlign w:val="center"/>
            <w:hideMark/>
          </w:tcPr>
          <w:p w14:paraId="59D5FB89" w14:textId="77777777" w:rsidR="00C9738B" w:rsidRPr="00FF3EF7" w:rsidRDefault="00C9738B" w:rsidP="00C9738B">
            <w:pPr>
              <w:spacing w:after="0" w:line="240" w:lineRule="auto"/>
              <w:jc w:val="center"/>
              <w:rPr>
                <w:color w:val="000000"/>
                <w:sz w:val="20"/>
              </w:rPr>
            </w:pPr>
            <w:r w:rsidRPr="00FF3EF7">
              <w:rPr>
                <w:color w:val="000000"/>
                <w:sz w:val="20"/>
              </w:rPr>
              <w:t>12.92 (11.69-14.29)</w:t>
            </w:r>
          </w:p>
        </w:tc>
      </w:tr>
      <w:tr w:rsidR="00C9738B" w:rsidRPr="00F66DCB" w14:paraId="546D0C71"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32604954" w14:textId="77777777" w:rsidR="00C9738B" w:rsidRPr="0093649A" w:rsidRDefault="00C9738B" w:rsidP="00C9738B">
            <w:pPr>
              <w:spacing w:after="0" w:line="240" w:lineRule="auto"/>
              <w:rPr>
                <w:color w:val="000000"/>
                <w:sz w:val="20"/>
              </w:rPr>
            </w:pPr>
            <w:r>
              <w:rPr>
                <w:sz w:val="20"/>
              </w:rPr>
              <w:t>≥</w:t>
            </w:r>
            <w:r>
              <w:rPr>
                <w:color w:val="000000"/>
                <w:sz w:val="20"/>
              </w:rPr>
              <w:t>180</w:t>
            </w:r>
          </w:p>
        </w:tc>
        <w:tc>
          <w:tcPr>
            <w:tcW w:w="1530" w:type="dxa"/>
            <w:tcBorders>
              <w:top w:val="nil"/>
              <w:left w:val="nil"/>
              <w:bottom w:val="nil"/>
              <w:right w:val="nil"/>
            </w:tcBorders>
            <w:shd w:val="clear" w:color="auto" w:fill="auto"/>
            <w:noWrap/>
            <w:vAlign w:val="center"/>
            <w:hideMark/>
          </w:tcPr>
          <w:p w14:paraId="32E9ED44" w14:textId="77777777" w:rsidR="00C9738B" w:rsidRPr="00FF3EF7" w:rsidRDefault="00C9738B" w:rsidP="00C9738B">
            <w:pPr>
              <w:spacing w:after="0" w:line="240" w:lineRule="auto"/>
              <w:jc w:val="center"/>
              <w:rPr>
                <w:color w:val="000000"/>
                <w:sz w:val="20"/>
              </w:rPr>
            </w:pPr>
            <w:r w:rsidRPr="00FF3EF7">
              <w:rPr>
                <w:color w:val="000000"/>
                <w:sz w:val="20"/>
              </w:rPr>
              <w:t>3642/4550</w:t>
            </w:r>
          </w:p>
        </w:tc>
        <w:tc>
          <w:tcPr>
            <w:tcW w:w="1350" w:type="dxa"/>
            <w:tcBorders>
              <w:top w:val="nil"/>
              <w:left w:val="nil"/>
              <w:bottom w:val="nil"/>
              <w:right w:val="single" w:sz="4" w:space="0" w:color="auto"/>
            </w:tcBorders>
            <w:shd w:val="clear" w:color="auto" w:fill="auto"/>
            <w:noWrap/>
            <w:vAlign w:val="center"/>
            <w:hideMark/>
          </w:tcPr>
          <w:p w14:paraId="53400F33" w14:textId="77777777" w:rsidR="00C9738B" w:rsidRPr="00FF3EF7" w:rsidRDefault="00C9738B" w:rsidP="00C9738B">
            <w:pPr>
              <w:spacing w:after="0" w:line="240" w:lineRule="auto"/>
              <w:jc w:val="center"/>
              <w:rPr>
                <w:color w:val="000000"/>
                <w:sz w:val="20"/>
              </w:rPr>
            </w:pPr>
            <w:r w:rsidRPr="00FF3EF7">
              <w:rPr>
                <w:color w:val="000000"/>
                <w:sz w:val="20"/>
              </w:rPr>
              <w:t>80.0</w:t>
            </w:r>
          </w:p>
        </w:tc>
        <w:tc>
          <w:tcPr>
            <w:tcW w:w="2340" w:type="dxa"/>
            <w:tcBorders>
              <w:top w:val="nil"/>
              <w:left w:val="single" w:sz="4" w:space="0" w:color="auto"/>
              <w:bottom w:val="nil"/>
              <w:right w:val="nil"/>
            </w:tcBorders>
            <w:shd w:val="clear" w:color="auto" w:fill="auto"/>
            <w:noWrap/>
            <w:vAlign w:val="center"/>
            <w:hideMark/>
          </w:tcPr>
          <w:p w14:paraId="5B93F047" w14:textId="77777777" w:rsidR="00C9738B" w:rsidRPr="00FF3EF7" w:rsidRDefault="00C9738B" w:rsidP="00C9738B">
            <w:pPr>
              <w:spacing w:after="0" w:line="240" w:lineRule="auto"/>
              <w:jc w:val="center"/>
              <w:rPr>
                <w:color w:val="000000"/>
                <w:sz w:val="20"/>
              </w:rPr>
            </w:pPr>
            <w:r w:rsidRPr="00FF3EF7">
              <w:rPr>
                <w:color w:val="000000"/>
                <w:sz w:val="20"/>
              </w:rPr>
              <w:t>13.11 (12.25-14.02)</w:t>
            </w:r>
          </w:p>
        </w:tc>
        <w:tc>
          <w:tcPr>
            <w:tcW w:w="2070" w:type="dxa"/>
            <w:tcBorders>
              <w:top w:val="nil"/>
              <w:left w:val="nil"/>
              <w:bottom w:val="nil"/>
              <w:right w:val="nil"/>
            </w:tcBorders>
            <w:shd w:val="clear" w:color="auto" w:fill="auto"/>
            <w:noWrap/>
            <w:vAlign w:val="center"/>
            <w:hideMark/>
          </w:tcPr>
          <w:p w14:paraId="5575C6BB" w14:textId="77777777" w:rsidR="00C9738B" w:rsidRPr="00FF3EF7" w:rsidRDefault="00C9738B" w:rsidP="00C9738B">
            <w:pPr>
              <w:spacing w:after="0" w:line="240" w:lineRule="auto"/>
              <w:jc w:val="center"/>
              <w:rPr>
                <w:color w:val="000000"/>
                <w:sz w:val="20"/>
              </w:rPr>
            </w:pPr>
            <w:r w:rsidRPr="00FF3EF7">
              <w:rPr>
                <w:color w:val="000000"/>
                <w:sz w:val="20"/>
              </w:rPr>
              <w:t>12.86 (11.79-14.03)</w:t>
            </w:r>
          </w:p>
        </w:tc>
        <w:tc>
          <w:tcPr>
            <w:tcW w:w="2250" w:type="dxa"/>
            <w:tcBorders>
              <w:top w:val="nil"/>
              <w:left w:val="nil"/>
              <w:bottom w:val="nil"/>
              <w:right w:val="nil"/>
            </w:tcBorders>
            <w:shd w:val="clear" w:color="auto" w:fill="auto"/>
            <w:noWrap/>
            <w:vAlign w:val="center"/>
            <w:hideMark/>
          </w:tcPr>
          <w:p w14:paraId="2255E634" w14:textId="77777777" w:rsidR="00C9738B" w:rsidRPr="00FF3EF7" w:rsidRDefault="00C9738B" w:rsidP="00C9738B">
            <w:pPr>
              <w:spacing w:after="0" w:line="240" w:lineRule="auto"/>
              <w:jc w:val="center"/>
              <w:rPr>
                <w:color w:val="000000"/>
                <w:sz w:val="20"/>
              </w:rPr>
            </w:pPr>
            <w:r w:rsidRPr="00FF3EF7">
              <w:rPr>
                <w:color w:val="000000"/>
                <w:sz w:val="20"/>
              </w:rPr>
              <w:t>14.04 (12.71-15.51)</w:t>
            </w:r>
          </w:p>
        </w:tc>
      </w:tr>
      <w:tr w:rsidR="00C9738B" w:rsidRPr="00F66DCB" w14:paraId="03076EA7" w14:textId="77777777" w:rsidTr="00DA2DA0">
        <w:trPr>
          <w:trHeight w:val="20"/>
        </w:trPr>
        <w:tc>
          <w:tcPr>
            <w:tcW w:w="3325" w:type="dxa"/>
            <w:tcBorders>
              <w:top w:val="nil"/>
              <w:left w:val="nil"/>
              <w:bottom w:val="nil"/>
              <w:right w:val="nil"/>
            </w:tcBorders>
            <w:shd w:val="clear" w:color="auto" w:fill="auto"/>
            <w:noWrap/>
            <w:tcMar>
              <w:left w:w="115" w:type="dxa"/>
              <w:right w:w="115" w:type="dxa"/>
            </w:tcMar>
            <w:vAlign w:val="center"/>
          </w:tcPr>
          <w:p w14:paraId="768323B0" w14:textId="77777777" w:rsidR="00C9738B" w:rsidRPr="0093649A" w:rsidRDefault="00C9738B" w:rsidP="00C9738B">
            <w:pPr>
              <w:spacing w:after="0" w:line="240" w:lineRule="auto"/>
              <w:rPr>
                <w:color w:val="000000"/>
                <w:sz w:val="20"/>
              </w:rPr>
            </w:pPr>
            <w:r>
              <w:rPr>
                <w:color w:val="000000"/>
                <w:sz w:val="20"/>
              </w:rPr>
              <w:t xml:space="preserve">Number of </w:t>
            </w:r>
            <w:r w:rsidRPr="0093649A">
              <w:rPr>
                <w:color w:val="000000"/>
                <w:sz w:val="20"/>
              </w:rPr>
              <w:t>Outpatient Providers in Year Prior to Admission</w:t>
            </w:r>
          </w:p>
        </w:tc>
        <w:tc>
          <w:tcPr>
            <w:tcW w:w="1530" w:type="dxa"/>
            <w:tcBorders>
              <w:top w:val="nil"/>
              <w:left w:val="nil"/>
              <w:bottom w:val="nil"/>
              <w:right w:val="nil"/>
            </w:tcBorders>
            <w:shd w:val="clear" w:color="auto" w:fill="auto"/>
            <w:noWrap/>
            <w:vAlign w:val="center"/>
          </w:tcPr>
          <w:p w14:paraId="1FFD1292" w14:textId="77777777" w:rsidR="00C9738B" w:rsidRPr="00FF3EF7" w:rsidRDefault="00C9738B" w:rsidP="00C9738B">
            <w:pPr>
              <w:spacing w:after="0" w:line="240" w:lineRule="auto"/>
              <w:jc w:val="center"/>
              <w:rPr>
                <w:color w:val="000000"/>
                <w:sz w:val="20"/>
              </w:rPr>
            </w:pPr>
          </w:p>
        </w:tc>
        <w:tc>
          <w:tcPr>
            <w:tcW w:w="1350" w:type="dxa"/>
            <w:tcBorders>
              <w:top w:val="nil"/>
              <w:left w:val="nil"/>
              <w:bottom w:val="nil"/>
              <w:right w:val="single" w:sz="4" w:space="0" w:color="auto"/>
            </w:tcBorders>
            <w:shd w:val="clear" w:color="auto" w:fill="auto"/>
            <w:noWrap/>
            <w:vAlign w:val="center"/>
          </w:tcPr>
          <w:p w14:paraId="4ABE39CA" w14:textId="77777777" w:rsidR="00C9738B" w:rsidRPr="00FF3EF7" w:rsidRDefault="00C9738B" w:rsidP="00C9738B">
            <w:pPr>
              <w:spacing w:after="0" w:line="240" w:lineRule="auto"/>
              <w:jc w:val="center"/>
              <w:rPr>
                <w:color w:val="000000"/>
                <w:sz w:val="20"/>
              </w:rPr>
            </w:pPr>
          </w:p>
        </w:tc>
        <w:tc>
          <w:tcPr>
            <w:tcW w:w="2340" w:type="dxa"/>
            <w:tcBorders>
              <w:top w:val="nil"/>
              <w:left w:val="single" w:sz="4" w:space="0" w:color="auto"/>
              <w:bottom w:val="nil"/>
              <w:right w:val="nil"/>
            </w:tcBorders>
            <w:shd w:val="clear" w:color="auto" w:fill="auto"/>
            <w:noWrap/>
            <w:vAlign w:val="center"/>
          </w:tcPr>
          <w:p w14:paraId="7EBBD08C" w14:textId="77777777" w:rsidR="00C9738B" w:rsidRPr="00FF3EF7" w:rsidRDefault="00C9738B" w:rsidP="00C9738B">
            <w:pPr>
              <w:spacing w:after="0" w:line="240" w:lineRule="auto"/>
              <w:jc w:val="center"/>
              <w:rPr>
                <w:color w:val="000000"/>
                <w:sz w:val="20"/>
              </w:rPr>
            </w:pPr>
          </w:p>
        </w:tc>
        <w:tc>
          <w:tcPr>
            <w:tcW w:w="2070" w:type="dxa"/>
            <w:tcBorders>
              <w:top w:val="nil"/>
              <w:left w:val="nil"/>
              <w:bottom w:val="nil"/>
              <w:right w:val="nil"/>
            </w:tcBorders>
            <w:shd w:val="clear" w:color="auto" w:fill="auto"/>
            <w:noWrap/>
            <w:vAlign w:val="center"/>
          </w:tcPr>
          <w:p w14:paraId="063C86B8" w14:textId="77777777" w:rsidR="00C9738B" w:rsidRPr="00FF3EF7" w:rsidRDefault="00C9738B" w:rsidP="00C9738B">
            <w:pPr>
              <w:spacing w:after="0" w:line="240" w:lineRule="auto"/>
              <w:jc w:val="center"/>
              <w:rPr>
                <w:color w:val="000000"/>
                <w:sz w:val="20"/>
              </w:rPr>
            </w:pPr>
          </w:p>
        </w:tc>
        <w:tc>
          <w:tcPr>
            <w:tcW w:w="2250" w:type="dxa"/>
            <w:tcBorders>
              <w:top w:val="nil"/>
              <w:left w:val="nil"/>
              <w:bottom w:val="nil"/>
              <w:right w:val="nil"/>
            </w:tcBorders>
            <w:shd w:val="clear" w:color="auto" w:fill="auto"/>
            <w:noWrap/>
            <w:vAlign w:val="center"/>
          </w:tcPr>
          <w:p w14:paraId="5B08FE0F" w14:textId="77777777" w:rsidR="00C9738B" w:rsidRPr="00FF3EF7" w:rsidRDefault="00C9738B" w:rsidP="00C9738B">
            <w:pPr>
              <w:spacing w:after="0" w:line="240" w:lineRule="auto"/>
              <w:jc w:val="center"/>
              <w:rPr>
                <w:color w:val="000000"/>
                <w:sz w:val="20"/>
              </w:rPr>
            </w:pPr>
          </w:p>
        </w:tc>
      </w:tr>
      <w:tr w:rsidR="00C9738B" w:rsidRPr="00F66DCB" w14:paraId="5577DD44"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4F2CB10B" w14:textId="77777777" w:rsidR="00C9738B" w:rsidRPr="0093649A" w:rsidRDefault="00C9738B" w:rsidP="00C9738B">
            <w:pPr>
              <w:spacing w:after="0" w:line="240" w:lineRule="auto"/>
              <w:rPr>
                <w:color w:val="000000"/>
                <w:sz w:val="20"/>
              </w:rPr>
            </w:pPr>
            <w:r w:rsidRPr="0093649A">
              <w:rPr>
                <w:color w:val="000000"/>
                <w:sz w:val="20"/>
              </w:rPr>
              <w:t>1-3</w:t>
            </w:r>
          </w:p>
        </w:tc>
        <w:tc>
          <w:tcPr>
            <w:tcW w:w="1530" w:type="dxa"/>
            <w:tcBorders>
              <w:top w:val="nil"/>
              <w:left w:val="nil"/>
              <w:bottom w:val="nil"/>
              <w:right w:val="nil"/>
            </w:tcBorders>
            <w:shd w:val="clear" w:color="auto" w:fill="auto"/>
            <w:noWrap/>
            <w:vAlign w:val="center"/>
          </w:tcPr>
          <w:p w14:paraId="0090CB91" w14:textId="77777777" w:rsidR="00C9738B" w:rsidRPr="00FF3EF7" w:rsidRDefault="00C9738B" w:rsidP="00C9738B">
            <w:pPr>
              <w:spacing w:after="0" w:line="240" w:lineRule="auto"/>
              <w:jc w:val="center"/>
              <w:rPr>
                <w:color w:val="000000"/>
                <w:sz w:val="20"/>
              </w:rPr>
            </w:pPr>
            <w:r>
              <w:rPr>
                <w:color w:val="000000"/>
                <w:sz w:val="20"/>
              </w:rPr>
              <w:t>6735/20,253</w:t>
            </w:r>
          </w:p>
        </w:tc>
        <w:tc>
          <w:tcPr>
            <w:tcW w:w="1350" w:type="dxa"/>
            <w:tcBorders>
              <w:top w:val="nil"/>
              <w:left w:val="nil"/>
              <w:bottom w:val="nil"/>
              <w:right w:val="single" w:sz="4" w:space="0" w:color="auto"/>
            </w:tcBorders>
            <w:shd w:val="clear" w:color="auto" w:fill="auto"/>
            <w:noWrap/>
            <w:vAlign w:val="center"/>
          </w:tcPr>
          <w:p w14:paraId="4DDE389D" w14:textId="77777777" w:rsidR="00C9738B" w:rsidRPr="00FF3EF7" w:rsidRDefault="00C9738B" w:rsidP="00C9738B">
            <w:pPr>
              <w:spacing w:after="0" w:line="240" w:lineRule="auto"/>
              <w:jc w:val="center"/>
              <w:rPr>
                <w:color w:val="000000"/>
                <w:sz w:val="20"/>
              </w:rPr>
            </w:pPr>
            <w:r>
              <w:rPr>
                <w:color w:val="000000"/>
                <w:sz w:val="20"/>
              </w:rPr>
              <w:t>33.3</w:t>
            </w:r>
          </w:p>
        </w:tc>
        <w:tc>
          <w:tcPr>
            <w:tcW w:w="2340" w:type="dxa"/>
            <w:tcBorders>
              <w:top w:val="nil"/>
              <w:left w:val="single" w:sz="4" w:space="0" w:color="auto"/>
              <w:bottom w:val="nil"/>
              <w:right w:val="nil"/>
            </w:tcBorders>
            <w:shd w:val="clear" w:color="auto" w:fill="auto"/>
            <w:noWrap/>
            <w:vAlign w:val="center"/>
          </w:tcPr>
          <w:p w14:paraId="612ECF0D" w14:textId="77777777" w:rsidR="00C9738B" w:rsidRPr="005D4037" w:rsidRDefault="00C9738B" w:rsidP="00C9738B">
            <w:pPr>
              <w:spacing w:after="0" w:line="240" w:lineRule="auto"/>
              <w:jc w:val="center"/>
              <w:rPr>
                <w:color w:val="000000"/>
                <w:sz w:val="20"/>
                <w:vertAlign w:val="superscript"/>
              </w:rPr>
            </w:pPr>
            <w:r>
              <w:rPr>
                <w:color w:val="000000"/>
                <w:sz w:val="20"/>
              </w:rPr>
              <w:t>Ref</w:t>
            </w:r>
            <w:r>
              <w:rPr>
                <w:color w:val="000000"/>
                <w:sz w:val="20"/>
                <w:vertAlign w:val="superscript"/>
              </w:rPr>
              <w:t>f</w:t>
            </w:r>
          </w:p>
        </w:tc>
        <w:tc>
          <w:tcPr>
            <w:tcW w:w="2070" w:type="dxa"/>
            <w:tcBorders>
              <w:top w:val="nil"/>
              <w:left w:val="nil"/>
              <w:bottom w:val="nil"/>
              <w:right w:val="nil"/>
            </w:tcBorders>
            <w:shd w:val="clear" w:color="auto" w:fill="auto"/>
            <w:noWrap/>
            <w:vAlign w:val="center"/>
          </w:tcPr>
          <w:p w14:paraId="5BCA203B" w14:textId="77777777" w:rsidR="00C9738B" w:rsidRPr="005D4037" w:rsidRDefault="00C9738B" w:rsidP="00C9738B">
            <w:pPr>
              <w:spacing w:after="0" w:line="240" w:lineRule="auto"/>
              <w:jc w:val="center"/>
              <w:rPr>
                <w:color w:val="000000"/>
                <w:sz w:val="20"/>
                <w:vertAlign w:val="superscript"/>
              </w:rPr>
            </w:pPr>
            <w:r>
              <w:rPr>
                <w:color w:val="000000"/>
                <w:sz w:val="20"/>
              </w:rPr>
              <w:t>Ref</w:t>
            </w:r>
            <w:r>
              <w:rPr>
                <w:color w:val="000000"/>
                <w:sz w:val="20"/>
                <w:vertAlign w:val="superscript"/>
              </w:rPr>
              <w:t>f</w:t>
            </w:r>
          </w:p>
        </w:tc>
        <w:tc>
          <w:tcPr>
            <w:tcW w:w="2250" w:type="dxa"/>
            <w:tcBorders>
              <w:top w:val="nil"/>
              <w:left w:val="nil"/>
              <w:bottom w:val="nil"/>
              <w:right w:val="nil"/>
            </w:tcBorders>
            <w:shd w:val="clear" w:color="auto" w:fill="auto"/>
            <w:noWrap/>
            <w:vAlign w:val="center"/>
          </w:tcPr>
          <w:p w14:paraId="74435098" w14:textId="77777777" w:rsidR="00C9738B" w:rsidRPr="005D4037" w:rsidRDefault="00C9738B" w:rsidP="00C9738B">
            <w:pPr>
              <w:spacing w:after="0" w:line="240" w:lineRule="auto"/>
              <w:jc w:val="center"/>
              <w:rPr>
                <w:color w:val="000000"/>
                <w:sz w:val="20"/>
                <w:vertAlign w:val="superscript"/>
              </w:rPr>
            </w:pPr>
            <w:r>
              <w:rPr>
                <w:color w:val="000000"/>
                <w:sz w:val="20"/>
              </w:rPr>
              <w:t>Ref</w:t>
            </w:r>
            <w:r>
              <w:rPr>
                <w:color w:val="000000"/>
                <w:sz w:val="20"/>
                <w:vertAlign w:val="superscript"/>
              </w:rPr>
              <w:t>f</w:t>
            </w:r>
          </w:p>
        </w:tc>
      </w:tr>
      <w:tr w:rsidR="00C9738B" w:rsidRPr="00F66DCB" w14:paraId="341A9D6C"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727051E4" w14:textId="77777777" w:rsidR="00C9738B" w:rsidRPr="0093649A" w:rsidRDefault="00C9738B" w:rsidP="00C9738B">
            <w:pPr>
              <w:spacing w:after="0" w:line="240" w:lineRule="auto"/>
              <w:rPr>
                <w:color w:val="000000"/>
                <w:sz w:val="20"/>
              </w:rPr>
            </w:pPr>
            <w:r w:rsidRPr="0093649A">
              <w:rPr>
                <w:color w:val="000000"/>
                <w:sz w:val="20"/>
              </w:rPr>
              <w:t>4-6</w:t>
            </w:r>
          </w:p>
        </w:tc>
        <w:tc>
          <w:tcPr>
            <w:tcW w:w="1530" w:type="dxa"/>
            <w:tcBorders>
              <w:top w:val="nil"/>
              <w:left w:val="nil"/>
              <w:bottom w:val="nil"/>
              <w:right w:val="nil"/>
            </w:tcBorders>
            <w:shd w:val="clear" w:color="auto" w:fill="auto"/>
            <w:noWrap/>
            <w:vAlign w:val="center"/>
          </w:tcPr>
          <w:p w14:paraId="5A029003" w14:textId="77777777" w:rsidR="00C9738B" w:rsidRPr="00FF3EF7" w:rsidRDefault="00C9738B" w:rsidP="00C9738B">
            <w:pPr>
              <w:spacing w:after="0" w:line="240" w:lineRule="auto"/>
              <w:jc w:val="center"/>
              <w:rPr>
                <w:color w:val="000000"/>
                <w:sz w:val="20"/>
              </w:rPr>
            </w:pPr>
            <w:r>
              <w:rPr>
                <w:color w:val="000000"/>
                <w:sz w:val="20"/>
              </w:rPr>
              <w:t>7170/23,122</w:t>
            </w:r>
          </w:p>
        </w:tc>
        <w:tc>
          <w:tcPr>
            <w:tcW w:w="1350" w:type="dxa"/>
            <w:tcBorders>
              <w:top w:val="nil"/>
              <w:left w:val="nil"/>
              <w:bottom w:val="nil"/>
              <w:right w:val="single" w:sz="4" w:space="0" w:color="auto"/>
            </w:tcBorders>
            <w:shd w:val="clear" w:color="auto" w:fill="auto"/>
            <w:noWrap/>
            <w:vAlign w:val="center"/>
          </w:tcPr>
          <w:p w14:paraId="2F5BAA6B" w14:textId="77777777" w:rsidR="00C9738B" w:rsidRPr="00FF3EF7" w:rsidRDefault="00C9738B" w:rsidP="00C9738B">
            <w:pPr>
              <w:spacing w:after="0" w:line="240" w:lineRule="auto"/>
              <w:jc w:val="center"/>
              <w:rPr>
                <w:color w:val="000000"/>
                <w:sz w:val="20"/>
              </w:rPr>
            </w:pPr>
            <w:r>
              <w:rPr>
                <w:color w:val="000000"/>
                <w:sz w:val="20"/>
              </w:rPr>
              <w:t>31.0</w:t>
            </w:r>
          </w:p>
        </w:tc>
        <w:tc>
          <w:tcPr>
            <w:tcW w:w="2340" w:type="dxa"/>
            <w:tcBorders>
              <w:top w:val="nil"/>
              <w:left w:val="single" w:sz="4" w:space="0" w:color="auto"/>
              <w:bottom w:val="nil"/>
              <w:right w:val="nil"/>
            </w:tcBorders>
            <w:shd w:val="clear" w:color="auto" w:fill="auto"/>
            <w:noWrap/>
            <w:vAlign w:val="center"/>
          </w:tcPr>
          <w:p w14:paraId="6AA590DA" w14:textId="77777777" w:rsidR="00C9738B" w:rsidRPr="00FF3EF7" w:rsidRDefault="00C9738B" w:rsidP="00C9738B">
            <w:pPr>
              <w:spacing w:after="0" w:line="240" w:lineRule="auto"/>
              <w:jc w:val="center"/>
              <w:rPr>
                <w:color w:val="000000"/>
                <w:sz w:val="20"/>
              </w:rPr>
            </w:pPr>
            <w:r>
              <w:rPr>
                <w:color w:val="000000"/>
                <w:sz w:val="20"/>
              </w:rPr>
              <w:t>0.99 (0.96-1.01)</w:t>
            </w:r>
          </w:p>
        </w:tc>
        <w:tc>
          <w:tcPr>
            <w:tcW w:w="2070" w:type="dxa"/>
            <w:tcBorders>
              <w:top w:val="nil"/>
              <w:left w:val="nil"/>
              <w:bottom w:val="nil"/>
              <w:right w:val="nil"/>
            </w:tcBorders>
            <w:shd w:val="clear" w:color="auto" w:fill="auto"/>
            <w:noWrap/>
            <w:vAlign w:val="center"/>
          </w:tcPr>
          <w:p w14:paraId="6CB2EE0F" w14:textId="77777777" w:rsidR="00C9738B" w:rsidRPr="00FF3EF7" w:rsidRDefault="00C9738B" w:rsidP="00C9738B">
            <w:pPr>
              <w:spacing w:after="0" w:line="240" w:lineRule="auto"/>
              <w:jc w:val="center"/>
              <w:rPr>
                <w:color w:val="000000"/>
                <w:sz w:val="20"/>
              </w:rPr>
            </w:pPr>
            <w:r>
              <w:rPr>
                <w:color w:val="000000"/>
                <w:sz w:val="20"/>
              </w:rPr>
              <w:t>0.97 (0.95-1.00)</w:t>
            </w:r>
          </w:p>
        </w:tc>
        <w:tc>
          <w:tcPr>
            <w:tcW w:w="2250" w:type="dxa"/>
            <w:tcBorders>
              <w:top w:val="nil"/>
              <w:left w:val="nil"/>
              <w:bottom w:val="nil"/>
              <w:right w:val="nil"/>
            </w:tcBorders>
            <w:shd w:val="clear" w:color="auto" w:fill="auto"/>
            <w:noWrap/>
            <w:vAlign w:val="center"/>
          </w:tcPr>
          <w:p w14:paraId="2763A0C0" w14:textId="77777777" w:rsidR="00C9738B" w:rsidRPr="00FF3EF7" w:rsidRDefault="00C9738B" w:rsidP="00C9738B">
            <w:pPr>
              <w:spacing w:after="0" w:line="240" w:lineRule="auto"/>
              <w:jc w:val="center"/>
              <w:rPr>
                <w:color w:val="000000"/>
                <w:sz w:val="20"/>
              </w:rPr>
            </w:pPr>
            <w:r>
              <w:rPr>
                <w:color w:val="000000"/>
                <w:sz w:val="20"/>
              </w:rPr>
              <w:t>0.99 (0.96-1.03)</w:t>
            </w:r>
          </w:p>
        </w:tc>
      </w:tr>
      <w:tr w:rsidR="00C9738B" w:rsidRPr="00F66DCB" w14:paraId="31C2A06E"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7C16107F" w14:textId="77777777" w:rsidR="00C9738B" w:rsidRPr="0093649A" w:rsidRDefault="00C9738B" w:rsidP="00C9738B">
            <w:pPr>
              <w:spacing w:after="0" w:line="240" w:lineRule="auto"/>
              <w:rPr>
                <w:color w:val="000000"/>
                <w:sz w:val="20"/>
              </w:rPr>
            </w:pPr>
            <w:r w:rsidRPr="0093649A">
              <w:rPr>
                <w:color w:val="000000"/>
                <w:sz w:val="20"/>
              </w:rPr>
              <w:t>7-9</w:t>
            </w:r>
          </w:p>
        </w:tc>
        <w:tc>
          <w:tcPr>
            <w:tcW w:w="1530" w:type="dxa"/>
            <w:tcBorders>
              <w:top w:val="nil"/>
              <w:left w:val="nil"/>
              <w:bottom w:val="nil"/>
              <w:right w:val="nil"/>
            </w:tcBorders>
            <w:shd w:val="clear" w:color="auto" w:fill="auto"/>
            <w:noWrap/>
            <w:vAlign w:val="center"/>
          </w:tcPr>
          <w:p w14:paraId="7583D749" w14:textId="77777777" w:rsidR="00C9738B" w:rsidRPr="00FF3EF7" w:rsidRDefault="00C9738B" w:rsidP="00C9738B">
            <w:pPr>
              <w:spacing w:after="0" w:line="240" w:lineRule="auto"/>
              <w:jc w:val="center"/>
              <w:rPr>
                <w:color w:val="000000"/>
                <w:sz w:val="20"/>
              </w:rPr>
            </w:pPr>
            <w:r>
              <w:rPr>
                <w:color w:val="000000"/>
                <w:sz w:val="20"/>
              </w:rPr>
              <w:t>4352/15,353</w:t>
            </w:r>
          </w:p>
        </w:tc>
        <w:tc>
          <w:tcPr>
            <w:tcW w:w="1350" w:type="dxa"/>
            <w:tcBorders>
              <w:top w:val="nil"/>
              <w:left w:val="nil"/>
              <w:bottom w:val="nil"/>
              <w:right w:val="single" w:sz="4" w:space="0" w:color="auto"/>
            </w:tcBorders>
            <w:shd w:val="clear" w:color="auto" w:fill="auto"/>
            <w:noWrap/>
            <w:vAlign w:val="center"/>
          </w:tcPr>
          <w:p w14:paraId="5DE71529" w14:textId="77777777" w:rsidR="00C9738B" w:rsidRPr="00FF3EF7" w:rsidRDefault="00C9738B" w:rsidP="00C9738B">
            <w:pPr>
              <w:spacing w:after="0" w:line="240" w:lineRule="auto"/>
              <w:jc w:val="center"/>
              <w:rPr>
                <w:color w:val="000000"/>
                <w:sz w:val="20"/>
              </w:rPr>
            </w:pPr>
            <w:r>
              <w:rPr>
                <w:color w:val="000000"/>
                <w:sz w:val="20"/>
              </w:rPr>
              <w:t>28.4</w:t>
            </w:r>
          </w:p>
        </w:tc>
        <w:tc>
          <w:tcPr>
            <w:tcW w:w="2340" w:type="dxa"/>
            <w:tcBorders>
              <w:top w:val="nil"/>
              <w:left w:val="single" w:sz="4" w:space="0" w:color="auto"/>
              <w:bottom w:val="nil"/>
              <w:right w:val="nil"/>
            </w:tcBorders>
            <w:shd w:val="clear" w:color="auto" w:fill="auto"/>
            <w:noWrap/>
            <w:vAlign w:val="center"/>
          </w:tcPr>
          <w:p w14:paraId="0523B9AA" w14:textId="77777777" w:rsidR="00C9738B" w:rsidRPr="00FF3EF7" w:rsidRDefault="00C9738B" w:rsidP="00C9738B">
            <w:pPr>
              <w:spacing w:after="0" w:line="240" w:lineRule="auto"/>
              <w:jc w:val="center"/>
              <w:rPr>
                <w:color w:val="000000"/>
                <w:sz w:val="20"/>
              </w:rPr>
            </w:pPr>
            <w:r>
              <w:rPr>
                <w:color w:val="000000"/>
                <w:sz w:val="20"/>
              </w:rPr>
              <w:t>0.96 (0.94-0.98)</w:t>
            </w:r>
          </w:p>
        </w:tc>
        <w:tc>
          <w:tcPr>
            <w:tcW w:w="2070" w:type="dxa"/>
            <w:tcBorders>
              <w:top w:val="nil"/>
              <w:left w:val="nil"/>
              <w:bottom w:val="nil"/>
              <w:right w:val="nil"/>
            </w:tcBorders>
            <w:shd w:val="clear" w:color="auto" w:fill="auto"/>
            <w:noWrap/>
            <w:vAlign w:val="center"/>
          </w:tcPr>
          <w:p w14:paraId="46965439" w14:textId="77777777" w:rsidR="00C9738B" w:rsidRPr="00FF3EF7" w:rsidRDefault="00C9738B" w:rsidP="00C9738B">
            <w:pPr>
              <w:spacing w:after="0" w:line="240" w:lineRule="auto"/>
              <w:jc w:val="center"/>
              <w:rPr>
                <w:color w:val="000000"/>
                <w:sz w:val="20"/>
              </w:rPr>
            </w:pPr>
            <w:r>
              <w:rPr>
                <w:color w:val="000000"/>
                <w:sz w:val="20"/>
              </w:rPr>
              <w:t>0.95 (0.92-0.98)</w:t>
            </w:r>
          </w:p>
        </w:tc>
        <w:tc>
          <w:tcPr>
            <w:tcW w:w="2250" w:type="dxa"/>
            <w:tcBorders>
              <w:top w:val="nil"/>
              <w:left w:val="nil"/>
              <w:bottom w:val="nil"/>
              <w:right w:val="nil"/>
            </w:tcBorders>
            <w:shd w:val="clear" w:color="auto" w:fill="auto"/>
            <w:noWrap/>
            <w:vAlign w:val="center"/>
          </w:tcPr>
          <w:p w14:paraId="1029E1A8" w14:textId="77777777" w:rsidR="00C9738B" w:rsidRPr="00FF3EF7" w:rsidRDefault="00C9738B" w:rsidP="00C9738B">
            <w:pPr>
              <w:spacing w:after="0" w:line="240" w:lineRule="auto"/>
              <w:jc w:val="center"/>
              <w:rPr>
                <w:color w:val="000000"/>
                <w:sz w:val="20"/>
              </w:rPr>
            </w:pPr>
            <w:r>
              <w:rPr>
                <w:color w:val="000000"/>
                <w:sz w:val="20"/>
              </w:rPr>
              <w:t>0.97 (0.93-1.01)</w:t>
            </w:r>
          </w:p>
        </w:tc>
      </w:tr>
      <w:tr w:rsidR="00C9738B" w:rsidRPr="00F66DCB" w14:paraId="0331DF5A"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129170DC" w14:textId="77777777" w:rsidR="00C9738B" w:rsidRPr="0093649A" w:rsidRDefault="00C9738B" w:rsidP="00C9738B">
            <w:pPr>
              <w:spacing w:after="0" w:line="240" w:lineRule="auto"/>
              <w:rPr>
                <w:color w:val="000000"/>
                <w:sz w:val="20"/>
              </w:rPr>
            </w:pPr>
            <w:r>
              <w:rPr>
                <w:sz w:val="20"/>
              </w:rPr>
              <w:t>≥</w:t>
            </w:r>
            <w:r>
              <w:rPr>
                <w:color w:val="000000"/>
                <w:sz w:val="20"/>
              </w:rPr>
              <w:t>10</w:t>
            </w:r>
          </w:p>
        </w:tc>
        <w:tc>
          <w:tcPr>
            <w:tcW w:w="1530" w:type="dxa"/>
            <w:tcBorders>
              <w:top w:val="nil"/>
              <w:left w:val="nil"/>
              <w:bottom w:val="nil"/>
              <w:right w:val="nil"/>
            </w:tcBorders>
            <w:shd w:val="clear" w:color="auto" w:fill="auto"/>
            <w:noWrap/>
            <w:vAlign w:val="center"/>
          </w:tcPr>
          <w:p w14:paraId="70A353AD" w14:textId="77777777" w:rsidR="00C9738B" w:rsidRPr="00FF3EF7" w:rsidRDefault="00C9738B" w:rsidP="00C9738B">
            <w:pPr>
              <w:spacing w:after="0" w:line="240" w:lineRule="auto"/>
              <w:jc w:val="center"/>
              <w:rPr>
                <w:color w:val="000000"/>
                <w:sz w:val="20"/>
              </w:rPr>
            </w:pPr>
            <w:r>
              <w:rPr>
                <w:color w:val="000000"/>
                <w:sz w:val="20"/>
              </w:rPr>
              <w:t>2796/11,307</w:t>
            </w:r>
          </w:p>
        </w:tc>
        <w:tc>
          <w:tcPr>
            <w:tcW w:w="1350" w:type="dxa"/>
            <w:tcBorders>
              <w:top w:val="nil"/>
              <w:left w:val="nil"/>
              <w:bottom w:val="nil"/>
              <w:right w:val="single" w:sz="4" w:space="0" w:color="auto"/>
            </w:tcBorders>
            <w:shd w:val="clear" w:color="auto" w:fill="auto"/>
            <w:noWrap/>
            <w:vAlign w:val="center"/>
          </w:tcPr>
          <w:p w14:paraId="44CE170C" w14:textId="77777777" w:rsidR="00C9738B" w:rsidRPr="00FF3EF7" w:rsidRDefault="00C9738B" w:rsidP="00C9738B">
            <w:pPr>
              <w:spacing w:after="0" w:line="240" w:lineRule="auto"/>
              <w:jc w:val="center"/>
              <w:rPr>
                <w:color w:val="000000"/>
                <w:sz w:val="20"/>
              </w:rPr>
            </w:pPr>
            <w:r>
              <w:rPr>
                <w:color w:val="000000"/>
                <w:sz w:val="20"/>
              </w:rPr>
              <w:t>24.7</w:t>
            </w:r>
          </w:p>
        </w:tc>
        <w:tc>
          <w:tcPr>
            <w:tcW w:w="2340" w:type="dxa"/>
            <w:tcBorders>
              <w:top w:val="nil"/>
              <w:left w:val="single" w:sz="4" w:space="0" w:color="auto"/>
              <w:bottom w:val="nil"/>
              <w:right w:val="nil"/>
            </w:tcBorders>
            <w:shd w:val="clear" w:color="auto" w:fill="auto"/>
            <w:noWrap/>
            <w:vAlign w:val="center"/>
          </w:tcPr>
          <w:p w14:paraId="3157034C" w14:textId="77777777" w:rsidR="00C9738B" w:rsidRPr="00FF3EF7" w:rsidRDefault="00C9738B" w:rsidP="00C9738B">
            <w:pPr>
              <w:spacing w:after="0" w:line="240" w:lineRule="auto"/>
              <w:jc w:val="center"/>
              <w:rPr>
                <w:color w:val="000000"/>
                <w:sz w:val="20"/>
              </w:rPr>
            </w:pPr>
            <w:r>
              <w:rPr>
                <w:color w:val="000000"/>
                <w:sz w:val="20"/>
              </w:rPr>
              <w:t>0.91 (0.89-0.94)</w:t>
            </w:r>
          </w:p>
        </w:tc>
        <w:tc>
          <w:tcPr>
            <w:tcW w:w="2070" w:type="dxa"/>
            <w:tcBorders>
              <w:top w:val="nil"/>
              <w:left w:val="nil"/>
              <w:bottom w:val="nil"/>
              <w:right w:val="nil"/>
            </w:tcBorders>
            <w:shd w:val="clear" w:color="auto" w:fill="auto"/>
            <w:noWrap/>
            <w:vAlign w:val="center"/>
          </w:tcPr>
          <w:p w14:paraId="72264F93" w14:textId="77777777" w:rsidR="00C9738B" w:rsidRPr="00FF3EF7" w:rsidRDefault="00C9738B" w:rsidP="00C9738B">
            <w:pPr>
              <w:spacing w:after="0" w:line="240" w:lineRule="auto"/>
              <w:jc w:val="center"/>
              <w:rPr>
                <w:color w:val="000000"/>
                <w:sz w:val="20"/>
              </w:rPr>
            </w:pPr>
            <w:r>
              <w:rPr>
                <w:color w:val="000000"/>
                <w:sz w:val="20"/>
              </w:rPr>
              <w:t>0.90 (0.86-0.93)</w:t>
            </w:r>
          </w:p>
        </w:tc>
        <w:tc>
          <w:tcPr>
            <w:tcW w:w="2250" w:type="dxa"/>
            <w:tcBorders>
              <w:top w:val="nil"/>
              <w:left w:val="nil"/>
              <w:bottom w:val="nil"/>
              <w:right w:val="nil"/>
            </w:tcBorders>
            <w:shd w:val="clear" w:color="auto" w:fill="auto"/>
            <w:noWrap/>
            <w:vAlign w:val="center"/>
          </w:tcPr>
          <w:p w14:paraId="42C7B9DB" w14:textId="77777777" w:rsidR="00C9738B" w:rsidRPr="00FF3EF7" w:rsidRDefault="00C9738B" w:rsidP="00C9738B">
            <w:pPr>
              <w:spacing w:after="0" w:line="240" w:lineRule="auto"/>
              <w:jc w:val="center"/>
              <w:rPr>
                <w:color w:val="000000"/>
                <w:sz w:val="20"/>
              </w:rPr>
            </w:pPr>
            <w:r>
              <w:rPr>
                <w:color w:val="000000"/>
                <w:sz w:val="20"/>
              </w:rPr>
              <w:t>0.95 (0.90-1.00)</w:t>
            </w:r>
          </w:p>
        </w:tc>
      </w:tr>
      <w:tr w:rsidR="00C9738B" w:rsidRPr="00F66DCB" w14:paraId="624DE121" w14:textId="77777777" w:rsidTr="00DA2DA0">
        <w:trPr>
          <w:trHeight w:val="20"/>
        </w:trPr>
        <w:tc>
          <w:tcPr>
            <w:tcW w:w="3325" w:type="dxa"/>
            <w:tcBorders>
              <w:top w:val="nil"/>
              <w:left w:val="nil"/>
              <w:bottom w:val="nil"/>
              <w:right w:val="nil"/>
            </w:tcBorders>
            <w:shd w:val="clear" w:color="auto" w:fill="auto"/>
            <w:noWrap/>
            <w:tcMar>
              <w:left w:w="115" w:type="dxa"/>
              <w:right w:w="115" w:type="dxa"/>
            </w:tcMar>
            <w:vAlign w:val="center"/>
          </w:tcPr>
          <w:p w14:paraId="2B523C8A" w14:textId="77777777" w:rsidR="00C9738B" w:rsidRPr="0093649A" w:rsidRDefault="00C9738B" w:rsidP="00C9738B">
            <w:pPr>
              <w:spacing w:after="0" w:line="240" w:lineRule="auto"/>
              <w:rPr>
                <w:color w:val="000000"/>
                <w:sz w:val="20"/>
              </w:rPr>
            </w:pPr>
            <w:r w:rsidRPr="0093649A">
              <w:rPr>
                <w:color w:val="000000"/>
                <w:sz w:val="20"/>
              </w:rPr>
              <w:t>Unique Part D Medications in Year Prior to Admission</w:t>
            </w:r>
          </w:p>
        </w:tc>
        <w:tc>
          <w:tcPr>
            <w:tcW w:w="1530" w:type="dxa"/>
            <w:tcBorders>
              <w:top w:val="nil"/>
              <w:left w:val="nil"/>
              <w:bottom w:val="nil"/>
              <w:right w:val="nil"/>
            </w:tcBorders>
            <w:shd w:val="clear" w:color="auto" w:fill="auto"/>
            <w:noWrap/>
            <w:vAlign w:val="center"/>
          </w:tcPr>
          <w:p w14:paraId="0CE9407F" w14:textId="77777777" w:rsidR="00C9738B" w:rsidRPr="00FF3EF7" w:rsidRDefault="00C9738B" w:rsidP="00C9738B">
            <w:pPr>
              <w:spacing w:after="0" w:line="240" w:lineRule="auto"/>
              <w:jc w:val="center"/>
              <w:rPr>
                <w:color w:val="000000"/>
                <w:sz w:val="20"/>
              </w:rPr>
            </w:pPr>
          </w:p>
        </w:tc>
        <w:tc>
          <w:tcPr>
            <w:tcW w:w="1350" w:type="dxa"/>
            <w:tcBorders>
              <w:top w:val="nil"/>
              <w:left w:val="nil"/>
              <w:bottom w:val="nil"/>
              <w:right w:val="single" w:sz="4" w:space="0" w:color="auto"/>
            </w:tcBorders>
            <w:shd w:val="clear" w:color="auto" w:fill="auto"/>
            <w:noWrap/>
            <w:vAlign w:val="center"/>
          </w:tcPr>
          <w:p w14:paraId="6B5C01C1" w14:textId="77777777" w:rsidR="00C9738B" w:rsidRPr="00FF3EF7" w:rsidRDefault="00C9738B" w:rsidP="00C9738B">
            <w:pPr>
              <w:spacing w:after="0" w:line="240" w:lineRule="auto"/>
              <w:jc w:val="center"/>
              <w:rPr>
                <w:color w:val="000000"/>
                <w:sz w:val="20"/>
              </w:rPr>
            </w:pPr>
          </w:p>
        </w:tc>
        <w:tc>
          <w:tcPr>
            <w:tcW w:w="2340" w:type="dxa"/>
            <w:tcBorders>
              <w:top w:val="nil"/>
              <w:left w:val="single" w:sz="4" w:space="0" w:color="auto"/>
              <w:bottom w:val="nil"/>
              <w:right w:val="nil"/>
            </w:tcBorders>
            <w:shd w:val="clear" w:color="auto" w:fill="auto"/>
            <w:noWrap/>
            <w:vAlign w:val="center"/>
          </w:tcPr>
          <w:p w14:paraId="43BC3D1A" w14:textId="77777777" w:rsidR="00C9738B" w:rsidRPr="00FF3EF7" w:rsidRDefault="00C9738B" w:rsidP="00C9738B">
            <w:pPr>
              <w:spacing w:after="0" w:line="240" w:lineRule="auto"/>
              <w:jc w:val="center"/>
              <w:rPr>
                <w:color w:val="000000"/>
                <w:sz w:val="20"/>
              </w:rPr>
            </w:pPr>
          </w:p>
        </w:tc>
        <w:tc>
          <w:tcPr>
            <w:tcW w:w="2070" w:type="dxa"/>
            <w:tcBorders>
              <w:top w:val="nil"/>
              <w:left w:val="nil"/>
              <w:bottom w:val="nil"/>
              <w:right w:val="nil"/>
            </w:tcBorders>
            <w:shd w:val="clear" w:color="auto" w:fill="auto"/>
            <w:noWrap/>
            <w:vAlign w:val="center"/>
          </w:tcPr>
          <w:p w14:paraId="2780EF2E" w14:textId="77777777" w:rsidR="00C9738B" w:rsidRPr="00FF3EF7" w:rsidRDefault="00C9738B" w:rsidP="00C9738B">
            <w:pPr>
              <w:spacing w:after="0" w:line="240" w:lineRule="auto"/>
              <w:jc w:val="center"/>
              <w:rPr>
                <w:color w:val="000000"/>
                <w:sz w:val="20"/>
              </w:rPr>
            </w:pPr>
          </w:p>
        </w:tc>
        <w:tc>
          <w:tcPr>
            <w:tcW w:w="2250" w:type="dxa"/>
            <w:tcBorders>
              <w:top w:val="nil"/>
              <w:left w:val="nil"/>
              <w:bottom w:val="nil"/>
              <w:right w:val="nil"/>
            </w:tcBorders>
            <w:shd w:val="clear" w:color="auto" w:fill="auto"/>
            <w:noWrap/>
            <w:vAlign w:val="center"/>
          </w:tcPr>
          <w:p w14:paraId="18647E4C" w14:textId="77777777" w:rsidR="00C9738B" w:rsidRPr="00FF3EF7" w:rsidRDefault="00C9738B" w:rsidP="00C9738B">
            <w:pPr>
              <w:spacing w:after="0" w:line="240" w:lineRule="auto"/>
              <w:jc w:val="center"/>
              <w:rPr>
                <w:color w:val="000000"/>
                <w:sz w:val="20"/>
              </w:rPr>
            </w:pPr>
          </w:p>
        </w:tc>
      </w:tr>
      <w:tr w:rsidR="00C9738B" w:rsidRPr="00F66DCB" w14:paraId="57DB940F"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60C29FAE" w14:textId="77777777" w:rsidR="00C9738B" w:rsidRPr="0093649A" w:rsidRDefault="00C9738B" w:rsidP="00C9738B">
            <w:pPr>
              <w:spacing w:after="0" w:line="240" w:lineRule="auto"/>
              <w:rPr>
                <w:color w:val="000000"/>
                <w:sz w:val="20"/>
              </w:rPr>
            </w:pPr>
            <w:r w:rsidRPr="0093649A">
              <w:rPr>
                <w:color w:val="000000"/>
                <w:sz w:val="20"/>
              </w:rPr>
              <w:t>1-4</w:t>
            </w:r>
          </w:p>
        </w:tc>
        <w:tc>
          <w:tcPr>
            <w:tcW w:w="1530" w:type="dxa"/>
            <w:tcBorders>
              <w:top w:val="nil"/>
              <w:left w:val="nil"/>
              <w:bottom w:val="nil"/>
              <w:right w:val="nil"/>
            </w:tcBorders>
            <w:shd w:val="clear" w:color="auto" w:fill="auto"/>
            <w:noWrap/>
            <w:vAlign w:val="center"/>
          </w:tcPr>
          <w:p w14:paraId="2574B73F" w14:textId="77777777" w:rsidR="00C9738B" w:rsidRPr="00FF3EF7" w:rsidRDefault="00C9738B" w:rsidP="00C9738B">
            <w:pPr>
              <w:spacing w:after="0" w:line="240" w:lineRule="auto"/>
              <w:jc w:val="center"/>
              <w:rPr>
                <w:color w:val="000000"/>
                <w:sz w:val="20"/>
              </w:rPr>
            </w:pPr>
            <w:r w:rsidRPr="00FF3EF7">
              <w:rPr>
                <w:color w:val="000000"/>
                <w:sz w:val="20"/>
              </w:rPr>
              <w:t>399/1628</w:t>
            </w:r>
          </w:p>
        </w:tc>
        <w:tc>
          <w:tcPr>
            <w:tcW w:w="1350" w:type="dxa"/>
            <w:tcBorders>
              <w:top w:val="nil"/>
              <w:left w:val="nil"/>
              <w:bottom w:val="nil"/>
              <w:right w:val="single" w:sz="4" w:space="0" w:color="auto"/>
            </w:tcBorders>
            <w:shd w:val="clear" w:color="auto" w:fill="auto"/>
            <w:noWrap/>
            <w:vAlign w:val="center"/>
          </w:tcPr>
          <w:p w14:paraId="09A6A7FC" w14:textId="77777777" w:rsidR="00C9738B" w:rsidRPr="00FF3EF7" w:rsidRDefault="00C9738B" w:rsidP="00C9738B">
            <w:pPr>
              <w:spacing w:after="0" w:line="240" w:lineRule="auto"/>
              <w:jc w:val="center"/>
              <w:rPr>
                <w:color w:val="000000"/>
                <w:sz w:val="20"/>
              </w:rPr>
            </w:pPr>
            <w:r w:rsidRPr="00FF3EF7">
              <w:rPr>
                <w:color w:val="000000"/>
                <w:sz w:val="20"/>
              </w:rPr>
              <w:t>24.5</w:t>
            </w:r>
          </w:p>
        </w:tc>
        <w:tc>
          <w:tcPr>
            <w:tcW w:w="2340" w:type="dxa"/>
            <w:tcBorders>
              <w:top w:val="nil"/>
              <w:left w:val="single" w:sz="4" w:space="0" w:color="auto"/>
              <w:bottom w:val="nil"/>
              <w:right w:val="nil"/>
            </w:tcBorders>
            <w:shd w:val="clear" w:color="auto" w:fill="auto"/>
            <w:noWrap/>
            <w:vAlign w:val="center"/>
          </w:tcPr>
          <w:p w14:paraId="59871595"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h</w:t>
            </w:r>
          </w:p>
        </w:tc>
        <w:tc>
          <w:tcPr>
            <w:tcW w:w="2070" w:type="dxa"/>
            <w:tcBorders>
              <w:top w:val="nil"/>
              <w:left w:val="nil"/>
              <w:bottom w:val="nil"/>
              <w:right w:val="nil"/>
            </w:tcBorders>
            <w:shd w:val="clear" w:color="auto" w:fill="auto"/>
            <w:noWrap/>
            <w:vAlign w:val="center"/>
          </w:tcPr>
          <w:p w14:paraId="2E53E752"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h</w:t>
            </w:r>
          </w:p>
        </w:tc>
        <w:tc>
          <w:tcPr>
            <w:tcW w:w="2250" w:type="dxa"/>
            <w:tcBorders>
              <w:top w:val="nil"/>
              <w:left w:val="nil"/>
              <w:bottom w:val="nil"/>
              <w:right w:val="nil"/>
            </w:tcBorders>
            <w:shd w:val="clear" w:color="auto" w:fill="auto"/>
            <w:noWrap/>
            <w:vAlign w:val="center"/>
          </w:tcPr>
          <w:p w14:paraId="63DE07BC"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h</w:t>
            </w:r>
          </w:p>
        </w:tc>
      </w:tr>
      <w:tr w:rsidR="00C9738B" w:rsidRPr="00F66DCB" w14:paraId="6CA03A47"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1DCBD858" w14:textId="77777777" w:rsidR="00C9738B" w:rsidRPr="0093649A" w:rsidRDefault="00C9738B" w:rsidP="00C9738B">
            <w:pPr>
              <w:spacing w:after="0" w:line="240" w:lineRule="auto"/>
              <w:rPr>
                <w:color w:val="000000"/>
                <w:sz w:val="20"/>
              </w:rPr>
            </w:pPr>
            <w:r w:rsidRPr="0093649A">
              <w:rPr>
                <w:color w:val="000000"/>
                <w:sz w:val="20"/>
              </w:rPr>
              <w:t>5-9</w:t>
            </w:r>
          </w:p>
        </w:tc>
        <w:tc>
          <w:tcPr>
            <w:tcW w:w="1530" w:type="dxa"/>
            <w:tcBorders>
              <w:top w:val="nil"/>
              <w:left w:val="nil"/>
              <w:bottom w:val="nil"/>
              <w:right w:val="nil"/>
            </w:tcBorders>
            <w:shd w:val="clear" w:color="auto" w:fill="auto"/>
            <w:noWrap/>
            <w:vAlign w:val="center"/>
          </w:tcPr>
          <w:p w14:paraId="30377A17" w14:textId="77777777" w:rsidR="00C9738B" w:rsidRPr="00FF3EF7" w:rsidRDefault="00C9738B" w:rsidP="00C9738B">
            <w:pPr>
              <w:spacing w:after="0" w:line="240" w:lineRule="auto"/>
              <w:jc w:val="center"/>
              <w:rPr>
                <w:color w:val="000000"/>
                <w:sz w:val="20"/>
              </w:rPr>
            </w:pPr>
            <w:r w:rsidRPr="00FF3EF7">
              <w:rPr>
                <w:color w:val="000000"/>
                <w:sz w:val="20"/>
              </w:rPr>
              <w:t>3330/11,769</w:t>
            </w:r>
          </w:p>
        </w:tc>
        <w:tc>
          <w:tcPr>
            <w:tcW w:w="1350" w:type="dxa"/>
            <w:tcBorders>
              <w:top w:val="nil"/>
              <w:left w:val="nil"/>
              <w:bottom w:val="nil"/>
              <w:right w:val="single" w:sz="4" w:space="0" w:color="auto"/>
            </w:tcBorders>
            <w:shd w:val="clear" w:color="auto" w:fill="auto"/>
            <w:noWrap/>
            <w:vAlign w:val="center"/>
          </w:tcPr>
          <w:p w14:paraId="5B53A131" w14:textId="77777777" w:rsidR="00C9738B" w:rsidRPr="00FF3EF7" w:rsidRDefault="00C9738B" w:rsidP="00C9738B">
            <w:pPr>
              <w:spacing w:after="0" w:line="240" w:lineRule="auto"/>
              <w:jc w:val="center"/>
              <w:rPr>
                <w:color w:val="000000"/>
                <w:sz w:val="20"/>
              </w:rPr>
            </w:pPr>
            <w:r w:rsidRPr="00FF3EF7">
              <w:rPr>
                <w:color w:val="000000"/>
                <w:sz w:val="20"/>
              </w:rPr>
              <w:t>28.3</w:t>
            </w:r>
          </w:p>
        </w:tc>
        <w:tc>
          <w:tcPr>
            <w:tcW w:w="2340" w:type="dxa"/>
            <w:tcBorders>
              <w:top w:val="nil"/>
              <w:left w:val="single" w:sz="4" w:space="0" w:color="auto"/>
              <w:bottom w:val="nil"/>
              <w:right w:val="nil"/>
            </w:tcBorders>
            <w:shd w:val="clear" w:color="auto" w:fill="auto"/>
            <w:noWrap/>
            <w:vAlign w:val="center"/>
          </w:tcPr>
          <w:p w14:paraId="325BB0AA" w14:textId="77777777" w:rsidR="00C9738B" w:rsidRPr="00FF3EF7" w:rsidRDefault="00C9738B" w:rsidP="00C9738B">
            <w:pPr>
              <w:spacing w:after="0" w:line="240" w:lineRule="auto"/>
              <w:jc w:val="center"/>
              <w:rPr>
                <w:color w:val="000000"/>
                <w:sz w:val="20"/>
              </w:rPr>
            </w:pPr>
            <w:r w:rsidRPr="00FF3EF7">
              <w:rPr>
                <w:color w:val="000000"/>
                <w:sz w:val="20"/>
              </w:rPr>
              <w:t>1.08 (1.01-1.16)</w:t>
            </w:r>
          </w:p>
        </w:tc>
        <w:tc>
          <w:tcPr>
            <w:tcW w:w="2070" w:type="dxa"/>
            <w:tcBorders>
              <w:top w:val="nil"/>
              <w:left w:val="nil"/>
              <w:bottom w:val="nil"/>
              <w:right w:val="nil"/>
            </w:tcBorders>
            <w:shd w:val="clear" w:color="auto" w:fill="auto"/>
            <w:noWrap/>
            <w:vAlign w:val="center"/>
          </w:tcPr>
          <w:p w14:paraId="029537C3" w14:textId="77777777" w:rsidR="00C9738B" w:rsidRPr="00FF3EF7" w:rsidRDefault="00C9738B" w:rsidP="00C9738B">
            <w:pPr>
              <w:spacing w:after="0" w:line="240" w:lineRule="auto"/>
              <w:jc w:val="center"/>
              <w:rPr>
                <w:color w:val="000000"/>
                <w:sz w:val="20"/>
              </w:rPr>
            </w:pPr>
            <w:r w:rsidRPr="00FF3EF7">
              <w:rPr>
                <w:color w:val="000000"/>
                <w:sz w:val="20"/>
              </w:rPr>
              <w:t>1.09 (0.99-1.19)</w:t>
            </w:r>
          </w:p>
        </w:tc>
        <w:tc>
          <w:tcPr>
            <w:tcW w:w="2250" w:type="dxa"/>
            <w:tcBorders>
              <w:top w:val="nil"/>
              <w:left w:val="nil"/>
              <w:bottom w:val="nil"/>
              <w:right w:val="nil"/>
            </w:tcBorders>
            <w:shd w:val="clear" w:color="auto" w:fill="auto"/>
            <w:noWrap/>
            <w:vAlign w:val="center"/>
          </w:tcPr>
          <w:p w14:paraId="3188EAB0" w14:textId="77777777" w:rsidR="00C9738B" w:rsidRPr="00FF3EF7" w:rsidRDefault="00C9738B" w:rsidP="00C9738B">
            <w:pPr>
              <w:spacing w:after="0" w:line="240" w:lineRule="auto"/>
              <w:jc w:val="center"/>
              <w:rPr>
                <w:color w:val="000000"/>
                <w:sz w:val="20"/>
              </w:rPr>
            </w:pPr>
            <w:r w:rsidRPr="00FF3EF7">
              <w:rPr>
                <w:color w:val="000000"/>
                <w:sz w:val="20"/>
              </w:rPr>
              <w:t>1.07 (0.96-1.20)</w:t>
            </w:r>
          </w:p>
        </w:tc>
      </w:tr>
      <w:tr w:rsidR="00C9738B" w:rsidRPr="00F66DCB" w14:paraId="7D16AD97"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59E8AC8E" w14:textId="77777777" w:rsidR="00C9738B" w:rsidRPr="0093649A" w:rsidRDefault="00C9738B" w:rsidP="00C9738B">
            <w:pPr>
              <w:spacing w:after="0" w:line="240" w:lineRule="auto"/>
              <w:rPr>
                <w:color w:val="000000"/>
                <w:sz w:val="20"/>
              </w:rPr>
            </w:pPr>
            <w:r w:rsidRPr="0093649A">
              <w:rPr>
                <w:color w:val="000000"/>
                <w:sz w:val="20"/>
              </w:rPr>
              <w:t>10-19</w:t>
            </w:r>
          </w:p>
        </w:tc>
        <w:tc>
          <w:tcPr>
            <w:tcW w:w="1530" w:type="dxa"/>
            <w:tcBorders>
              <w:top w:val="nil"/>
              <w:left w:val="nil"/>
              <w:bottom w:val="nil"/>
              <w:right w:val="nil"/>
            </w:tcBorders>
            <w:shd w:val="clear" w:color="auto" w:fill="auto"/>
            <w:noWrap/>
            <w:vAlign w:val="center"/>
          </w:tcPr>
          <w:p w14:paraId="4E3099AE" w14:textId="77777777" w:rsidR="00C9738B" w:rsidRPr="00FF3EF7" w:rsidRDefault="00C9738B" w:rsidP="00C9738B">
            <w:pPr>
              <w:spacing w:after="0" w:line="240" w:lineRule="auto"/>
              <w:jc w:val="center"/>
              <w:rPr>
                <w:color w:val="000000"/>
                <w:sz w:val="20"/>
              </w:rPr>
            </w:pPr>
            <w:r w:rsidRPr="00FF3EF7">
              <w:rPr>
                <w:color w:val="000000"/>
                <w:sz w:val="20"/>
              </w:rPr>
              <w:t>11,514/38,072</w:t>
            </w:r>
          </w:p>
        </w:tc>
        <w:tc>
          <w:tcPr>
            <w:tcW w:w="1350" w:type="dxa"/>
            <w:tcBorders>
              <w:top w:val="nil"/>
              <w:left w:val="nil"/>
              <w:bottom w:val="nil"/>
              <w:right w:val="single" w:sz="4" w:space="0" w:color="auto"/>
            </w:tcBorders>
            <w:shd w:val="clear" w:color="auto" w:fill="auto"/>
            <w:noWrap/>
            <w:vAlign w:val="center"/>
          </w:tcPr>
          <w:p w14:paraId="398476BD" w14:textId="77777777" w:rsidR="00C9738B" w:rsidRPr="00FF3EF7" w:rsidRDefault="00C9738B" w:rsidP="00C9738B">
            <w:pPr>
              <w:spacing w:after="0" w:line="240" w:lineRule="auto"/>
              <w:jc w:val="center"/>
              <w:rPr>
                <w:color w:val="000000"/>
                <w:sz w:val="20"/>
              </w:rPr>
            </w:pPr>
            <w:r w:rsidRPr="00FF3EF7">
              <w:rPr>
                <w:color w:val="000000"/>
                <w:sz w:val="20"/>
              </w:rPr>
              <w:t>30.2</w:t>
            </w:r>
          </w:p>
        </w:tc>
        <w:tc>
          <w:tcPr>
            <w:tcW w:w="2340" w:type="dxa"/>
            <w:tcBorders>
              <w:top w:val="nil"/>
              <w:left w:val="single" w:sz="4" w:space="0" w:color="auto"/>
              <w:bottom w:val="nil"/>
              <w:right w:val="nil"/>
            </w:tcBorders>
            <w:shd w:val="clear" w:color="auto" w:fill="auto"/>
            <w:noWrap/>
            <w:vAlign w:val="center"/>
          </w:tcPr>
          <w:p w14:paraId="29CBF1ED" w14:textId="77777777" w:rsidR="00C9738B" w:rsidRPr="00FF3EF7" w:rsidRDefault="00C9738B" w:rsidP="00C9738B">
            <w:pPr>
              <w:spacing w:after="0" w:line="240" w:lineRule="auto"/>
              <w:jc w:val="center"/>
              <w:rPr>
                <w:color w:val="000000"/>
                <w:sz w:val="20"/>
              </w:rPr>
            </w:pPr>
            <w:r w:rsidRPr="00FF3EF7">
              <w:rPr>
                <w:color w:val="000000"/>
                <w:sz w:val="20"/>
              </w:rPr>
              <w:t>1.11 (1.03-1.18)</w:t>
            </w:r>
          </w:p>
        </w:tc>
        <w:tc>
          <w:tcPr>
            <w:tcW w:w="2070" w:type="dxa"/>
            <w:tcBorders>
              <w:top w:val="nil"/>
              <w:left w:val="nil"/>
              <w:bottom w:val="nil"/>
              <w:right w:val="nil"/>
            </w:tcBorders>
            <w:shd w:val="clear" w:color="auto" w:fill="auto"/>
            <w:noWrap/>
            <w:vAlign w:val="center"/>
          </w:tcPr>
          <w:p w14:paraId="100CCC98" w14:textId="77777777" w:rsidR="00C9738B" w:rsidRPr="00FF3EF7" w:rsidRDefault="00C9738B" w:rsidP="00C9738B">
            <w:pPr>
              <w:spacing w:after="0" w:line="240" w:lineRule="auto"/>
              <w:jc w:val="center"/>
              <w:rPr>
                <w:color w:val="000000"/>
                <w:sz w:val="20"/>
              </w:rPr>
            </w:pPr>
            <w:r w:rsidRPr="00FF3EF7">
              <w:rPr>
                <w:color w:val="000000"/>
                <w:sz w:val="20"/>
              </w:rPr>
              <w:t>1.10 (1.01-1.20)</w:t>
            </w:r>
          </w:p>
        </w:tc>
        <w:tc>
          <w:tcPr>
            <w:tcW w:w="2250" w:type="dxa"/>
            <w:tcBorders>
              <w:top w:val="nil"/>
              <w:left w:val="nil"/>
              <w:bottom w:val="nil"/>
              <w:right w:val="nil"/>
            </w:tcBorders>
            <w:shd w:val="clear" w:color="auto" w:fill="auto"/>
            <w:noWrap/>
            <w:vAlign w:val="center"/>
          </w:tcPr>
          <w:p w14:paraId="56119F3C" w14:textId="77777777" w:rsidR="00C9738B" w:rsidRPr="00FF3EF7" w:rsidRDefault="00C9738B" w:rsidP="00C9738B">
            <w:pPr>
              <w:spacing w:after="0" w:line="240" w:lineRule="auto"/>
              <w:jc w:val="center"/>
              <w:rPr>
                <w:color w:val="000000"/>
                <w:sz w:val="20"/>
              </w:rPr>
            </w:pPr>
            <w:r w:rsidRPr="00FF3EF7">
              <w:rPr>
                <w:color w:val="000000"/>
                <w:sz w:val="20"/>
              </w:rPr>
              <w:t>1.14 (1.02-1.28)</w:t>
            </w:r>
          </w:p>
        </w:tc>
      </w:tr>
      <w:tr w:rsidR="00C9738B" w:rsidRPr="00F66DCB" w14:paraId="79E7523A"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6A0E702A" w14:textId="77777777" w:rsidR="00C9738B" w:rsidRPr="0093649A" w:rsidRDefault="00C9738B" w:rsidP="00C9738B">
            <w:pPr>
              <w:spacing w:after="0" w:line="240" w:lineRule="auto"/>
              <w:rPr>
                <w:color w:val="000000"/>
                <w:sz w:val="20"/>
              </w:rPr>
            </w:pPr>
            <w:r w:rsidRPr="0093649A">
              <w:rPr>
                <w:color w:val="000000"/>
                <w:sz w:val="20"/>
              </w:rPr>
              <w:t>20-29</w:t>
            </w:r>
          </w:p>
        </w:tc>
        <w:tc>
          <w:tcPr>
            <w:tcW w:w="1530" w:type="dxa"/>
            <w:tcBorders>
              <w:top w:val="nil"/>
              <w:left w:val="nil"/>
              <w:bottom w:val="nil"/>
              <w:right w:val="nil"/>
            </w:tcBorders>
            <w:shd w:val="clear" w:color="auto" w:fill="auto"/>
            <w:noWrap/>
            <w:vAlign w:val="center"/>
          </w:tcPr>
          <w:p w14:paraId="46F1F444" w14:textId="77777777" w:rsidR="00C9738B" w:rsidRPr="00FF3EF7" w:rsidRDefault="00C9738B" w:rsidP="00C9738B">
            <w:pPr>
              <w:spacing w:after="0" w:line="240" w:lineRule="auto"/>
              <w:jc w:val="center"/>
              <w:rPr>
                <w:color w:val="000000"/>
                <w:sz w:val="20"/>
              </w:rPr>
            </w:pPr>
            <w:r w:rsidRPr="00FF3EF7">
              <w:rPr>
                <w:color w:val="000000"/>
                <w:sz w:val="20"/>
              </w:rPr>
              <w:t>4859/15,716</w:t>
            </w:r>
          </w:p>
        </w:tc>
        <w:tc>
          <w:tcPr>
            <w:tcW w:w="1350" w:type="dxa"/>
            <w:tcBorders>
              <w:top w:val="nil"/>
              <w:left w:val="nil"/>
              <w:bottom w:val="nil"/>
              <w:right w:val="single" w:sz="4" w:space="0" w:color="auto"/>
            </w:tcBorders>
            <w:shd w:val="clear" w:color="auto" w:fill="auto"/>
            <w:noWrap/>
            <w:vAlign w:val="center"/>
          </w:tcPr>
          <w:p w14:paraId="4B34BBF4" w14:textId="77777777" w:rsidR="00C9738B" w:rsidRPr="00FF3EF7" w:rsidRDefault="00C9738B" w:rsidP="00C9738B">
            <w:pPr>
              <w:spacing w:after="0" w:line="240" w:lineRule="auto"/>
              <w:jc w:val="center"/>
              <w:rPr>
                <w:color w:val="000000"/>
                <w:sz w:val="20"/>
              </w:rPr>
            </w:pPr>
            <w:r w:rsidRPr="00FF3EF7">
              <w:rPr>
                <w:color w:val="000000"/>
                <w:sz w:val="20"/>
              </w:rPr>
              <w:t>30.9</w:t>
            </w:r>
          </w:p>
        </w:tc>
        <w:tc>
          <w:tcPr>
            <w:tcW w:w="2340" w:type="dxa"/>
            <w:tcBorders>
              <w:top w:val="nil"/>
              <w:left w:val="single" w:sz="4" w:space="0" w:color="auto"/>
              <w:bottom w:val="nil"/>
              <w:right w:val="nil"/>
            </w:tcBorders>
            <w:shd w:val="clear" w:color="auto" w:fill="auto"/>
            <w:noWrap/>
            <w:vAlign w:val="center"/>
          </w:tcPr>
          <w:p w14:paraId="411B6505" w14:textId="77777777" w:rsidR="00C9738B" w:rsidRPr="00FF3EF7" w:rsidRDefault="00C9738B" w:rsidP="00C9738B">
            <w:pPr>
              <w:spacing w:after="0" w:line="240" w:lineRule="auto"/>
              <w:jc w:val="center"/>
              <w:rPr>
                <w:color w:val="000000"/>
                <w:sz w:val="20"/>
              </w:rPr>
            </w:pPr>
            <w:r w:rsidRPr="00FF3EF7">
              <w:rPr>
                <w:color w:val="000000"/>
                <w:sz w:val="20"/>
              </w:rPr>
              <w:t>1.13 (1.06-1.22)</w:t>
            </w:r>
          </w:p>
        </w:tc>
        <w:tc>
          <w:tcPr>
            <w:tcW w:w="2070" w:type="dxa"/>
            <w:tcBorders>
              <w:top w:val="nil"/>
              <w:left w:val="nil"/>
              <w:bottom w:val="nil"/>
              <w:right w:val="nil"/>
            </w:tcBorders>
            <w:shd w:val="clear" w:color="auto" w:fill="auto"/>
            <w:noWrap/>
            <w:vAlign w:val="center"/>
          </w:tcPr>
          <w:p w14:paraId="52FF4170" w14:textId="77777777" w:rsidR="00C9738B" w:rsidRPr="00FF3EF7" w:rsidRDefault="00C9738B" w:rsidP="00C9738B">
            <w:pPr>
              <w:spacing w:after="0" w:line="240" w:lineRule="auto"/>
              <w:jc w:val="center"/>
              <w:rPr>
                <w:color w:val="000000"/>
                <w:sz w:val="20"/>
              </w:rPr>
            </w:pPr>
            <w:r w:rsidRPr="00FF3EF7">
              <w:rPr>
                <w:color w:val="000000"/>
                <w:sz w:val="20"/>
              </w:rPr>
              <w:t>1.12 (1.02-1.22)</w:t>
            </w:r>
          </w:p>
        </w:tc>
        <w:tc>
          <w:tcPr>
            <w:tcW w:w="2250" w:type="dxa"/>
            <w:tcBorders>
              <w:top w:val="nil"/>
              <w:left w:val="nil"/>
              <w:bottom w:val="nil"/>
              <w:right w:val="nil"/>
            </w:tcBorders>
            <w:shd w:val="clear" w:color="auto" w:fill="auto"/>
            <w:noWrap/>
            <w:vAlign w:val="center"/>
          </w:tcPr>
          <w:p w14:paraId="257E509D" w14:textId="77777777" w:rsidR="00C9738B" w:rsidRPr="00FF3EF7" w:rsidRDefault="00C9738B" w:rsidP="00C9738B">
            <w:pPr>
              <w:spacing w:after="0" w:line="240" w:lineRule="auto"/>
              <w:jc w:val="center"/>
              <w:rPr>
                <w:color w:val="000000"/>
                <w:sz w:val="20"/>
              </w:rPr>
            </w:pPr>
            <w:r w:rsidRPr="00FF3EF7">
              <w:rPr>
                <w:color w:val="000000"/>
                <w:sz w:val="20"/>
              </w:rPr>
              <w:t>1.20 (1.07-1.34)</w:t>
            </w:r>
          </w:p>
        </w:tc>
      </w:tr>
      <w:tr w:rsidR="00C9738B" w:rsidRPr="00F66DCB" w14:paraId="721C8D23" w14:textId="77777777" w:rsidTr="00DA2DA0">
        <w:trPr>
          <w:trHeight w:val="20"/>
        </w:trPr>
        <w:tc>
          <w:tcPr>
            <w:tcW w:w="3325" w:type="dxa"/>
            <w:tcBorders>
              <w:top w:val="nil"/>
              <w:left w:val="nil"/>
              <w:bottom w:val="nil"/>
              <w:right w:val="nil"/>
            </w:tcBorders>
            <w:shd w:val="clear" w:color="auto" w:fill="auto"/>
            <w:noWrap/>
            <w:tcMar>
              <w:left w:w="216" w:type="dxa"/>
            </w:tcMar>
            <w:vAlign w:val="center"/>
          </w:tcPr>
          <w:p w14:paraId="3A4A67F1" w14:textId="77777777" w:rsidR="00C9738B" w:rsidRPr="0093649A" w:rsidRDefault="00C9738B" w:rsidP="00C9738B">
            <w:pPr>
              <w:spacing w:after="0" w:line="240" w:lineRule="auto"/>
              <w:rPr>
                <w:color w:val="000000"/>
                <w:sz w:val="20"/>
              </w:rPr>
            </w:pPr>
            <w:r>
              <w:rPr>
                <w:sz w:val="20"/>
              </w:rPr>
              <w:t>≥</w:t>
            </w:r>
            <w:r>
              <w:rPr>
                <w:color w:val="000000"/>
                <w:sz w:val="20"/>
              </w:rPr>
              <w:t>30</w:t>
            </w:r>
          </w:p>
        </w:tc>
        <w:tc>
          <w:tcPr>
            <w:tcW w:w="1530" w:type="dxa"/>
            <w:tcBorders>
              <w:top w:val="nil"/>
              <w:left w:val="nil"/>
              <w:bottom w:val="nil"/>
              <w:right w:val="nil"/>
            </w:tcBorders>
            <w:shd w:val="clear" w:color="auto" w:fill="auto"/>
            <w:noWrap/>
            <w:vAlign w:val="center"/>
          </w:tcPr>
          <w:p w14:paraId="53825F8B" w14:textId="77777777" w:rsidR="00C9738B" w:rsidRPr="00FF3EF7" w:rsidRDefault="00C9738B" w:rsidP="00C9738B">
            <w:pPr>
              <w:spacing w:after="0" w:line="240" w:lineRule="auto"/>
              <w:jc w:val="center"/>
              <w:rPr>
                <w:color w:val="000000"/>
                <w:sz w:val="20"/>
              </w:rPr>
            </w:pPr>
            <w:r w:rsidRPr="00FF3EF7">
              <w:rPr>
                <w:color w:val="000000"/>
                <w:sz w:val="20"/>
              </w:rPr>
              <w:t>951/2850</w:t>
            </w:r>
          </w:p>
        </w:tc>
        <w:tc>
          <w:tcPr>
            <w:tcW w:w="1350" w:type="dxa"/>
            <w:tcBorders>
              <w:top w:val="nil"/>
              <w:left w:val="nil"/>
              <w:bottom w:val="nil"/>
              <w:right w:val="single" w:sz="4" w:space="0" w:color="auto"/>
            </w:tcBorders>
            <w:shd w:val="clear" w:color="auto" w:fill="auto"/>
            <w:noWrap/>
            <w:vAlign w:val="center"/>
          </w:tcPr>
          <w:p w14:paraId="4B982CEA" w14:textId="77777777" w:rsidR="00C9738B" w:rsidRPr="00FF3EF7" w:rsidRDefault="00C9738B" w:rsidP="00C9738B">
            <w:pPr>
              <w:spacing w:after="0" w:line="240" w:lineRule="auto"/>
              <w:jc w:val="center"/>
              <w:rPr>
                <w:color w:val="000000"/>
                <w:sz w:val="20"/>
              </w:rPr>
            </w:pPr>
            <w:r w:rsidRPr="00FF3EF7">
              <w:rPr>
                <w:color w:val="000000"/>
                <w:sz w:val="20"/>
              </w:rPr>
              <w:t>33.4</w:t>
            </w:r>
          </w:p>
        </w:tc>
        <w:tc>
          <w:tcPr>
            <w:tcW w:w="2340" w:type="dxa"/>
            <w:tcBorders>
              <w:top w:val="nil"/>
              <w:left w:val="single" w:sz="4" w:space="0" w:color="auto"/>
              <w:bottom w:val="nil"/>
              <w:right w:val="nil"/>
            </w:tcBorders>
            <w:shd w:val="clear" w:color="auto" w:fill="auto"/>
            <w:noWrap/>
            <w:vAlign w:val="center"/>
          </w:tcPr>
          <w:p w14:paraId="27FFE98C" w14:textId="77777777" w:rsidR="00C9738B" w:rsidRPr="00FF3EF7" w:rsidRDefault="00C9738B" w:rsidP="00C9738B">
            <w:pPr>
              <w:spacing w:after="0" w:line="240" w:lineRule="auto"/>
              <w:jc w:val="center"/>
              <w:rPr>
                <w:color w:val="000000"/>
                <w:sz w:val="20"/>
              </w:rPr>
            </w:pPr>
            <w:r w:rsidRPr="00FF3EF7">
              <w:rPr>
                <w:color w:val="000000"/>
                <w:sz w:val="20"/>
              </w:rPr>
              <w:t>1.18 (1.09-1.28)</w:t>
            </w:r>
          </w:p>
        </w:tc>
        <w:tc>
          <w:tcPr>
            <w:tcW w:w="2070" w:type="dxa"/>
            <w:tcBorders>
              <w:top w:val="nil"/>
              <w:left w:val="nil"/>
              <w:bottom w:val="nil"/>
              <w:right w:val="nil"/>
            </w:tcBorders>
            <w:shd w:val="clear" w:color="auto" w:fill="auto"/>
            <w:noWrap/>
            <w:vAlign w:val="center"/>
          </w:tcPr>
          <w:p w14:paraId="1FAF5FDA" w14:textId="77777777" w:rsidR="00C9738B" w:rsidRPr="00FF3EF7" w:rsidRDefault="00C9738B" w:rsidP="00C9738B">
            <w:pPr>
              <w:spacing w:after="0" w:line="240" w:lineRule="auto"/>
              <w:jc w:val="center"/>
              <w:rPr>
                <w:color w:val="000000"/>
                <w:sz w:val="20"/>
              </w:rPr>
            </w:pPr>
            <w:r w:rsidRPr="00FF3EF7">
              <w:rPr>
                <w:color w:val="000000"/>
                <w:sz w:val="20"/>
              </w:rPr>
              <w:t>1.13 (1.02-1.25)</w:t>
            </w:r>
          </w:p>
        </w:tc>
        <w:tc>
          <w:tcPr>
            <w:tcW w:w="2250" w:type="dxa"/>
            <w:tcBorders>
              <w:top w:val="nil"/>
              <w:left w:val="nil"/>
              <w:bottom w:val="nil"/>
              <w:right w:val="nil"/>
            </w:tcBorders>
            <w:shd w:val="clear" w:color="auto" w:fill="auto"/>
            <w:noWrap/>
            <w:vAlign w:val="center"/>
          </w:tcPr>
          <w:p w14:paraId="25FCE652" w14:textId="77777777" w:rsidR="00C9738B" w:rsidRPr="00FF3EF7" w:rsidRDefault="00C9738B" w:rsidP="00C9738B">
            <w:pPr>
              <w:spacing w:after="0" w:line="240" w:lineRule="auto"/>
              <w:jc w:val="center"/>
              <w:rPr>
                <w:color w:val="000000"/>
                <w:sz w:val="20"/>
              </w:rPr>
            </w:pPr>
            <w:r w:rsidRPr="00FF3EF7">
              <w:rPr>
                <w:color w:val="000000"/>
                <w:sz w:val="20"/>
              </w:rPr>
              <w:t>1.33 (1.16-1.51)</w:t>
            </w:r>
          </w:p>
        </w:tc>
      </w:tr>
      <w:tr w:rsidR="00C9738B" w:rsidRPr="00F66DCB" w14:paraId="66A0B88D" w14:textId="77777777" w:rsidTr="00DA2DA0">
        <w:trPr>
          <w:trHeight w:val="20"/>
        </w:trPr>
        <w:tc>
          <w:tcPr>
            <w:tcW w:w="3325" w:type="dxa"/>
            <w:tcBorders>
              <w:top w:val="nil"/>
              <w:left w:val="nil"/>
              <w:bottom w:val="nil"/>
              <w:right w:val="nil"/>
            </w:tcBorders>
            <w:shd w:val="clear" w:color="auto" w:fill="auto"/>
            <w:vAlign w:val="center"/>
            <w:hideMark/>
          </w:tcPr>
          <w:p w14:paraId="4C5F5E24" w14:textId="77777777" w:rsidR="00C9738B" w:rsidRPr="0093649A" w:rsidRDefault="00C9738B" w:rsidP="00C9738B">
            <w:pPr>
              <w:spacing w:after="0" w:line="240" w:lineRule="auto"/>
              <w:rPr>
                <w:color w:val="000000"/>
                <w:sz w:val="20"/>
              </w:rPr>
            </w:pPr>
            <w:r>
              <w:rPr>
                <w:color w:val="000000"/>
                <w:sz w:val="20"/>
              </w:rPr>
              <w:t>Limited Benefit</w:t>
            </w:r>
            <w:r w:rsidRPr="0093649A">
              <w:rPr>
                <w:color w:val="000000"/>
                <w:sz w:val="20"/>
              </w:rPr>
              <w:t xml:space="preserve"> Drug Classes Used Prior to Admission</w:t>
            </w:r>
          </w:p>
        </w:tc>
        <w:tc>
          <w:tcPr>
            <w:tcW w:w="1530" w:type="dxa"/>
            <w:tcBorders>
              <w:top w:val="nil"/>
              <w:left w:val="nil"/>
              <w:bottom w:val="nil"/>
              <w:right w:val="nil"/>
            </w:tcBorders>
            <w:shd w:val="clear" w:color="auto" w:fill="auto"/>
            <w:noWrap/>
            <w:vAlign w:val="center"/>
            <w:hideMark/>
          </w:tcPr>
          <w:p w14:paraId="01AB709C" w14:textId="77777777" w:rsidR="00C9738B" w:rsidRPr="00FF3EF7" w:rsidRDefault="00C9738B" w:rsidP="00C9738B">
            <w:pPr>
              <w:spacing w:after="0" w:line="240" w:lineRule="auto"/>
              <w:rPr>
                <w:color w:val="000000"/>
                <w:sz w:val="20"/>
              </w:rPr>
            </w:pPr>
          </w:p>
        </w:tc>
        <w:tc>
          <w:tcPr>
            <w:tcW w:w="1350" w:type="dxa"/>
            <w:tcBorders>
              <w:top w:val="nil"/>
              <w:left w:val="nil"/>
              <w:bottom w:val="nil"/>
              <w:right w:val="single" w:sz="4" w:space="0" w:color="auto"/>
            </w:tcBorders>
            <w:shd w:val="clear" w:color="auto" w:fill="auto"/>
            <w:noWrap/>
            <w:vAlign w:val="center"/>
            <w:hideMark/>
          </w:tcPr>
          <w:p w14:paraId="290BC8DF" w14:textId="77777777" w:rsidR="00C9738B" w:rsidRPr="00FF3EF7" w:rsidRDefault="00C9738B" w:rsidP="00C9738B">
            <w:pPr>
              <w:spacing w:after="0" w:line="240" w:lineRule="auto"/>
              <w:jc w:val="center"/>
              <w:rPr>
                <w:sz w:val="20"/>
              </w:rPr>
            </w:pPr>
          </w:p>
        </w:tc>
        <w:tc>
          <w:tcPr>
            <w:tcW w:w="2340" w:type="dxa"/>
            <w:tcBorders>
              <w:top w:val="nil"/>
              <w:left w:val="single" w:sz="4" w:space="0" w:color="auto"/>
              <w:bottom w:val="nil"/>
              <w:right w:val="nil"/>
            </w:tcBorders>
            <w:shd w:val="clear" w:color="auto" w:fill="auto"/>
            <w:noWrap/>
            <w:vAlign w:val="center"/>
            <w:hideMark/>
          </w:tcPr>
          <w:p w14:paraId="4425CF55" w14:textId="77777777" w:rsidR="00C9738B" w:rsidRPr="00FF3EF7" w:rsidRDefault="00C9738B" w:rsidP="00C9738B">
            <w:pPr>
              <w:spacing w:after="0" w:line="240" w:lineRule="auto"/>
              <w:jc w:val="center"/>
              <w:rPr>
                <w:sz w:val="20"/>
              </w:rPr>
            </w:pPr>
          </w:p>
        </w:tc>
        <w:tc>
          <w:tcPr>
            <w:tcW w:w="2070" w:type="dxa"/>
            <w:tcBorders>
              <w:top w:val="nil"/>
              <w:left w:val="nil"/>
              <w:bottom w:val="nil"/>
              <w:right w:val="nil"/>
            </w:tcBorders>
            <w:shd w:val="clear" w:color="auto" w:fill="auto"/>
            <w:noWrap/>
            <w:vAlign w:val="center"/>
            <w:hideMark/>
          </w:tcPr>
          <w:p w14:paraId="798FC2D2" w14:textId="77777777" w:rsidR="00C9738B" w:rsidRPr="00FF3EF7" w:rsidRDefault="00C9738B" w:rsidP="00C9738B">
            <w:pPr>
              <w:spacing w:after="0" w:line="240" w:lineRule="auto"/>
              <w:jc w:val="center"/>
              <w:rPr>
                <w:sz w:val="20"/>
              </w:rPr>
            </w:pPr>
          </w:p>
        </w:tc>
        <w:tc>
          <w:tcPr>
            <w:tcW w:w="2250" w:type="dxa"/>
            <w:tcBorders>
              <w:top w:val="nil"/>
              <w:left w:val="nil"/>
              <w:bottom w:val="nil"/>
              <w:right w:val="nil"/>
            </w:tcBorders>
            <w:shd w:val="clear" w:color="auto" w:fill="auto"/>
            <w:noWrap/>
            <w:vAlign w:val="center"/>
            <w:hideMark/>
          </w:tcPr>
          <w:p w14:paraId="1B31F56B" w14:textId="77777777" w:rsidR="00C9738B" w:rsidRPr="00FF3EF7" w:rsidRDefault="00C9738B" w:rsidP="00C9738B">
            <w:pPr>
              <w:spacing w:after="0" w:line="240" w:lineRule="auto"/>
              <w:jc w:val="center"/>
              <w:rPr>
                <w:sz w:val="20"/>
              </w:rPr>
            </w:pPr>
          </w:p>
        </w:tc>
      </w:tr>
      <w:tr w:rsidR="00C9738B" w:rsidRPr="00F66DCB" w14:paraId="0922F1A2"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3ED4D948" w14:textId="77777777" w:rsidR="00C9738B" w:rsidRPr="0093649A" w:rsidRDefault="00C9738B" w:rsidP="00C9738B">
            <w:pPr>
              <w:spacing w:after="0" w:line="240" w:lineRule="auto"/>
              <w:rPr>
                <w:color w:val="000000"/>
                <w:sz w:val="20"/>
              </w:rPr>
            </w:pPr>
            <w:r w:rsidRPr="0093649A">
              <w:rPr>
                <w:color w:val="000000"/>
                <w:sz w:val="20"/>
              </w:rPr>
              <w:t>1</w:t>
            </w:r>
          </w:p>
        </w:tc>
        <w:tc>
          <w:tcPr>
            <w:tcW w:w="1530" w:type="dxa"/>
            <w:tcBorders>
              <w:top w:val="nil"/>
              <w:left w:val="nil"/>
              <w:bottom w:val="nil"/>
              <w:right w:val="nil"/>
            </w:tcBorders>
            <w:shd w:val="clear" w:color="auto" w:fill="auto"/>
            <w:noWrap/>
            <w:vAlign w:val="center"/>
            <w:hideMark/>
          </w:tcPr>
          <w:p w14:paraId="06A073C1" w14:textId="77777777" w:rsidR="00C9738B" w:rsidRPr="00FF3EF7" w:rsidRDefault="00C9738B" w:rsidP="00C9738B">
            <w:pPr>
              <w:spacing w:after="0" w:line="240" w:lineRule="auto"/>
              <w:jc w:val="center"/>
              <w:rPr>
                <w:color w:val="000000"/>
                <w:sz w:val="20"/>
              </w:rPr>
            </w:pPr>
            <w:r w:rsidRPr="00FF3EF7">
              <w:rPr>
                <w:color w:val="000000"/>
                <w:sz w:val="20"/>
              </w:rPr>
              <w:t>4128/20,591</w:t>
            </w:r>
          </w:p>
        </w:tc>
        <w:tc>
          <w:tcPr>
            <w:tcW w:w="1350" w:type="dxa"/>
            <w:tcBorders>
              <w:top w:val="nil"/>
              <w:left w:val="nil"/>
              <w:bottom w:val="nil"/>
              <w:right w:val="single" w:sz="4" w:space="0" w:color="auto"/>
            </w:tcBorders>
            <w:shd w:val="clear" w:color="auto" w:fill="auto"/>
            <w:noWrap/>
            <w:vAlign w:val="center"/>
            <w:hideMark/>
          </w:tcPr>
          <w:p w14:paraId="5485695C" w14:textId="77777777" w:rsidR="00C9738B" w:rsidRPr="00FF3EF7" w:rsidRDefault="00C9738B" w:rsidP="00C9738B">
            <w:pPr>
              <w:spacing w:after="0" w:line="240" w:lineRule="auto"/>
              <w:jc w:val="center"/>
              <w:rPr>
                <w:color w:val="000000"/>
                <w:sz w:val="20"/>
              </w:rPr>
            </w:pPr>
            <w:r w:rsidRPr="00FF3EF7">
              <w:rPr>
                <w:color w:val="000000"/>
                <w:sz w:val="20"/>
              </w:rPr>
              <w:t>20.1</w:t>
            </w:r>
          </w:p>
        </w:tc>
        <w:tc>
          <w:tcPr>
            <w:tcW w:w="2340" w:type="dxa"/>
            <w:tcBorders>
              <w:top w:val="nil"/>
              <w:left w:val="single" w:sz="4" w:space="0" w:color="auto"/>
              <w:bottom w:val="nil"/>
              <w:right w:val="nil"/>
            </w:tcBorders>
            <w:shd w:val="clear" w:color="auto" w:fill="auto"/>
            <w:noWrap/>
            <w:vAlign w:val="center"/>
            <w:hideMark/>
          </w:tcPr>
          <w:p w14:paraId="1D27DBBF"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i</w:t>
            </w:r>
          </w:p>
        </w:tc>
        <w:tc>
          <w:tcPr>
            <w:tcW w:w="2070" w:type="dxa"/>
            <w:tcBorders>
              <w:top w:val="nil"/>
              <w:left w:val="nil"/>
              <w:bottom w:val="nil"/>
              <w:right w:val="nil"/>
            </w:tcBorders>
            <w:shd w:val="clear" w:color="auto" w:fill="auto"/>
            <w:noWrap/>
            <w:vAlign w:val="center"/>
            <w:hideMark/>
          </w:tcPr>
          <w:p w14:paraId="1D25E264"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i</w:t>
            </w:r>
          </w:p>
        </w:tc>
        <w:tc>
          <w:tcPr>
            <w:tcW w:w="2250" w:type="dxa"/>
            <w:tcBorders>
              <w:top w:val="nil"/>
              <w:left w:val="nil"/>
              <w:bottom w:val="nil"/>
              <w:right w:val="nil"/>
            </w:tcBorders>
            <w:shd w:val="clear" w:color="auto" w:fill="auto"/>
            <w:noWrap/>
            <w:vAlign w:val="center"/>
            <w:hideMark/>
          </w:tcPr>
          <w:p w14:paraId="516ACC0D" w14:textId="77777777" w:rsidR="00C9738B" w:rsidRPr="00FF3EF7" w:rsidRDefault="00C9738B" w:rsidP="00C9738B">
            <w:pPr>
              <w:spacing w:after="0" w:line="240" w:lineRule="auto"/>
              <w:jc w:val="center"/>
              <w:rPr>
                <w:color w:val="000000"/>
                <w:sz w:val="20"/>
              </w:rPr>
            </w:pPr>
            <w:r>
              <w:rPr>
                <w:color w:val="000000"/>
                <w:sz w:val="20"/>
              </w:rPr>
              <w:t>Ref</w:t>
            </w:r>
            <w:r>
              <w:rPr>
                <w:color w:val="000000"/>
                <w:sz w:val="20"/>
                <w:vertAlign w:val="superscript"/>
              </w:rPr>
              <w:t>i</w:t>
            </w:r>
          </w:p>
        </w:tc>
      </w:tr>
      <w:tr w:rsidR="00C9738B" w:rsidRPr="00F66DCB" w14:paraId="31FA6CEA"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1C9C7E57" w14:textId="77777777" w:rsidR="00C9738B" w:rsidRPr="0093649A" w:rsidRDefault="00C9738B" w:rsidP="00C9738B">
            <w:pPr>
              <w:spacing w:after="0" w:line="240" w:lineRule="auto"/>
              <w:rPr>
                <w:color w:val="000000"/>
                <w:sz w:val="20"/>
              </w:rPr>
            </w:pPr>
            <w:r w:rsidRPr="0093649A">
              <w:rPr>
                <w:color w:val="000000"/>
                <w:sz w:val="20"/>
              </w:rPr>
              <w:t>2</w:t>
            </w:r>
          </w:p>
        </w:tc>
        <w:tc>
          <w:tcPr>
            <w:tcW w:w="1530" w:type="dxa"/>
            <w:tcBorders>
              <w:top w:val="nil"/>
              <w:left w:val="nil"/>
              <w:bottom w:val="nil"/>
              <w:right w:val="nil"/>
            </w:tcBorders>
            <w:shd w:val="clear" w:color="auto" w:fill="auto"/>
            <w:noWrap/>
            <w:vAlign w:val="center"/>
            <w:hideMark/>
          </w:tcPr>
          <w:p w14:paraId="3AA782B5" w14:textId="77777777" w:rsidR="00C9738B" w:rsidRPr="00FF3EF7" w:rsidRDefault="00C9738B" w:rsidP="00C9738B">
            <w:pPr>
              <w:spacing w:after="0" w:line="240" w:lineRule="auto"/>
              <w:jc w:val="center"/>
              <w:rPr>
                <w:color w:val="000000"/>
                <w:sz w:val="20"/>
              </w:rPr>
            </w:pPr>
            <w:r w:rsidRPr="00FF3EF7">
              <w:rPr>
                <w:color w:val="000000"/>
                <w:sz w:val="20"/>
              </w:rPr>
              <w:t>5398/18,817</w:t>
            </w:r>
          </w:p>
        </w:tc>
        <w:tc>
          <w:tcPr>
            <w:tcW w:w="1350" w:type="dxa"/>
            <w:tcBorders>
              <w:top w:val="nil"/>
              <w:left w:val="nil"/>
              <w:bottom w:val="nil"/>
              <w:right w:val="single" w:sz="4" w:space="0" w:color="auto"/>
            </w:tcBorders>
            <w:shd w:val="clear" w:color="auto" w:fill="auto"/>
            <w:noWrap/>
            <w:vAlign w:val="center"/>
            <w:hideMark/>
          </w:tcPr>
          <w:p w14:paraId="474E2EF2" w14:textId="77777777" w:rsidR="00C9738B" w:rsidRPr="00FF3EF7" w:rsidRDefault="00C9738B" w:rsidP="00C9738B">
            <w:pPr>
              <w:spacing w:after="0" w:line="240" w:lineRule="auto"/>
              <w:jc w:val="center"/>
              <w:rPr>
                <w:color w:val="000000"/>
                <w:sz w:val="20"/>
              </w:rPr>
            </w:pPr>
            <w:r w:rsidRPr="00FF3EF7">
              <w:rPr>
                <w:color w:val="000000"/>
                <w:sz w:val="20"/>
              </w:rPr>
              <w:t>28.7</w:t>
            </w:r>
          </w:p>
        </w:tc>
        <w:tc>
          <w:tcPr>
            <w:tcW w:w="2340" w:type="dxa"/>
            <w:tcBorders>
              <w:top w:val="nil"/>
              <w:left w:val="single" w:sz="4" w:space="0" w:color="auto"/>
              <w:bottom w:val="nil"/>
              <w:right w:val="nil"/>
            </w:tcBorders>
            <w:shd w:val="clear" w:color="auto" w:fill="auto"/>
            <w:noWrap/>
            <w:vAlign w:val="center"/>
            <w:hideMark/>
          </w:tcPr>
          <w:p w14:paraId="1D6BE7E9" w14:textId="77777777" w:rsidR="00C9738B" w:rsidRPr="00FF3EF7" w:rsidRDefault="00C9738B" w:rsidP="00C9738B">
            <w:pPr>
              <w:spacing w:after="0" w:line="240" w:lineRule="auto"/>
              <w:jc w:val="center"/>
              <w:rPr>
                <w:color w:val="000000"/>
                <w:sz w:val="20"/>
              </w:rPr>
            </w:pPr>
            <w:r w:rsidRPr="00FF3EF7">
              <w:rPr>
                <w:color w:val="000000"/>
                <w:sz w:val="20"/>
              </w:rPr>
              <w:t>1.39 (1.35-1.44)</w:t>
            </w:r>
          </w:p>
        </w:tc>
        <w:tc>
          <w:tcPr>
            <w:tcW w:w="2070" w:type="dxa"/>
            <w:tcBorders>
              <w:top w:val="nil"/>
              <w:left w:val="nil"/>
              <w:bottom w:val="nil"/>
              <w:right w:val="nil"/>
            </w:tcBorders>
            <w:shd w:val="clear" w:color="auto" w:fill="auto"/>
            <w:noWrap/>
            <w:vAlign w:val="center"/>
            <w:hideMark/>
          </w:tcPr>
          <w:p w14:paraId="4FACA1FF" w14:textId="77777777" w:rsidR="00C9738B" w:rsidRPr="00FF3EF7" w:rsidRDefault="00C9738B" w:rsidP="00C9738B">
            <w:pPr>
              <w:spacing w:after="0" w:line="240" w:lineRule="auto"/>
              <w:jc w:val="center"/>
              <w:rPr>
                <w:color w:val="000000"/>
                <w:sz w:val="20"/>
              </w:rPr>
            </w:pPr>
            <w:r w:rsidRPr="00FF3EF7">
              <w:rPr>
                <w:color w:val="000000"/>
                <w:sz w:val="20"/>
              </w:rPr>
              <w:t>1.41 (1.36-1.47)</w:t>
            </w:r>
          </w:p>
        </w:tc>
        <w:tc>
          <w:tcPr>
            <w:tcW w:w="2250" w:type="dxa"/>
            <w:tcBorders>
              <w:top w:val="nil"/>
              <w:left w:val="nil"/>
              <w:bottom w:val="nil"/>
              <w:right w:val="nil"/>
            </w:tcBorders>
            <w:shd w:val="clear" w:color="auto" w:fill="auto"/>
            <w:noWrap/>
            <w:vAlign w:val="center"/>
            <w:hideMark/>
          </w:tcPr>
          <w:p w14:paraId="2CCF9100" w14:textId="77777777" w:rsidR="00C9738B" w:rsidRPr="00FF3EF7" w:rsidRDefault="00C9738B" w:rsidP="00C9738B">
            <w:pPr>
              <w:spacing w:after="0" w:line="240" w:lineRule="auto"/>
              <w:jc w:val="center"/>
              <w:rPr>
                <w:color w:val="000000"/>
                <w:sz w:val="20"/>
              </w:rPr>
            </w:pPr>
            <w:r w:rsidRPr="00FF3EF7">
              <w:rPr>
                <w:color w:val="000000"/>
                <w:sz w:val="20"/>
              </w:rPr>
              <w:t>1.37 (1.31-1.43)</w:t>
            </w:r>
          </w:p>
        </w:tc>
      </w:tr>
      <w:tr w:rsidR="00C9738B" w:rsidRPr="00F66DCB" w14:paraId="310AB605"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6F312486" w14:textId="77777777" w:rsidR="00C9738B" w:rsidRPr="0093649A" w:rsidRDefault="00C9738B" w:rsidP="00C9738B">
            <w:pPr>
              <w:spacing w:after="0" w:line="240" w:lineRule="auto"/>
              <w:rPr>
                <w:color w:val="000000"/>
                <w:sz w:val="20"/>
              </w:rPr>
            </w:pPr>
            <w:r w:rsidRPr="0093649A">
              <w:rPr>
                <w:color w:val="000000"/>
                <w:sz w:val="20"/>
              </w:rPr>
              <w:t>3</w:t>
            </w:r>
          </w:p>
        </w:tc>
        <w:tc>
          <w:tcPr>
            <w:tcW w:w="1530" w:type="dxa"/>
            <w:tcBorders>
              <w:top w:val="nil"/>
              <w:left w:val="nil"/>
              <w:bottom w:val="nil"/>
              <w:right w:val="nil"/>
            </w:tcBorders>
            <w:shd w:val="clear" w:color="auto" w:fill="auto"/>
            <w:noWrap/>
            <w:vAlign w:val="center"/>
            <w:hideMark/>
          </w:tcPr>
          <w:p w14:paraId="4B530883" w14:textId="77777777" w:rsidR="00C9738B" w:rsidRPr="00FF3EF7" w:rsidRDefault="00C9738B" w:rsidP="00C9738B">
            <w:pPr>
              <w:spacing w:after="0" w:line="240" w:lineRule="auto"/>
              <w:jc w:val="center"/>
              <w:rPr>
                <w:color w:val="000000"/>
                <w:sz w:val="20"/>
              </w:rPr>
            </w:pPr>
            <w:r w:rsidRPr="00FF3EF7">
              <w:rPr>
                <w:color w:val="000000"/>
                <w:sz w:val="20"/>
              </w:rPr>
              <w:t>4868/14,260</w:t>
            </w:r>
          </w:p>
        </w:tc>
        <w:tc>
          <w:tcPr>
            <w:tcW w:w="1350" w:type="dxa"/>
            <w:tcBorders>
              <w:top w:val="nil"/>
              <w:left w:val="nil"/>
              <w:bottom w:val="nil"/>
              <w:right w:val="single" w:sz="4" w:space="0" w:color="auto"/>
            </w:tcBorders>
            <w:shd w:val="clear" w:color="auto" w:fill="auto"/>
            <w:noWrap/>
            <w:vAlign w:val="center"/>
            <w:hideMark/>
          </w:tcPr>
          <w:p w14:paraId="4B7A6FB7" w14:textId="77777777" w:rsidR="00C9738B" w:rsidRPr="00FF3EF7" w:rsidRDefault="00C9738B" w:rsidP="00C9738B">
            <w:pPr>
              <w:spacing w:after="0" w:line="240" w:lineRule="auto"/>
              <w:jc w:val="center"/>
              <w:rPr>
                <w:color w:val="000000"/>
                <w:sz w:val="20"/>
              </w:rPr>
            </w:pPr>
            <w:r w:rsidRPr="00FF3EF7">
              <w:rPr>
                <w:color w:val="000000"/>
                <w:sz w:val="20"/>
              </w:rPr>
              <w:t>34.1</w:t>
            </w:r>
          </w:p>
        </w:tc>
        <w:tc>
          <w:tcPr>
            <w:tcW w:w="2340" w:type="dxa"/>
            <w:tcBorders>
              <w:top w:val="nil"/>
              <w:left w:val="single" w:sz="4" w:space="0" w:color="auto"/>
              <w:bottom w:val="nil"/>
              <w:right w:val="nil"/>
            </w:tcBorders>
            <w:shd w:val="clear" w:color="auto" w:fill="auto"/>
            <w:noWrap/>
            <w:vAlign w:val="center"/>
            <w:hideMark/>
          </w:tcPr>
          <w:p w14:paraId="331CAF6D" w14:textId="77777777" w:rsidR="00C9738B" w:rsidRPr="00FF3EF7" w:rsidRDefault="00C9738B" w:rsidP="00C9738B">
            <w:pPr>
              <w:spacing w:after="0" w:line="240" w:lineRule="auto"/>
              <w:jc w:val="center"/>
              <w:rPr>
                <w:color w:val="000000"/>
                <w:sz w:val="20"/>
              </w:rPr>
            </w:pPr>
            <w:r w:rsidRPr="00FF3EF7">
              <w:rPr>
                <w:color w:val="000000"/>
                <w:sz w:val="20"/>
              </w:rPr>
              <w:t>1.61 (1.56-1.66)</w:t>
            </w:r>
          </w:p>
        </w:tc>
        <w:tc>
          <w:tcPr>
            <w:tcW w:w="2070" w:type="dxa"/>
            <w:tcBorders>
              <w:top w:val="nil"/>
              <w:left w:val="nil"/>
              <w:bottom w:val="nil"/>
              <w:right w:val="nil"/>
            </w:tcBorders>
            <w:shd w:val="clear" w:color="auto" w:fill="auto"/>
            <w:noWrap/>
            <w:vAlign w:val="center"/>
            <w:hideMark/>
          </w:tcPr>
          <w:p w14:paraId="6E82AA4F" w14:textId="77777777" w:rsidR="00C9738B" w:rsidRPr="00FF3EF7" w:rsidRDefault="00C9738B" w:rsidP="00C9738B">
            <w:pPr>
              <w:spacing w:after="0" w:line="240" w:lineRule="auto"/>
              <w:jc w:val="center"/>
              <w:rPr>
                <w:color w:val="000000"/>
                <w:sz w:val="20"/>
              </w:rPr>
            </w:pPr>
            <w:r w:rsidRPr="00FF3EF7">
              <w:rPr>
                <w:color w:val="000000"/>
                <w:sz w:val="20"/>
              </w:rPr>
              <w:t>1.64 (1.57-1.70)</w:t>
            </w:r>
          </w:p>
        </w:tc>
        <w:tc>
          <w:tcPr>
            <w:tcW w:w="2250" w:type="dxa"/>
            <w:tcBorders>
              <w:top w:val="nil"/>
              <w:left w:val="nil"/>
              <w:bottom w:val="nil"/>
              <w:right w:val="nil"/>
            </w:tcBorders>
            <w:shd w:val="clear" w:color="auto" w:fill="auto"/>
            <w:noWrap/>
            <w:vAlign w:val="center"/>
            <w:hideMark/>
          </w:tcPr>
          <w:p w14:paraId="25CC7E01" w14:textId="77777777" w:rsidR="00C9738B" w:rsidRPr="00FF3EF7" w:rsidRDefault="00C9738B" w:rsidP="00C9738B">
            <w:pPr>
              <w:spacing w:after="0" w:line="240" w:lineRule="auto"/>
              <w:jc w:val="center"/>
              <w:rPr>
                <w:color w:val="000000"/>
                <w:sz w:val="20"/>
              </w:rPr>
            </w:pPr>
            <w:r w:rsidRPr="00FF3EF7">
              <w:rPr>
                <w:color w:val="000000"/>
                <w:sz w:val="20"/>
              </w:rPr>
              <w:t>1.57 (1.50-1.65)</w:t>
            </w:r>
          </w:p>
        </w:tc>
      </w:tr>
      <w:tr w:rsidR="00C9738B" w:rsidRPr="00F66DCB" w14:paraId="4046C288" w14:textId="77777777" w:rsidTr="00DA2DA0">
        <w:trPr>
          <w:trHeight w:val="20"/>
        </w:trPr>
        <w:tc>
          <w:tcPr>
            <w:tcW w:w="3325" w:type="dxa"/>
            <w:tcBorders>
              <w:top w:val="nil"/>
              <w:left w:val="nil"/>
              <w:bottom w:val="nil"/>
              <w:right w:val="nil"/>
            </w:tcBorders>
            <w:shd w:val="clear" w:color="auto" w:fill="auto"/>
            <w:noWrap/>
            <w:tcMar>
              <w:left w:w="216" w:type="dxa"/>
            </w:tcMar>
            <w:vAlign w:val="center"/>
            <w:hideMark/>
          </w:tcPr>
          <w:p w14:paraId="02F5A680" w14:textId="77777777" w:rsidR="00C9738B" w:rsidRPr="0093649A" w:rsidRDefault="00C9738B" w:rsidP="00C9738B">
            <w:pPr>
              <w:spacing w:after="0" w:line="240" w:lineRule="auto"/>
              <w:rPr>
                <w:color w:val="000000"/>
                <w:sz w:val="20"/>
              </w:rPr>
            </w:pPr>
            <w:r w:rsidRPr="0093649A">
              <w:rPr>
                <w:color w:val="000000"/>
                <w:sz w:val="20"/>
              </w:rPr>
              <w:t>4-5</w:t>
            </w:r>
          </w:p>
        </w:tc>
        <w:tc>
          <w:tcPr>
            <w:tcW w:w="1530" w:type="dxa"/>
            <w:tcBorders>
              <w:top w:val="nil"/>
              <w:left w:val="nil"/>
              <w:bottom w:val="nil"/>
              <w:right w:val="nil"/>
            </w:tcBorders>
            <w:shd w:val="clear" w:color="auto" w:fill="auto"/>
            <w:noWrap/>
            <w:vAlign w:val="center"/>
            <w:hideMark/>
          </w:tcPr>
          <w:p w14:paraId="25013752" w14:textId="77777777" w:rsidR="00C9738B" w:rsidRPr="00FF3EF7" w:rsidRDefault="00C9738B" w:rsidP="00C9738B">
            <w:pPr>
              <w:spacing w:after="0" w:line="240" w:lineRule="auto"/>
              <w:jc w:val="center"/>
              <w:rPr>
                <w:color w:val="000000"/>
                <w:sz w:val="20"/>
              </w:rPr>
            </w:pPr>
            <w:r w:rsidRPr="00FF3EF7">
              <w:rPr>
                <w:color w:val="000000"/>
                <w:sz w:val="20"/>
              </w:rPr>
              <w:t>5158/13,035</w:t>
            </w:r>
          </w:p>
        </w:tc>
        <w:tc>
          <w:tcPr>
            <w:tcW w:w="1350" w:type="dxa"/>
            <w:tcBorders>
              <w:top w:val="nil"/>
              <w:left w:val="nil"/>
              <w:bottom w:val="nil"/>
              <w:right w:val="single" w:sz="4" w:space="0" w:color="auto"/>
            </w:tcBorders>
            <w:shd w:val="clear" w:color="auto" w:fill="auto"/>
            <w:noWrap/>
            <w:vAlign w:val="center"/>
            <w:hideMark/>
          </w:tcPr>
          <w:p w14:paraId="3AB40ED2" w14:textId="77777777" w:rsidR="00C9738B" w:rsidRPr="00FF3EF7" w:rsidRDefault="00C9738B" w:rsidP="00C9738B">
            <w:pPr>
              <w:spacing w:after="0" w:line="240" w:lineRule="auto"/>
              <w:jc w:val="center"/>
              <w:rPr>
                <w:color w:val="000000"/>
                <w:sz w:val="20"/>
              </w:rPr>
            </w:pPr>
            <w:r w:rsidRPr="00FF3EF7">
              <w:rPr>
                <w:color w:val="000000"/>
                <w:sz w:val="20"/>
              </w:rPr>
              <w:t>39.6</w:t>
            </w:r>
          </w:p>
        </w:tc>
        <w:tc>
          <w:tcPr>
            <w:tcW w:w="2340" w:type="dxa"/>
            <w:tcBorders>
              <w:top w:val="nil"/>
              <w:left w:val="single" w:sz="4" w:space="0" w:color="auto"/>
              <w:bottom w:val="nil"/>
              <w:right w:val="nil"/>
            </w:tcBorders>
            <w:shd w:val="clear" w:color="auto" w:fill="auto"/>
            <w:noWrap/>
            <w:vAlign w:val="center"/>
            <w:hideMark/>
          </w:tcPr>
          <w:p w14:paraId="28A96A74" w14:textId="77777777" w:rsidR="00C9738B" w:rsidRPr="00FF3EF7" w:rsidRDefault="00C9738B" w:rsidP="00C9738B">
            <w:pPr>
              <w:spacing w:after="0" w:line="240" w:lineRule="auto"/>
              <w:jc w:val="center"/>
              <w:rPr>
                <w:color w:val="000000"/>
                <w:sz w:val="20"/>
              </w:rPr>
            </w:pPr>
            <w:r w:rsidRPr="00FF3EF7">
              <w:rPr>
                <w:color w:val="000000"/>
                <w:sz w:val="20"/>
              </w:rPr>
              <w:t>1.81 (1.75-1.86)</w:t>
            </w:r>
          </w:p>
        </w:tc>
        <w:tc>
          <w:tcPr>
            <w:tcW w:w="2070" w:type="dxa"/>
            <w:tcBorders>
              <w:top w:val="nil"/>
              <w:left w:val="nil"/>
              <w:bottom w:val="nil"/>
              <w:right w:val="nil"/>
            </w:tcBorders>
            <w:shd w:val="clear" w:color="auto" w:fill="auto"/>
            <w:noWrap/>
            <w:vAlign w:val="center"/>
            <w:hideMark/>
          </w:tcPr>
          <w:p w14:paraId="0665A7A8" w14:textId="77777777" w:rsidR="00C9738B" w:rsidRPr="00FF3EF7" w:rsidRDefault="00C9738B" w:rsidP="00C9738B">
            <w:pPr>
              <w:spacing w:after="0" w:line="240" w:lineRule="auto"/>
              <w:jc w:val="center"/>
              <w:rPr>
                <w:color w:val="000000"/>
                <w:sz w:val="20"/>
              </w:rPr>
            </w:pPr>
            <w:r w:rsidRPr="00FF3EF7">
              <w:rPr>
                <w:color w:val="000000"/>
                <w:sz w:val="20"/>
              </w:rPr>
              <w:t>1.86 (1.79-1.94)</w:t>
            </w:r>
          </w:p>
        </w:tc>
        <w:tc>
          <w:tcPr>
            <w:tcW w:w="2250" w:type="dxa"/>
            <w:tcBorders>
              <w:top w:val="nil"/>
              <w:left w:val="nil"/>
              <w:bottom w:val="nil"/>
              <w:right w:val="nil"/>
            </w:tcBorders>
            <w:shd w:val="clear" w:color="auto" w:fill="auto"/>
            <w:noWrap/>
            <w:vAlign w:val="center"/>
            <w:hideMark/>
          </w:tcPr>
          <w:p w14:paraId="04DD7E66" w14:textId="77777777" w:rsidR="00C9738B" w:rsidRPr="00FF3EF7" w:rsidRDefault="00C9738B" w:rsidP="00C9738B">
            <w:pPr>
              <w:spacing w:after="0" w:line="240" w:lineRule="auto"/>
              <w:jc w:val="center"/>
              <w:rPr>
                <w:color w:val="000000"/>
                <w:sz w:val="20"/>
              </w:rPr>
            </w:pPr>
            <w:r w:rsidRPr="00FF3EF7">
              <w:rPr>
                <w:color w:val="000000"/>
                <w:sz w:val="20"/>
              </w:rPr>
              <w:t>1.71 (1.64-1.79)</w:t>
            </w:r>
          </w:p>
        </w:tc>
      </w:tr>
      <w:tr w:rsidR="00C9738B" w:rsidRPr="00F66DCB" w14:paraId="0866F1EF" w14:textId="77777777" w:rsidTr="00DA2DA0">
        <w:trPr>
          <w:trHeight w:val="20"/>
        </w:trPr>
        <w:tc>
          <w:tcPr>
            <w:tcW w:w="3325" w:type="dxa"/>
            <w:tcBorders>
              <w:top w:val="nil"/>
              <w:left w:val="nil"/>
              <w:bottom w:val="single" w:sz="6" w:space="0" w:color="auto"/>
              <w:right w:val="nil"/>
            </w:tcBorders>
            <w:shd w:val="clear" w:color="auto" w:fill="auto"/>
            <w:noWrap/>
            <w:tcMar>
              <w:left w:w="216" w:type="dxa"/>
            </w:tcMar>
            <w:vAlign w:val="center"/>
            <w:hideMark/>
          </w:tcPr>
          <w:p w14:paraId="75A1AD13" w14:textId="77777777" w:rsidR="00C9738B" w:rsidRPr="0093649A" w:rsidRDefault="00C9738B" w:rsidP="00C9738B">
            <w:pPr>
              <w:spacing w:after="0" w:line="240" w:lineRule="auto"/>
              <w:rPr>
                <w:color w:val="000000"/>
                <w:sz w:val="20"/>
              </w:rPr>
            </w:pPr>
            <w:r>
              <w:rPr>
                <w:sz w:val="20"/>
              </w:rPr>
              <w:t>≥</w:t>
            </w:r>
            <w:r>
              <w:rPr>
                <w:color w:val="000000"/>
                <w:sz w:val="20"/>
              </w:rPr>
              <w:t>6</w:t>
            </w:r>
          </w:p>
        </w:tc>
        <w:tc>
          <w:tcPr>
            <w:tcW w:w="1530" w:type="dxa"/>
            <w:tcBorders>
              <w:top w:val="nil"/>
              <w:left w:val="nil"/>
              <w:bottom w:val="single" w:sz="6" w:space="0" w:color="auto"/>
              <w:right w:val="nil"/>
            </w:tcBorders>
            <w:shd w:val="clear" w:color="auto" w:fill="auto"/>
            <w:noWrap/>
            <w:vAlign w:val="center"/>
            <w:hideMark/>
          </w:tcPr>
          <w:p w14:paraId="5679B1A7" w14:textId="77777777" w:rsidR="00C9738B" w:rsidRPr="00FF3EF7" w:rsidRDefault="00C9738B" w:rsidP="00C9738B">
            <w:pPr>
              <w:spacing w:after="0" w:line="240" w:lineRule="auto"/>
              <w:jc w:val="center"/>
              <w:rPr>
                <w:color w:val="000000"/>
                <w:sz w:val="20"/>
              </w:rPr>
            </w:pPr>
            <w:r w:rsidRPr="00FF3EF7">
              <w:rPr>
                <w:color w:val="000000"/>
                <w:sz w:val="20"/>
              </w:rPr>
              <w:t>1501/3332</w:t>
            </w:r>
          </w:p>
        </w:tc>
        <w:tc>
          <w:tcPr>
            <w:tcW w:w="1350" w:type="dxa"/>
            <w:tcBorders>
              <w:top w:val="nil"/>
              <w:left w:val="nil"/>
              <w:bottom w:val="single" w:sz="6" w:space="0" w:color="auto"/>
              <w:right w:val="single" w:sz="4" w:space="0" w:color="auto"/>
            </w:tcBorders>
            <w:shd w:val="clear" w:color="auto" w:fill="auto"/>
            <w:noWrap/>
            <w:vAlign w:val="center"/>
            <w:hideMark/>
          </w:tcPr>
          <w:p w14:paraId="15A14856" w14:textId="77777777" w:rsidR="00C9738B" w:rsidRPr="00FF3EF7" w:rsidRDefault="00C9738B" w:rsidP="00C9738B">
            <w:pPr>
              <w:spacing w:after="0" w:line="240" w:lineRule="auto"/>
              <w:jc w:val="center"/>
              <w:rPr>
                <w:color w:val="000000"/>
                <w:sz w:val="20"/>
              </w:rPr>
            </w:pPr>
            <w:r w:rsidRPr="00FF3EF7">
              <w:rPr>
                <w:color w:val="000000"/>
                <w:sz w:val="20"/>
              </w:rPr>
              <w:t>45.1</w:t>
            </w:r>
          </w:p>
        </w:tc>
        <w:tc>
          <w:tcPr>
            <w:tcW w:w="2340" w:type="dxa"/>
            <w:tcBorders>
              <w:top w:val="nil"/>
              <w:left w:val="single" w:sz="4" w:space="0" w:color="auto"/>
              <w:bottom w:val="single" w:sz="6" w:space="0" w:color="auto"/>
              <w:right w:val="nil"/>
            </w:tcBorders>
            <w:shd w:val="clear" w:color="auto" w:fill="auto"/>
            <w:noWrap/>
            <w:vAlign w:val="center"/>
            <w:hideMark/>
          </w:tcPr>
          <w:p w14:paraId="6760B799" w14:textId="77777777" w:rsidR="00C9738B" w:rsidRPr="00FF3EF7" w:rsidRDefault="00C9738B" w:rsidP="00C9738B">
            <w:pPr>
              <w:spacing w:after="0" w:line="240" w:lineRule="auto"/>
              <w:jc w:val="center"/>
              <w:rPr>
                <w:color w:val="000000"/>
                <w:sz w:val="20"/>
              </w:rPr>
            </w:pPr>
            <w:r w:rsidRPr="00FF3EF7">
              <w:rPr>
                <w:color w:val="000000"/>
                <w:sz w:val="20"/>
              </w:rPr>
              <w:t>2.00 (1.93-2.08)</w:t>
            </w:r>
          </w:p>
        </w:tc>
        <w:tc>
          <w:tcPr>
            <w:tcW w:w="2070" w:type="dxa"/>
            <w:tcBorders>
              <w:top w:val="nil"/>
              <w:left w:val="nil"/>
              <w:bottom w:val="single" w:sz="6" w:space="0" w:color="auto"/>
              <w:right w:val="nil"/>
            </w:tcBorders>
            <w:shd w:val="clear" w:color="auto" w:fill="auto"/>
            <w:noWrap/>
            <w:vAlign w:val="center"/>
            <w:hideMark/>
          </w:tcPr>
          <w:p w14:paraId="047056CE" w14:textId="77777777" w:rsidR="00C9738B" w:rsidRPr="00FF3EF7" w:rsidRDefault="00C9738B" w:rsidP="00C9738B">
            <w:pPr>
              <w:spacing w:after="0" w:line="240" w:lineRule="auto"/>
              <w:jc w:val="center"/>
              <w:rPr>
                <w:color w:val="000000"/>
                <w:sz w:val="20"/>
              </w:rPr>
            </w:pPr>
            <w:r w:rsidRPr="00FF3EF7">
              <w:rPr>
                <w:color w:val="000000"/>
                <w:sz w:val="20"/>
              </w:rPr>
              <w:t>2.08 (1.98-2.18)</w:t>
            </w:r>
          </w:p>
        </w:tc>
        <w:tc>
          <w:tcPr>
            <w:tcW w:w="2250" w:type="dxa"/>
            <w:tcBorders>
              <w:top w:val="nil"/>
              <w:left w:val="nil"/>
              <w:bottom w:val="single" w:sz="6" w:space="0" w:color="auto"/>
              <w:right w:val="nil"/>
            </w:tcBorders>
            <w:shd w:val="clear" w:color="auto" w:fill="auto"/>
            <w:noWrap/>
            <w:vAlign w:val="center"/>
            <w:hideMark/>
          </w:tcPr>
          <w:p w14:paraId="64BED7BA" w14:textId="77777777" w:rsidR="00C9738B" w:rsidRPr="00FF3EF7" w:rsidRDefault="00C9738B" w:rsidP="00C9738B">
            <w:pPr>
              <w:spacing w:after="0" w:line="240" w:lineRule="auto"/>
              <w:jc w:val="center"/>
              <w:rPr>
                <w:color w:val="000000"/>
                <w:sz w:val="20"/>
              </w:rPr>
            </w:pPr>
            <w:r w:rsidRPr="00FF3EF7">
              <w:rPr>
                <w:color w:val="000000"/>
                <w:sz w:val="20"/>
              </w:rPr>
              <w:t>1.87 (1.76-1.98)</w:t>
            </w:r>
          </w:p>
        </w:tc>
      </w:tr>
    </w:tbl>
    <w:p w14:paraId="44470618" w14:textId="77777777" w:rsidR="009854BB" w:rsidRDefault="009854BB" w:rsidP="009854BB">
      <w:pPr>
        <w:spacing w:after="0" w:line="240" w:lineRule="auto"/>
        <w:rPr>
          <w:color w:val="000000"/>
          <w:sz w:val="18"/>
          <w:szCs w:val="18"/>
        </w:rPr>
      </w:pPr>
      <w:r w:rsidRPr="009854BB">
        <w:rPr>
          <w:color w:val="000000"/>
          <w:sz w:val="18"/>
          <w:szCs w:val="18"/>
        </w:rPr>
        <w:t>n: number of patients in stratum using at least one limited benefit medication after hospice admission; N: total number of patients in stratum; RR: relative risk; CI: confidence interval</w:t>
      </w:r>
    </w:p>
    <w:p w14:paraId="7252C38F" w14:textId="77777777" w:rsidR="00A64693" w:rsidRPr="009854BB" w:rsidRDefault="00A64693" w:rsidP="009854BB">
      <w:pPr>
        <w:spacing w:after="0" w:line="240" w:lineRule="auto"/>
        <w:rPr>
          <w:color w:val="000000"/>
          <w:sz w:val="18"/>
          <w:szCs w:val="18"/>
        </w:rPr>
      </w:pPr>
    </w:p>
    <w:p w14:paraId="73C19F95" w14:textId="340FF4BC" w:rsidR="009854BB" w:rsidRDefault="009854BB" w:rsidP="009854BB">
      <w:pPr>
        <w:spacing w:after="0" w:line="240" w:lineRule="auto"/>
        <w:rPr>
          <w:color w:val="000000"/>
          <w:sz w:val="18"/>
          <w:szCs w:val="18"/>
        </w:rPr>
      </w:pPr>
      <w:r w:rsidRPr="009854BB">
        <w:rPr>
          <w:color w:val="000000"/>
          <w:sz w:val="18"/>
          <w:szCs w:val="18"/>
          <w:vertAlign w:val="superscript"/>
        </w:rPr>
        <w:t>a</w:t>
      </w:r>
      <w:r w:rsidRPr="009854BB">
        <w:rPr>
          <w:color w:val="000000"/>
          <w:sz w:val="18"/>
          <w:szCs w:val="18"/>
        </w:rPr>
        <w:t xml:space="preserve">Potential adjustment variables included all variables listed in </w:t>
      </w:r>
      <w:r w:rsidR="000F38E5">
        <w:rPr>
          <w:b/>
          <w:color w:val="000000"/>
          <w:sz w:val="18"/>
          <w:szCs w:val="18"/>
        </w:rPr>
        <w:t>TABLE XI</w:t>
      </w:r>
      <w:r w:rsidRPr="009854BB">
        <w:rPr>
          <w:color w:val="000000"/>
          <w:sz w:val="18"/>
          <w:szCs w:val="18"/>
        </w:rPr>
        <w:t xml:space="preserve"> in addition to hospice admission year, intensive care unit stay </w:t>
      </w:r>
      <w:r w:rsidRPr="009854BB">
        <w:rPr>
          <w:bCs/>
          <w:color w:val="000000"/>
          <w:sz w:val="18"/>
          <w:szCs w:val="18"/>
        </w:rPr>
        <w:t>in the 90 days prior to hospice admission</w:t>
      </w:r>
      <w:r w:rsidRPr="009854BB">
        <w:rPr>
          <w:color w:val="000000"/>
          <w:sz w:val="18"/>
          <w:szCs w:val="18"/>
        </w:rPr>
        <w:t xml:space="preserve">, hospital discharge </w:t>
      </w:r>
      <w:r w:rsidRPr="009854BB">
        <w:rPr>
          <w:bCs/>
          <w:color w:val="000000"/>
          <w:sz w:val="18"/>
          <w:szCs w:val="18"/>
        </w:rPr>
        <w:t>in the 3 days prior to hospice admission,</w:t>
      </w:r>
      <w:r w:rsidRPr="009854BB">
        <w:rPr>
          <w:color w:val="000000"/>
          <w:sz w:val="18"/>
          <w:szCs w:val="18"/>
        </w:rPr>
        <w:t xml:space="preserve"> feeding tube use, number of hospitalizations in year prior to hospice admission, and number of limited benefit drug classes used prior to hospice admission</w:t>
      </w:r>
      <w:r w:rsidR="000F38E5">
        <w:rPr>
          <w:color w:val="000000"/>
          <w:sz w:val="18"/>
          <w:szCs w:val="18"/>
        </w:rPr>
        <w:t>.</w:t>
      </w:r>
    </w:p>
    <w:p w14:paraId="7C0F6865" w14:textId="77777777" w:rsidR="00A64693" w:rsidRPr="009854BB" w:rsidRDefault="00A64693" w:rsidP="009854BB">
      <w:pPr>
        <w:spacing w:after="0" w:line="240" w:lineRule="auto"/>
        <w:rPr>
          <w:color w:val="000000"/>
          <w:sz w:val="18"/>
          <w:szCs w:val="18"/>
        </w:rPr>
      </w:pPr>
    </w:p>
    <w:p w14:paraId="6614014D" w14:textId="632CA244" w:rsidR="009854BB" w:rsidRDefault="009854BB" w:rsidP="009854BB">
      <w:pPr>
        <w:spacing w:after="0" w:line="240" w:lineRule="auto"/>
        <w:rPr>
          <w:color w:val="000000"/>
          <w:sz w:val="18"/>
          <w:szCs w:val="18"/>
        </w:rPr>
      </w:pPr>
      <w:r w:rsidRPr="009854BB">
        <w:rPr>
          <w:color w:val="000000"/>
          <w:sz w:val="18"/>
          <w:szCs w:val="18"/>
          <w:vertAlign w:val="superscript"/>
        </w:rPr>
        <w:lastRenderedPageBreak/>
        <w:t>b</w:t>
      </w:r>
      <w:r w:rsidRPr="009854BB">
        <w:rPr>
          <w:color w:val="000000"/>
          <w:sz w:val="18"/>
          <w:szCs w:val="18"/>
        </w:rPr>
        <w:t>Adjusted for age, race and hospice length of stay</w:t>
      </w:r>
      <w:r w:rsidR="000F38E5">
        <w:rPr>
          <w:color w:val="000000"/>
          <w:sz w:val="18"/>
          <w:szCs w:val="18"/>
        </w:rPr>
        <w:t>.</w:t>
      </w:r>
    </w:p>
    <w:p w14:paraId="7624EFE9" w14:textId="77777777" w:rsidR="00A64693" w:rsidRPr="009854BB" w:rsidRDefault="00A64693" w:rsidP="009854BB">
      <w:pPr>
        <w:spacing w:after="0" w:line="240" w:lineRule="auto"/>
        <w:rPr>
          <w:sz w:val="18"/>
          <w:szCs w:val="18"/>
        </w:rPr>
      </w:pPr>
    </w:p>
    <w:p w14:paraId="2882CFA6" w14:textId="4259FFF7" w:rsidR="009854BB" w:rsidRDefault="009854BB" w:rsidP="009854BB">
      <w:pPr>
        <w:spacing w:after="0" w:line="240" w:lineRule="auto"/>
        <w:rPr>
          <w:color w:val="000000"/>
          <w:sz w:val="18"/>
          <w:szCs w:val="18"/>
        </w:rPr>
      </w:pPr>
      <w:r w:rsidRPr="009854BB">
        <w:rPr>
          <w:color w:val="000000"/>
          <w:sz w:val="18"/>
          <w:szCs w:val="18"/>
          <w:vertAlign w:val="superscript"/>
        </w:rPr>
        <w:t>c</w:t>
      </w:r>
      <w:r w:rsidRPr="009854BB">
        <w:rPr>
          <w:color w:val="000000"/>
          <w:sz w:val="18"/>
          <w:szCs w:val="18"/>
        </w:rPr>
        <w:t>Adjusted for sex, race, hospice length of stay, Part D low-income subsidy and limited benefit medication classes used prior to hospice admission</w:t>
      </w:r>
      <w:r w:rsidR="000F38E5">
        <w:rPr>
          <w:color w:val="000000"/>
          <w:sz w:val="18"/>
          <w:szCs w:val="18"/>
        </w:rPr>
        <w:t>.</w:t>
      </w:r>
    </w:p>
    <w:p w14:paraId="0214BC5A" w14:textId="77777777" w:rsidR="00A64693" w:rsidRPr="009854BB" w:rsidRDefault="00A64693" w:rsidP="009854BB">
      <w:pPr>
        <w:spacing w:after="0" w:line="240" w:lineRule="auto"/>
        <w:rPr>
          <w:sz w:val="18"/>
          <w:szCs w:val="18"/>
        </w:rPr>
      </w:pPr>
    </w:p>
    <w:p w14:paraId="3D64E3A1" w14:textId="11BD8AD6" w:rsidR="009854BB" w:rsidRDefault="009854BB" w:rsidP="009854BB">
      <w:pPr>
        <w:spacing w:after="0" w:line="240" w:lineRule="auto"/>
        <w:rPr>
          <w:color w:val="000000"/>
          <w:sz w:val="18"/>
          <w:szCs w:val="18"/>
        </w:rPr>
      </w:pPr>
      <w:r w:rsidRPr="009854BB">
        <w:rPr>
          <w:color w:val="000000"/>
          <w:sz w:val="18"/>
          <w:szCs w:val="18"/>
          <w:vertAlign w:val="superscript"/>
        </w:rPr>
        <w:t>d</w:t>
      </w:r>
      <w:r w:rsidRPr="009854BB">
        <w:rPr>
          <w:color w:val="000000"/>
          <w:sz w:val="18"/>
          <w:szCs w:val="18"/>
        </w:rPr>
        <w:t>Adjusted for age, sex, hospice length of stay and Part D low-income subsidy</w:t>
      </w:r>
      <w:r w:rsidR="000F38E5">
        <w:rPr>
          <w:color w:val="000000"/>
          <w:sz w:val="18"/>
          <w:szCs w:val="18"/>
        </w:rPr>
        <w:t>.</w:t>
      </w:r>
    </w:p>
    <w:p w14:paraId="708A822A" w14:textId="77777777" w:rsidR="00A64693" w:rsidRPr="009854BB" w:rsidRDefault="00A64693" w:rsidP="009854BB">
      <w:pPr>
        <w:spacing w:after="0" w:line="240" w:lineRule="auto"/>
        <w:rPr>
          <w:color w:val="000000"/>
          <w:sz w:val="18"/>
          <w:szCs w:val="18"/>
        </w:rPr>
      </w:pPr>
    </w:p>
    <w:p w14:paraId="627D6689" w14:textId="2F8400FF" w:rsidR="009854BB" w:rsidRDefault="009854BB" w:rsidP="009854BB">
      <w:pPr>
        <w:spacing w:after="0" w:line="240" w:lineRule="auto"/>
        <w:rPr>
          <w:color w:val="000000"/>
          <w:sz w:val="18"/>
          <w:szCs w:val="18"/>
        </w:rPr>
      </w:pPr>
      <w:r w:rsidRPr="009854BB">
        <w:rPr>
          <w:color w:val="000000"/>
          <w:sz w:val="18"/>
          <w:szCs w:val="18"/>
          <w:vertAlign w:val="superscript"/>
        </w:rPr>
        <w:t>e</w:t>
      </w:r>
      <w:r w:rsidRPr="009854BB">
        <w:rPr>
          <w:color w:val="000000"/>
          <w:sz w:val="18"/>
          <w:szCs w:val="18"/>
        </w:rPr>
        <w:t>Adjusted for age, sex, race, hospice length of stay, Part D low-income subsidy and primary hospice admission diagnosis</w:t>
      </w:r>
      <w:r w:rsidR="000F38E5">
        <w:rPr>
          <w:color w:val="000000"/>
          <w:sz w:val="18"/>
          <w:szCs w:val="18"/>
        </w:rPr>
        <w:t>.</w:t>
      </w:r>
    </w:p>
    <w:p w14:paraId="0CB06B51" w14:textId="77777777" w:rsidR="00A64693" w:rsidRPr="009854BB" w:rsidRDefault="00A64693" w:rsidP="009854BB">
      <w:pPr>
        <w:spacing w:after="0" w:line="240" w:lineRule="auto"/>
        <w:rPr>
          <w:sz w:val="18"/>
          <w:szCs w:val="18"/>
        </w:rPr>
      </w:pPr>
    </w:p>
    <w:p w14:paraId="7FD387CF" w14:textId="7626F486" w:rsidR="009854BB" w:rsidRDefault="009854BB" w:rsidP="009854BB">
      <w:pPr>
        <w:spacing w:after="0" w:line="240" w:lineRule="auto"/>
        <w:rPr>
          <w:color w:val="000000"/>
          <w:sz w:val="18"/>
          <w:szCs w:val="18"/>
        </w:rPr>
      </w:pPr>
      <w:r w:rsidRPr="009854BB">
        <w:rPr>
          <w:color w:val="000000"/>
          <w:sz w:val="18"/>
          <w:szCs w:val="18"/>
          <w:vertAlign w:val="superscript"/>
        </w:rPr>
        <w:t>f</w:t>
      </w:r>
      <w:r w:rsidRPr="009854BB">
        <w:rPr>
          <w:color w:val="000000"/>
          <w:sz w:val="18"/>
          <w:szCs w:val="18"/>
        </w:rPr>
        <w:t>Adjusted for age, sex, race and hospice length of stay</w:t>
      </w:r>
      <w:r w:rsidR="000F38E5">
        <w:rPr>
          <w:color w:val="000000"/>
          <w:sz w:val="18"/>
          <w:szCs w:val="18"/>
        </w:rPr>
        <w:t>.</w:t>
      </w:r>
    </w:p>
    <w:p w14:paraId="6711B5C0" w14:textId="77777777" w:rsidR="00A64693" w:rsidRPr="009854BB" w:rsidRDefault="00A64693" w:rsidP="009854BB">
      <w:pPr>
        <w:spacing w:after="0" w:line="240" w:lineRule="auto"/>
        <w:rPr>
          <w:sz w:val="18"/>
          <w:szCs w:val="18"/>
        </w:rPr>
      </w:pPr>
    </w:p>
    <w:p w14:paraId="1F230587" w14:textId="4F7FBA3B" w:rsidR="009854BB" w:rsidRDefault="009854BB" w:rsidP="009854BB">
      <w:pPr>
        <w:spacing w:after="0" w:line="240" w:lineRule="auto"/>
        <w:rPr>
          <w:color w:val="000000"/>
          <w:sz w:val="18"/>
          <w:szCs w:val="18"/>
        </w:rPr>
      </w:pPr>
      <w:r w:rsidRPr="009854BB">
        <w:rPr>
          <w:color w:val="000000"/>
          <w:sz w:val="18"/>
          <w:szCs w:val="18"/>
          <w:vertAlign w:val="superscript"/>
        </w:rPr>
        <w:t>g</w:t>
      </w:r>
      <w:r w:rsidRPr="009854BB">
        <w:rPr>
          <w:color w:val="000000"/>
          <w:sz w:val="18"/>
          <w:szCs w:val="18"/>
        </w:rPr>
        <w:t>Adjusted for age, sex, race, hospice length of stay, Part D low-income subsidy, limited benefit medication classes used prior to hospice, hospice admission setting and hospital discharge to hospice</w:t>
      </w:r>
      <w:r w:rsidR="000F38E5">
        <w:rPr>
          <w:color w:val="000000"/>
          <w:sz w:val="18"/>
          <w:szCs w:val="18"/>
        </w:rPr>
        <w:t>.</w:t>
      </w:r>
    </w:p>
    <w:p w14:paraId="2D7670DA" w14:textId="77777777" w:rsidR="00A64693" w:rsidRDefault="00A64693" w:rsidP="009854BB">
      <w:pPr>
        <w:spacing w:after="0" w:line="240" w:lineRule="auto"/>
        <w:rPr>
          <w:color w:val="000000"/>
          <w:sz w:val="18"/>
          <w:szCs w:val="18"/>
        </w:rPr>
      </w:pPr>
    </w:p>
    <w:p w14:paraId="4078F51E" w14:textId="72184585" w:rsidR="009854BB" w:rsidRDefault="009854BB" w:rsidP="009854BB">
      <w:pPr>
        <w:spacing w:after="0" w:line="240" w:lineRule="auto"/>
        <w:rPr>
          <w:color w:val="000000"/>
          <w:sz w:val="18"/>
          <w:szCs w:val="18"/>
        </w:rPr>
      </w:pPr>
      <w:r w:rsidRPr="009854BB">
        <w:rPr>
          <w:color w:val="000000"/>
          <w:sz w:val="18"/>
          <w:szCs w:val="18"/>
          <w:vertAlign w:val="superscript"/>
        </w:rPr>
        <w:t>h</w:t>
      </w:r>
      <w:r w:rsidRPr="009854BB">
        <w:rPr>
          <w:color w:val="000000"/>
          <w:sz w:val="18"/>
          <w:szCs w:val="18"/>
        </w:rPr>
        <w:t>Adjusted for age, sex, race, hospice length of stay, Part D low-income subsidy, limited benefit medication classes used prior to hospice, heart failure diagnosis and COPD diagnosis</w:t>
      </w:r>
      <w:r w:rsidR="000F38E5">
        <w:rPr>
          <w:color w:val="000000"/>
          <w:sz w:val="18"/>
          <w:szCs w:val="18"/>
        </w:rPr>
        <w:t>.</w:t>
      </w:r>
    </w:p>
    <w:p w14:paraId="33D41677" w14:textId="77777777" w:rsidR="00A64693" w:rsidRPr="009854BB" w:rsidRDefault="00A64693" w:rsidP="009854BB">
      <w:pPr>
        <w:spacing w:after="0" w:line="240" w:lineRule="auto"/>
        <w:rPr>
          <w:sz w:val="18"/>
          <w:szCs w:val="18"/>
        </w:rPr>
      </w:pPr>
    </w:p>
    <w:p w14:paraId="7B605B15" w14:textId="282FE239" w:rsidR="009854BB" w:rsidRPr="009854BB" w:rsidRDefault="009854BB" w:rsidP="009854BB">
      <w:pPr>
        <w:spacing w:after="0" w:line="240" w:lineRule="auto"/>
        <w:rPr>
          <w:color w:val="000000"/>
          <w:sz w:val="18"/>
          <w:szCs w:val="18"/>
        </w:rPr>
      </w:pPr>
      <w:r w:rsidRPr="009854BB">
        <w:rPr>
          <w:color w:val="000000"/>
          <w:sz w:val="18"/>
          <w:szCs w:val="18"/>
          <w:vertAlign w:val="superscript"/>
        </w:rPr>
        <w:t>i</w:t>
      </w:r>
      <w:r w:rsidRPr="009854BB">
        <w:rPr>
          <w:color w:val="000000"/>
          <w:sz w:val="18"/>
          <w:szCs w:val="18"/>
        </w:rPr>
        <w:t>Adjusted for age, sex, race, hospice length of stay and Part D low-income subsidy</w:t>
      </w:r>
      <w:r w:rsidR="000F38E5">
        <w:rPr>
          <w:color w:val="000000"/>
          <w:sz w:val="18"/>
          <w:szCs w:val="18"/>
        </w:rPr>
        <w:t>.</w:t>
      </w:r>
    </w:p>
    <w:p w14:paraId="04E11676" w14:textId="77777777" w:rsidR="00C9738B" w:rsidRDefault="00C9738B" w:rsidP="00C9738B">
      <w:pPr>
        <w:spacing w:after="0" w:line="240" w:lineRule="auto"/>
        <w:rPr>
          <w:caps/>
        </w:rPr>
      </w:pPr>
    </w:p>
    <w:p w14:paraId="4A276E0E" w14:textId="77777777" w:rsidR="00C9738B" w:rsidRDefault="00C9738B" w:rsidP="00C9738B">
      <w:pPr>
        <w:spacing w:after="0" w:line="240" w:lineRule="auto"/>
        <w:jc w:val="center"/>
        <w:rPr>
          <w:caps/>
        </w:rPr>
      </w:pPr>
    </w:p>
    <w:p w14:paraId="21AADA92" w14:textId="77777777" w:rsidR="00D967DE" w:rsidRDefault="00D967DE" w:rsidP="00C9738B">
      <w:pPr>
        <w:spacing w:after="0" w:line="240" w:lineRule="auto"/>
        <w:jc w:val="center"/>
        <w:rPr>
          <w:caps/>
        </w:rPr>
        <w:sectPr w:rsidR="00D967DE" w:rsidSect="00953FB6">
          <w:pgSz w:w="15840" w:h="12240" w:orient="landscape" w:code="1"/>
          <w:pgMar w:top="1440" w:right="1008" w:bottom="1440" w:left="1440" w:header="720" w:footer="432" w:gutter="0"/>
          <w:cols w:space="720"/>
          <w:docGrid w:linePitch="360"/>
        </w:sectPr>
      </w:pPr>
    </w:p>
    <w:p w14:paraId="5B8515BD" w14:textId="60FD4842" w:rsidR="00AD58C9" w:rsidRDefault="00AD58C9" w:rsidP="007C6DC0">
      <w:pPr>
        <w:spacing w:after="0" w:line="240" w:lineRule="auto"/>
        <w:jc w:val="center"/>
        <w:rPr>
          <w:b/>
        </w:rPr>
      </w:pPr>
      <w:r w:rsidRPr="007C6DC0">
        <w:rPr>
          <w:b/>
        </w:rPr>
        <w:lastRenderedPageBreak/>
        <w:t>TABLE X</w:t>
      </w:r>
      <w:r w:rsidR="00E71636">
        <w:rPr>
          <w:b/>
        </w:rPr>
        <w:t>I</w:t>
      </w:r>
      <w:r w:rsidRPr="007C6DC0">
        <w:rPr>
          <w:b/>
        </w:rPr>
        <w:t>V</w:t>
      </w:r>
    </w:p>
    <w:p w14:paraId="1A2AADF2" w14:textId="77777777" w:rsidR="007C6DC0" w:rsidRPr="007C6DC0" w:rsidRDefault="007C6DC0" w:rsidP="007C6DC0">
      <w:pPr>
        <w:spacing w:after="0" w:line="240" w:lineRule="auto"/>
        <w:jc w:val="center"/>
        <w:rPr>
          <w:b/>
        </w:rPr>
      </w:pPr>
    </w:p>
    <w:p w14:paraId="51C143F0" w14:textId="7B83D99B" w:rsidR="00AD58C9" w:rsidRPr="00AD58C9" w:rsidRDefault="00EC127A" w:rsidP="00EC127A">
      <w:pPr>
        <w:pStyle w:val="Caption"/>
        <w:ind w:left="540" w:right="540"/>
        <w:rPr>
          <w:caps w:val="0"/>
        </w:rPr>
      </w:pPr>
      <w:bookmarkStart w:id="116" w:name="_Toc507329283"/>
      <w:r w:rsidRPr="00703103">
        <w:t>POST-HOSPICE ADMISSION CONTINUATION OF ALL LIMITED BENEFIT MEDICATIONS AMONG PRE-ADMISSION USERS, CANCER VERSUS NON-CANCER HOSPICE ADMISSION DIAGNOSIS</w:t>
      </w:r>
      <w:bookmarkEnd w:id="116"/>
    </w:p>
    <w:tbl>
      <w:tblPr>
        <w:tblW w:w="82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57"/>
        <w:gridCol w:w="2448"/>
        <w:gridCol w:w="2360"/>
      </w:tblGrid>
      <w:tr w:rsidR="00AD58C9" w:rsidRPr="001D3149" w14:paraId="66AE0E97" w14:textId="77777777" w:rsidTr="00AA0EB2">
        <w:trPr>
          <w:trHeight w:val="20"/>
          <w:jc w:val="center"/>
        </w:trPr>
        <w:tc>
          <w:tcPr>
            <w:tcW w:w="3457" w:type="dxa"/>
            <w:tcBorders>
              <w:top w:val="single" w:sz="4" w:space="0" w:color="auto"/>
              <w:left w:val="nil"/>
              <w:bottom w:val="nil"/>
              <w:right w:val="nil"/>
            </w:tcBorders>
            <w:shd w:val="clear" w:color="auto" w:fill="auto"/>
            <w:noWrap/>
            <w:vAlign w:val="center"/>
            <w:hideMark/>
          </w:tcPr>
          <w:p w14:paraId="4FC29313" w14:textId="5B55D87D" w:rsidR="00AD58C9" w:rsidRPr="00D967DE" w:rsidRDefault="00AD58C9" w:rsidP="00AA0EB2">
            <w:pPr>
              <w:spacing w:after="0" w:line="240" w:lineRule="auto"/>
              <w:rPr>
                <w:b/>
                <w:color w:val="000000"/>
                <w:sz w:val="20"/>
              </w:rPr>
            </w:pPr>
            <w:r w:rsidRPr="001D3149">
              <w:rPr>
                <w:color w:val="000000"/>
                <w:sz w:val="20"/>
              </w:rPr>
              <w:t> </w:t>
            </w:r>
          </w:p>
        </w:tc>
        <w:tc>
          <w:tcPr>
            <w:tcW w:w="2448" w:type="dxa"/>
            <w:tcBorders>
              <w:top w:val="single" w:sz="4" w:space="0" w:color="auto"/>
              <w:left w:val="nil"/>
              <w:bottom w:val="nil"/>
              <w:right w:val="nil"/>
            </w:tcBorders>
            <w:vAlign w:val="bottom"/>
          </w:tcPr>
          <w:p w14:paraId="769125E0" w14:textId="4845C0B3" w:rsidR="00AD58C9" w:rsidRPr="004728D6" w:rsidRDefault="00AD58C9" w:rsidP="00AD58C9">
            <w:pPr>
              <w:spacing w:after="0" w:line="240" w:lineRule="auto"/>
              <w:jc w:val="center"/>
              <w:rPr>
                <w:b/>
                <w:iCs/>
                <w:color w:val="000000"/>
                <w:sz w:val="20"/>
              </w:rPr>
            </w:pPr>
            <w:r w:rsidRPr="004728D6">
              <w:rPr>
                <w:b/>
                <w:iCs/>
                <w:color w:val="000000"/>
                <w:sz w:val="20"/>
              </w:rPr>
              <w:t>Cancer</w:t>
            </w:r>
            <w:r w:rsidR="00AA0EB2">
              <w:rPr>
                <w:b/>
                <w:iCs/>
                <w:color w:val="000000"/>
                <w:sz w:val="20"/>
              </w:rPr>
              <w:t>*</w:t>
            </w:r>
            <w:r w:rsidRPr="004728D6">
              <w:rPr>
                <w:b/>
                <w:iCs/>
                <w:color w:val="000000"/>
                <w:sz w:val="20"/>
              </w:rPr>
              <w:t xml:space="preserve"> </w:t>
            </w:r>
          </w:p>
          <w:p w14:paraId="39670ABF" w14:textId="77777777" w:rsidR="00AD58C9" w:rsidRPr="004728D6" w:rsidRDefault="00AD58C9" w:rsidP="00AD58C9">
            <w:pPr>
              <w:spacing w:after="0" w:line="240" w:lineRule="auto"/>
              <w:jc w:val="center"/>
              <w:rPr>
                <w:b/>
                <w:iCs/>
                <w:color w:val="000000"/>
                <w:sz w:val="20"/>
              </w:rPr>
            </w:pPr>
            <w:r w:rsidRPr="004728D6">
              <w:rPr>
                <w:b/>
                <w:color w:val="000000"/>
                <w:sz w:val="20"/>
              </w:rPr>
              <w:t>(n=44,218)</w:t>
            </w:r>
          </w:p>
        </w:tc>
        <w:tc>
          <w:tcPr>
            <w:tcW w:w="2360" w:type="dxa"/>
            <w:tcBorders>
              <w:top w:val="single" w:sz="4" w:space="0" w:color="auto"/>
              <w:left w:val="nil"/>
              <w:bottom w:val="nil"/>
              <w:right w:val="nil"/>
            </w:tcBorders>
            <w:vAlign w:val="bottom"/>
          </w:tcPr>
          <w:p w14:paraId="41140B57" w14:textId="5CAE4F46" w:rsidR="00AD58C9" w:rsidRPr="004728D6" w:rsidRDefault="00AA0EB2" w:rsidP="00AD58C9">
            <w:pPr>
              <w:spacing w:after="0" w:line="240" w:lineRule="auto"/>
              <w:jc w:val="center"/>
              <w:rPr>
                <w:b/>
                <w:iCs/>
                <w:color w:val="000000"/>
                <w:sz w:val="20"/>
              </w:rPr>
            </w:pPr>
            <w:r>
              <w:rPr>
                <w:b/>
                <w:iCs/>
                <w:color w:val="000000"/>
                <w:sz w:val="20"/>
              </w:rPr>
              <w:t>Non-Cancer*</w:t>
            </w:r>
          </w:p>
          <w:p w14:paraId="3903ED29" w14:textId="77777777" w:rsidR="00AD58C9" w:rsidRPr="004728D6" w:rsidRDefault="00AD58C9" w:rsidP="00AD58C9">
            <w:pPr>
              <w:spacing w:after="0" w:line="240" w:lineRule="auto"/>
              <w:jc w:val="center"/>
              <w:rPr>
                <w:b/>
                <w:iCs/>
                <w:color w:val="000000"/>
                <w:sz w:val="20"/>
              </w:rPr>
            </w:pPr>
            <w:r w:rsidRPr="004728D6">
              <w:rPr>
                <w:b/>
                <w:color w:val="000000"/>
                <w:sz w:val="20"/>
              </w:rPr>
              <w:t>(n=25,817)</w:t>
            </w:r>
          </w:p>
        </w:tc>
      </w:tr>
      <w:tr w:rsidR="00AD58C9" w:rsidRPr="001D3149" w14:paraId="4CDBB02A" w14:textId="77777777" w:rsidTr="00AA0EB2">
        <w:trPr>
          <w:trHeight w:val="20"/>
          <w:jc w:val="center"/>
        </w:trPr>
        <w:tc>
          <w:tcPr>
            <w:tcW w:w="3457" w:type="dxa"/>
            <w:tcBorders>
              <w:top w:val="nil"/>
              <w:left w:val="nil"/>
              <w:bottom w:val="single" w:sz="4" w:space="0" w:color="auto"/>
              <w:right w:val="nil"/>
            </w:tcBorders>
            <w:shd w:val="clear" w:color="auto" w:fill="auto"/>
            <w:noWrap/>
            <w:vAlign w:val="bottom"/>
          </w:tcPr>
          <w:p w14:paraId="3E72A8BF" w14:textId="798FFC0B" w:rsidR="00AD58C9" w:rsidRPr="001D3149" w:rsidRDefault="00AA0EB2" w:rsidP="00AA0EB2">
            <w:pPr>
              <w:spacing w:after="0" w:line="240" w:lineRule="auto"/>
              <w:rPr>
                <w:color w:val="000000"/>
                <w:sz w:val="20"/>
              </w:rPr>
            </w:pPr>
            <w:r>
              <w:rPr>
                <w:b/>
                <w:color w:val="000000"/>
                <w:sz w:val="20"/>
              </w:rPr>
              <w:t>Characteristic</w:t>
            </w:r>
          </w:p>
        </w:tc>
        <w:tc>
          <w:tcPr>
            <w:tcW w:w="2448" w:type="dxa"/>
            <w:tcBorders>
              <w:top w:val="nil"/>
              <w:left w:val="nil"/>
              <w:bottom w:val="single" w:sz="4" w:space="0" w:color="auto"/>
              <w:right w:val="nil"/>
            </w:tcBorders>
          </w:tcPr>
          <w:p w14:paraId="4FC084D2" w14:textId="77777777" w:rsidR="00AD58C9" w:rsidRPr="00113F09" w:rsidRDefault="00AD58C9" w:rsidP="00AD58C9">
            <w:pPr>
              <w:spacing w:after="0" w:line="240" w:lineRule="auto"/>
              <w:jc w:val="center"/>
              <w:rPr>
                <w:b/>
                <w:color w:val="000000"/>
                <w:sz w:val="20"/>
              </w:rPr>
            </w:pPr>
            <w:r w:rsidRPr="00113F09">
              <w:rPr>
                <w:b/>
                <w:color w:val="000000"/>
                <w:sz w:val="20"/>
              </w:rPr>
              <w:t>%</w:t>
            </w:r>
          </w:p>
        </w:tc>
        <w:tc>
          <w:tcPr>
            <w:tcW w:w="2360" w:type="dxa"/>
            <w:tcBorders>
              <w:top w:val="nil"/>
              <w:left w:val="nil"/>
              <w:bottom w:val="single" w:sz="4" w:space="0" w:color="auto"/>
              <w:right w:val="nil"/>
            </w:tcBorders>
          </w:tcPr>
          <w:p w14:paraId="27B45989" w14:textId="77777777" w:rsidR="00AD58C9" w:rsidRPr="00113F09" w:rsidRDefault="00AD58C9" w:rsidP="00AD58C9">
            <w:pPr>
              <w:spacing w:after="0" w:line="240" w:lineRule="auto"/>
              <w:jc w:val="center"/>
              <w:rPr>
                <w:b/>
                <w:color w:val="000000"/>
                <w:sz w:val="20"/>
              </w:rPr>
            </w:pPr>
            <w:r w:rsidRPr="00113F09">
              <w:rPr>
                <w:b/>
                <w:color w:val="000000"/>
                <w:sz w:val="20"/>
              </w:rPr>
              <w:t>%</w:t>
            </w:r>
          </w:p>
        </w:tc>
      </w:tr>
      <w:tr w:rsidR="00AD58C9" w:rsidRPr="001D3149" w14:paraId="4DA4CE53" w14:textId="77777777" w:rsidTr="00AA0EB2">
        <w:trPr>
          <w:trHeight w:val="20"/>
          <w:jc w:val="center"/>
        </w:trPr>
        <w:tc>
          <w:tcPr>
            <w:tcW w:w="3457" w:type="dxa"/>
            <w:tcBorders>
              <w:top w:val="single" w:sz="4" w:space="0" w:color="auto"/>
              <w:left w:val="nil"/>
              <w:bottom w:val="nil"/>
              <w:right w:val="nil"/>
            </w:tcBorders>
            <w:shd w:val="clear" w:color="auto" w:fill="auto"/>
            <w:noWrap/>
            <w:tcMar>
              <w:left w:w="115" w:type="dxa"/>
              <w:right w:w="115" w:type="dxa"/>
            </w:tcMar>
            <w:vAlign w:val="bottom"/>
            <w:hideMark/>
          </w:tcPr>
          <w:p w14:paraId="23021B78" w14:textId="77777777" w:rsidR="00AD58C9" w:rsidRPr="004728D6" w:rsidRDefault="00AD58C9" w:rsidP="00AD58C9">
            <w:pPr>
              <w:spacing w:after="0" w:line="240" w:lineRule="auto"/>
              <w:rPr>
                <w:color w:val="000000"/>
                <w:sz w:val="20"/>
              </w:rPr>
            </w:pPr>
            <w:r w:rsidRPr="004728D6">
              <w:rPr>
                <w:color w:val="000000"/>
                <w:sz w:val="20"/>
              </w:rPr>
              <w:t>Overall</w:t>
            </w:r>
          </w:p>
        </w:tc>
        <w:tc>
          <w:tcPr>
            <w:tcW w:w="2448" w:type="dxa"/>
            <w:tcBorders>
              <w:top w:val="single" w:sz="4" w:space="0" w:color="auto"/>
              <w:left w:val="nil"/>
              <w:bottom w:val="nil"/>
              <w:right w:val="nil"/>
            </w:tcBorders>
            <w:vAlign w:val="bottom"/>
          </w:tcPr>
          <w:p w14:paraId="22E486C3" w14:textId="77777777" w:rsidR="00AD58C9" w:rsidRPr="001D3149" w:rsidRDefault="00AD58C9" w:rsidP="00AD58C9">
            <w:pPr>
              <w:spacing w:after="0" w:line="240" w:lineRule="auto"/>
              <w:jc w:val="center"/>
              <w:rPr>
                <w:color w:val="000000"/>
                <w:sz w:val="20"/>
              </w:rPr>
            </w:pPr>
            <w:r w:rsidRPr="001D3149">
              <w:rPr>
                <w:color w:val="000000"/>
                <w:sz w:val="20"/>
              </w:rPr>
              <w:t>12.5%</w:t>
            </w:r>
          </w:p>
        </w:tc>
        <w:tc>
          <w:tcPr>
            <w:tcW w:w="2360" w:type="dxa"/>
            <w:tcBorders>
              <w:top w:val="single" w:sz="4" w:space="0" w:color="auto"/>
              <w:left w:val="nil"/>
              <w:bottom w:val="nil"/>
              <w:right w:val="nil"/>
            </w:tcBorders>
            <w:vAlign w:val="bottom"/>
          </w:tcPr>
          <w:p w14:paraId="3412BB36" w14:textId="77777777" w:rsidR="00AD58C9" w:rsidRPr="001D3149" w:rsidRDefault="00AD58C9" w:rsidP="00AD58C9">
            <w:pPr>
              <w:spacing w:after="0" w:line="240" w:lineRule="auto"/>
              <w:jc w:val="center"/>
              <w:rPr>
                <w:color w:val="000000"/>
                <w:sz w:val="20"/>
              </w:rPr>
            </w:pPr>
            <w:r w:rsidRPr="001D3149">
              <w:rPr>
                <w:color w:val="000000"/>
                <w:sz w:val="20"/>
              </w:rPr>
              <w:t>13.9%</w:t>
            </w:r>
          </w:p>
        </w:tc>
      </w:tr>
      <w:tr w:rsidR="00AD58C9" w:rsidRPr="001D3149" w14:paraId="575309EB" w14:textId="77777777" w:rsidTr="00AA0EB2">
        <w:trPr>
          <w:trHeight w:val="20"/>
          <w:jc w:val="center"/>
        </w:trPr>
        <w:tc>
          <w:tcPr>
            <w:tcW w:w="3457" w:type="dxa"/>
            <w:tcBorders>
              <w:top w:val="nil"/>
              <w:left w:val="nil"/>
              <w:bottom w:val="nil"/>
              <w:right w:val="nil"/>
            </w:tcBorders>
            <w:shd w:val="clear" w:color="auto" w:fill="auto"/>
            <w:noWrap/>
            <w:vAlign w:val="bottom"/>
          </w:tcPr>
          <w:p w14:paraId="468C1979" w14:textId="77777777" w:rsidR="00AD58C9" w:rsidRPr="004728D6" w:rsidRDefault="00AD58C9" w:rsidP="00AD58C9">
            <w:pPr>
              <w:spacing w:after="0" w:line="240" w:lineRule="auto"/>
              <w:rPr>
                <w:bCs/>
                <w:color w:val="000000"/>
                <w:sz w:val="20"/>
              </w:rPr>
            </w:pPr>
            <w:r w:rsidRPr="004728D6">
              <w:rPr>
                <w:bCs/>
                <w:color w:val="000000"/>
                <w:sz w:val="20"/>
              </w:rPr>
              <w:t>Sex</w:t>
            </w:r>
          </w:p>
        </w:tc>
        <w:tc>
          <w:tcPr>
            <w:tcW w:w="2448" w:type="dxa"/>
            <w:tcBorders>
              <w:top w:val="nil"/>
              <w:left w:val="nil"/>
              <w:bottom w:val="nil"/>
              <w:right w:val="nil"/>
            </w:tcBorders>
          </w:tcPr>
          <w:p w14:paraId="07BA1033" w14:textId="77777777" w:rsidR="00AD58C9" w:rsidRPr="001D3149" w:rsidRDefault="00AD58C9" w:rsidP="00AD58C9">
            <w:pPr>
              <w:spacing w:after="0" w:line="240" w:lineRule="auto"/>
              <w:rPr>
                <w:rFonts w:ascii="Times New Roman" w:hAnsi="Times New Roman"/>
                <w:sz w:val="20"/>
              </w:rPr>
            </w:pPr>
          </w:p>
        </w:tc>
        <w:tc>
          <w:tcPr>
            <w:tcW w:w="2360" w:type="dxa"/>
            <w:tcBorders>
              <w:top w:val="nil"/>
              <w:left w:val="nil"/>
              <w:bottom w:val="nil"/>
              <w:right w:val="nil"/>
            </w:tcBorders>
          </w:tcPr>
          <w:p w14:paraId="080C34D2" w14:textId="77777777" w:rsidR="00AD58C9" w:rsidRPr="001D3149" w:rsidRDefault="00AD58C9" w:rsidP="00AD58C9">
            <w:pPr>
              <w:spacing w:after="0" w:line="240" w:lineRule="auto"/>
              <w:rPr>
                <w:rFonts w:ascii="Times New Roman" w:hAnsi="Times New Roman"/>
                <w:sz w:val="20"/>
              </w:rPr>
            </w:pPr>
          </w:p>
        </w:tc>
      </w:tr>
      <w:tr w:rsidR="00AD58C9" w:rsidRPr="001D3149" w14:paraId="0BFA6AEF"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27B06DF7" w14:textId="77777777" w:rsidR="00AD58C9" w:rsidRPr="004728D6" w:rsidRDefault="00AD58C9" w:rsidP="00AD58C9">
            <w:pPr>
              <w:spacing w:after="0" w:line="240" w:lineRule="auto"/>
              <w:rPr>
                <w:bCs/>
                <w:color w:val="000000"/>
                <w:sz w:val="20"/>
              </w:rPr>
            </w:pPr>
            <w:r w:rsidRPr="004728D6">
              <w:rPr>
                <w:color w:val="000000"/>
                <w:sz w:val="20"/>
              </w:rPr>
              <w:t>Male</w:t>
            </w:r>
          </w:p>
        </w:tc>
        <w:tc>
          <w:tcPr>
            <w:tcW w:w="2448" w:type="dxa"/>
            <w:tcBorders>
              <w:top w:val="nil"/>
              <w:left w:val="nil"/>
              <w:bottom w:val="nil"/>
              <w:right w:val="nil"/>
            </w:tcBorders>
            <w:vAlign w:val="bottom"/>
          </w:tcPr>
          <w:p w14:paraId="36775E4B" w14:textId="77777777" w:rsidR="00AD58C9" w:rsidRPr="001D3149" w:rsidRDefault="00AD58C9" w:rsidP="00AD58C9">
            <w:pPr>
              <w:spacing w:after="0" w:line="240" w:lineRule="auto"/>
              <w:jc w:val="center"/>
              <w:rPr>
                <w:rFonts w:ascii="Times New Roman" w:hAnsi="Times New Roman"/>
                <w:sz w:val="20"/>
              </w:rPr>
            </w:pPr>
            <w:r w:rsidRPr="00A6783A">
              <w:rPr>
                <w:color w:val="000000"/>
                <w:sz w:val="20"/>
              </w:rPr>
              <w:t>11.</w:t>
            </w:r>
            <w:r>
              <w:rPr>
                <w:color w:val="000000"/>
                <w:sz w:val="20"/>
              </w:rPr>
              <w:t>1</w:t>
            </w:r>
            <w:r w:rsidRPr="00A6783A">
              <w:rPr>
                <w:color w:val="000000"/>
                <w:sz w:val="20"/>
              </w:rPr>
              <w:t>%</w:t>
            </w:r>
          </w:p>
        </w:tc>
        <w:tc>
          <w:tcPr>
            <w:tcW w:w="2360" w:type="dxa"/>
            <w:tcBorders>
              <w:top w:val="nil"/>
              <w:left w:val="nil"/>
              <w:bottom w:val="nil"/>
              <w:right w:val="nil"/>
            </w:tcBorders>
            <w:vAlign w:val="bottom"/>
          </w:tcPr>
          <w:p w14:paraId="1C693A9D" w14:textId="77777777" w:rsidR="00AD58C9" w:rsidRPr="001D3149" w:rsidRDefault="00AD58C9" w:rsidP="00AD58C9">
            <w:pPr>
              <w:spacing w:after="0" w:line="240" w:lineRule="auto"/>
              <w:jc w:val="center"/>
              <w:rPr>
                <w:rFonts w:ascii="Times New Roman" w:hAnsi="Times New Roman"/>
                <w:sz w:val="20"/>
              </w:rPr>
            </w:pPr>
            <w:r w:rsidRPr="00A6783A">
              <w:rPr>
                <w:color w:val="000000"/>
                <w:sz w:val="20"/>
              </w:rPr>
              <w:t>13.1%</w:t>
            </w:r>
          </w:p>
        </w:tc>
      </w:tr>
      <w:tr w:rsidR="00AD58C9" w:rsidRPr="001D3149" w14:paraId="396B0A76"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20E51AC2" w14:textId="77777777" w:rsidR="00AD58C9" w:rsidRPr="004728D6" w:rsidRDefault="00AD58C9" w:rsidP="00AD58C9">
            <w:pPr>
              <w:spacing w:after="0" w:line="240" w:lineRule="auto"/>
              <w:rPr>
                <w:bCs/>
                <w:color w:val="000000"/>
                <w:sz w:val="20"/>
              </w:rPr>
            </w:pPr>
            <w:r w:rsidRPr="004728D6">
              <w:rPr>
                <w:color w:val="000000"/>
                <w:sz w:val="20"/>
              </w:rPr>
              <w:t>Female</w:t>
            </w:r>
          </w:p>
        </w:tc>
        <w:tc>
          <w:tcPr>
            <w:tcW w:w="2448" w:type="dxa"/>
            <w:tcBorders>
              <w:top w:val="nil"/>
              <w:left w:val="nil"/>
              <w:bottom w:val="nil"/>
              <w:right w:val="nil"/>
            </w:tcBorders>
            <w:vAlign w:val="bottom"/>
          </w:tcPr>
          <w:p w14:paraId="10404657" w14:textId="77777777" w:rsidR="00AD58C9" w:rsidRPr="00873410" w:rsidRDefault="00AD58C9" w:rsidP="00AD58C9">
            <w:pPr>
              <w:spacing w:after="0" w:line="240" w:lineRule="auto"/>
              <w:jc w:val="center"/>
              <w:rPr>
                <w:sz w:val="20"/>
              </w:rPr>
            </w:pPr>
            <w:r w:rsidRPr="00873410">
              <w:rPr>
                <w:color w:val="000000"/>
                <w:sz w:val="20"/>
              </w:rPr>
              <w:t>13.4%</w:t>
            </w:r>
          </w:p>
        </w:tc>
        <w:tc>
          <w:tcPr>
            <w:tcW w:w="2360" w:type="dxa"/>
            <w:tcBorders>
              <w:top w:val="nil"/>
              <w:left w:val="nil"/>
              <w:bottom w:val="nil"/>
              <w:right w:val="nil"/>
            </w:tcBorders>
            <w:vAlign w:val="bottom"/>
          </w:tcPr>
          <w:p w14:paraId="0CD7447C" w14:textId="77777777" w:rsidR="00AD58C9" w:rsidRPr="00873410" w:rsidRDefault="00AD58C9" w:rsidP="00AD58C9">
            <w:pPr>
              <w:spacing w:after="0" w:line="240" w:lineRule="auto"/>
              <w:jc w:val="center"/>
              <w:rPr>
                <w:sz w:val="20"/>
              </w:rPr>
            </w:pPr>
            <w:r w:rsidRPr="00873410">
              <w:rPr>
                <w:color w:val="000000"/>
                <w:sz w:val="20"/>
              </w:rPr>
              <w:t>14.2%</w:t>
            </w:r>
          </w:p>
        </w:tc>
      </w:tr>
      <w:tr w:rsidR="00AD58C9" w:rsidRPr="001D3149" w14:paraId="40E2DCBB" w14:textId="77777777" w:rsidTr="00AA0EB2">
        <w:trPr>
          <w:trHeight w:val="20"/>
          <w:jc w:val="center"/>
        </w:trPr>
        <w:tc>
          <w:tcPr>
            <w:tcW w:w="3457" w:type="dxa"/>
            <w:tcBorders>
              <w:top w:val="nil"/>
              <w:left w:val="nil"/>
              <w:bottom w:val="nil"/>
              <w:right w:val="nil"/>
            </w:tcBorders>
            <w:shd w:val="clear" w:color="auto" w:fill="auto"/>
            <w:noWrap/>
            <w:vAlign w:val="bottom"/>
          </w:tcPr>
          <w:p w14:paraId="5A7D1A4C" w14:textId="77777777" w:rsidR="00AD58C9" w:rsidRPr="004728D6" w:rsidRDefault="00AD58C9" w:rsidP="00AD58C9">
            <w:pPr>
              <w:spacing w:after="0" w:line="240" w:lineRule="auto"/>
              <w:rPr>
                <w:bCs/>
                <w:color w:val="000000"/>
                <w:sz w:val="20"/>
              </w:rPr>
            </w:pPr>
            <w:r w:rsidRPr="004728D6">
              <w:rPr>
                <w:color w:val="000000"/>
                <w:sz w:val="20"/>
              </w:rPr>
              <w:t>Age (years)</w:t>
            </w:r>
          </w:p>
        </w:tc>
        <w:tc>
          <w:tcPr>
            <w:tcW w:w="2448" w:type="dxa"/>
            <w:tcBorders>
              <w:top w:val="nil"/>
              <w:left w:val="nil"/>
              <w:bottom w:val="nil"/>
              <w:right w:val="nil"/>
            </w:tcBorders>
            <w:vAlign w:val="bottom"/>
          </w:tcPr>
          <w:p w14:paraId="0C66AFC0" w14:textId="77777777" w:rsidR="00AD58C9" w:rsidRPr="00873410" w:rsidRDefault="00AD58C9" w:rsidP="00AD58C9">
            <w:pPr>
              <w:spacing w:after="0" w:line="240" w:lineRule="auto"/>
              <w:jc w:val="center"/>
              <w:rPr>
                <w:sz w:val="20"/>
              </w:rPr>
            </w:pPr>
          </w:p>
        </w:tc>
        <w:tc>
          <w:tcPr>
            <w:tcW w:w="2360" w:type="dxa"/>
            <w:tcBorders>
              <w:top w:val="nil"/>
              <w:left w:val="nil"/>
              <w:bottom w:val="nil"/>
              <w:right w:val="nil"/>
            </w:tcBorders>
            <w:vAlign w:val="bottom"/>
          </w:tcPr>
          <w:p w14:paraId="5A711FEE" w14:textId="77777777" w:rsidR="00AD58C9" w:rsidRPr="00873410" w:rsidRDefault="00AD58C9" w:rsidP="00AD58C9">
            <w:pPr>
              <w:spacing w:after="0" w:line="240" w:lineRule="auto"/>
              <w:jc w:val="center"/>
              <w:rPr>
                <w:sz w:val="20"/>
              </w:rPr>
            </w:pPr>
          </w:p>
        </w:tc>
      </w:tr>
      <w:tr w:rsidR="00AD58C9" w:rsidRPr="001D3149" w14:paraId="07799B19"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5A3AC1A8" w14:textId="77777777" w:rsidR="00AD58C9" w:rsidRPr="004728D6" w:rsidRDefault="00AD58C9" w:rsidP="00AD58C9">
            <w:pPr>
              <w:spacing w:after="0" w:line="240" w:lineRule="auto"/>
              <w:rPr>
                <w:bCs/>
                <w:color w:val="000000"/>
                <w:sz w:val="20"/>
              </w:rPr>
            </w:pPr>
            <w:r w:rsidRPr="004728D6">
              <w:rPr>
                <w:color w:val="000000"/>
                <w:sz w:val="20"/>
              </w:rPr>
              <w:t>66-69</w:t>
            </w:r>
          </w:p>
        </w:tc>
        <w:tc>
          <w:tcPr>
            <w:tcW w:w="2448" w:type="dxa"/>
            <w:tcBorders>
              <w:top w:val="nil"/>
              <w:left w:val="nil"/>
              <w:bottom w:val="nil"/>
              <w:right w:val="nil"/>
            </w:tcBorders>
            <w:vAlign w:val="bottom"/>
          </w:tcPr>
          <w:p w14:paraId="1B242E10" w14:textId="77777777" w:rsidR="00AD58C9" w:rsidRPr="00873410" w:rsidRDefault="00AD58C9" w:rsidP="00AD58C9">
            <w:pPr>
              <w:spacing w:after="0" w:line="240" w:lineRule="auto"/>
              <w:jc w:val="center"/>
              <w:rPr>
                <w:sz w:val="20"/>
              </w:rPr>
            </w:pPr>
            <w:r w:rsidRPr="00873410">
              <w:rPr>
                <w:sz w:val="20"/>
              </w:rPr>
              <w:t>10.7%</w:t>
            </w:r>
          </w:p>
        </w:tc>
        <w:tc>
          <w:tcPr>
            <w:tcW w:w="2360" w:type="dxa"/>
            <w:tcBorders>
              <w:top w:val="nil"/>
              <w:left w:val="nil"/>
              <w:bottom w:val="nil"/>
              <w:right w:val="nil"/>
            </w:tcBorders>
            <w:vAlign w:val="bottom"/>
          </w:tcPr>
          <w:p w14:paraId="5607E218" w14:textId="77777777" w:rsidR="00AD58C9" w:rsidRPr="00873410" w:rsidRDefault="00AD58C9" w:rsidP="00AD58C9">
            <w:pPr>
              <w:spacing w:after="0" w:line="240" w:lineRule="auto"/>
              <w:jc w:val="center"/>
              <w:rPr>
                <w:sz w:val="20"/>
              </w:rPr>
            </w:pPr>
            <w:r w:rsidRPr="00873410">
              <w:rPr>
                <w:sz w:val="20"/>
              </w:rPr>
              <w:t>15.9%</w:t>
            </w:r>
          </w:p>
        </w:tc>
      </w:tr>
      <w:tr w:rsidR="00AD58C9" w:rsidRPr="001D3149" w14:paraId="6960CE07"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5F3FC288" w14:textId="77777777" w:rsidR="00AD58C9" w:rsidRPr="004728D6" w:rsidRDefault="00AD58C9" w:rsidP="00AD58C9">
            <w:pPr>
              <w:spacing w:after="0" w:line="240" w:lineRule="auto"/>
              <w:rPr>
                <w:bCs/>
                <w:color w:val="000000"/>
                <w:sz w:val="20"/>
              </w:rPr>
            </w:pPr>
            <w:r w:rsidRPr="004728D6">
              <w:rPr>
                <w:color w:val="000000"/>
                <w:sz w:val="20"/>
              </w:rPr>
              <w:t>70-74</w:t>
            </w:r>
          </w:p>
        </w:tc>
        <w:tc>
          <w:tcPr>
            <w:tcW w:w="2448" w:type="dxa"/>
            <w:tcBorders>
              <w:top w:val="nil"/>
              <w:left w:val="nil"/>
              <w:bottom w:val="nil"/>
              <w:right w:val="nil"/>
            </w:tcBorders>
            <w:vAlign w:val="bottom"/>
          </w:tcPr>
          <w:p w14:paraId="2C16BAF1" w14:textId="77777777" w:rsidR="00AD58C9" w:rsidRPr="00873410" w:rsidRDefault="00AD58C9" w:rsidP="00AD58C9">
            <w:pPr>
              <w:spacing w:after="0" w:line="240" w:lineRule="auto"/>
              <w:jc w:val="center"/>
              <w:rPr>
                <w:sz w:val="20"/>
              </w:rPr>
            </w:pPr>
            <w:r w:rsidRPr="00873410">
              <w:rPr>
                <w:sz w:val="20"/>
              </w:rPr>
              <w:t>10.6%</w:t>
            </w:r>
          </w:p>
        </w:tc>
        <w:tc>
          <w:tcPr>
            <w:tcW w:w="2360" w:type="dxa"/>
            <w:tcBorders>
              <w:top w:val="nil"/>
              <w:left w:val="nil"/>
              <w:bottom w:val="nil"/>
              <w:right w:val="nil"/>
            </w:tcBorders>
            <w:vAlign w:val="bottom"/>
          </w:tcPr>
          <w:p w14:paraId="7F0E79BA" w14:textId="77777777" w:rsidR="00AD58C9" w:rsidRPr="00873410" w:rsidRDefault="00AD58C9" w:rsidP="00AD58C9">
            <w:pPr>
              <w:spacing w:after="0" w:line="240" w:lineRule="auto"/>
              <w:jc w:val="center"/>
              <w:rPr>
                <w:sz w:val="20"/>
              </w:rPr>
            </w:pPr>
            <w:r w:rsidRPr="00873410">
              <w:rPr>
                <w:sz w:val="20"/>
              </w:rPr>
              <w:t>12.4%</w:t>
            </w:r>
          </w:p>
        </w:tc>
      </w:tr>
      <w:tr w:rsidR="00AD58C9" w:rsidRPr="001D3149" w14:paraId="587E4757"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41CCCD51" w14:textId="77777777" w:rsidR="00AD58C9" w:rsidRPr="004728D6" w:rsidRDefault="00AD58C9" w:rsidP="00AD58C9">
            <w:pPr>
              <w:spacing w:after="0" w:line="240" w:lineRule="auto"/>
              <w:rPr>
                <w:bCs/>
                <w:color w:val="000000"/>
                <w:sz w:val="20"/>
              </w:rPr>
            </w:pPr>
            <w:r w:rsidRPr="004728D6">
              <w:rPr>
                <w:color w:val="000000"/>
                <w:sz w:val="20"/>
              </w:rPr>
              <w:t>75-79</w:t>
            </w:r>
          </w:p>
        </w:tc>
        <w:tc>
          <w:tcPr>
            <w:tcW w:w="2448" w:type="dxa"/>
            <w:tcBorders>
              <w:top w:val="nil"/>
              <w:left w:val="nil"/>
              <w:bottom w:val="nil"/>
              <w:right w:val="nil"/>
            </w:tcBorders>
            <w:vAlign w:val="bottom"/>
          </w:tcPr>
          <w:p w14:paraId="68ED700B" w14:textId="77777777" w:rsidR="00AD58C9" w:rsidRPr="00873410" w:rsidRDefault="00AD58C9" w:rsidP="00AD58C9">
            <w:pPr>
              <w:spacing w:after="0" w:line="240" w:lineRule="auto"/>
              <w:jc w:val="center"/>
              <w:rPr>
                <w:sz w:val="20"/>
              </w:rPr>
            </w:pPr>
            <w:r w:rsidRPr="00873410">
              <w:rPr>
                <w:sz w:val="20"/>
              </w:rPr>
              <w:t>10.9%</w:t>
            </w:r>
          </w:p>
        </w:tc>
        <w:tc>
          <w:tcPr>
            <w:tcW w:w="2360" w:type="dxa"/>
            <w:tcBorders>
              <w:top w:val="nil"/>
              <w:left w:val="nil"/>
              <w:bottom w:val="nil"/>
              <w:right w:val="nil"/>
            </w:tcBorders>
            <w:vAlign w:val="bottom"/>
          </w:tcPr>
          <w:p w14:paraId="77F04B1B" w14:textId="77777777" w:rsidR="00AD58C9" w:rsidRPr="00873410" w:rsidRDefault="00AD58C9" w:rsidP="00AD58C9">
            <w:pPr>
              <w:spacing w:after="0" w:line="240" w:lineRule="auto"/>
              <w:jc w:val="center"/>
              <w:rPr>
                <w:sz w:val="20"/>
              </w:rPr>
            </w:pPr>
            <w:r w:rsidRPr="00873410">
              <w:rPr>
                <w:sz w:val="20"/>
              </w:rPr>
              <w:t>13.1%</w:t>
            </w:r>
          </w:p>
        </w:tc>
      </w:tr>
      <w:tr w:rsidR="00AD58C9" w:rsidRPr="001D3149" w14:paraId="1B52E84A"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7F83AA3F" w14:textId="77777777" w:rsidR="00AD58C9" w:rsidRPr="004728D6" w:rsidRDefault="00AD58C9" w:rsidP="00AD58C9">
            <w:pPr>
              <w:spacing w:after="0" w:line="240" w:lineRule="auto"/>
              <w:rPr>
                <w:bCs/>
                <w:color w:val="000000"/>
                <w:sz w:val="20"/>
              </w:rPr>
            </w:pPr>
            <w:r w:rsidRPr="004728D6">
              <w:rPr>
                <w:color w:val="000000"/>
                <w:sz w:val="20"/>
              </w:rPr>
              <w:t>80-84</w:t>
            </w:r>
          </w:p>
        </w:tc>
        <w:tc>
          <w:tcPr>
            <w:tcW w:w="2448" w:type="dxa"/>
            <w:tcBorders>
              <w:top w:val="nil"/>
              <w:left w:val="nil"/>
              <w:bottom w:val="nil"/>
              <w:right w:val="nil"/>
            </w:tcBorders>
            <w:vAlign w:val="bottom"/>
          </w:tcPr>
          <w:p w14:paraId="79272453" w14:textId="77777777" w:rsidR="00AD58C9" w:rsidRPr="00873410" w:rsidRDefault="00AD58C9" w:rsidP="00AD58C9">
            <w:pPr>
              <w:spacing w:after="0" w:line="240" w:lineRule="auto"/>
              <w:jc w:val="center"/>
              <w:rPr>
                <w:sz w:val="20"/>
              </w:rPr>
            </w:pPr>
            <w:r w:rsidRPr="00873410">
              <w:rPr>
                <w:sz w:val="20"/>
              </w:rPr>
              <w:t>12.9%</w:t>
            </w:r>
          </w:p>
        </w:tc>
        <w:tc>
          <w:tcPr>
            <w:tcW w:w="2360" w:type="dxa"/>
            <w:tcBorders>
              <w:top w:val="nil"/>
              <w:left w:val="nil"/>
              <w:bottom w:val="nil"/>
              <w:right w:val="nil"/>
            </w:tcBorders>
            <w:vAlign w:val="bottom"/>
          </w:tcPr>
          <w:p w14:paraId="6DA984A7" w14:textId="77777777" w:rsidR="00AD58C9" w:rsidRPr="00873410" w:rsidRDefault="00AD58C9" w:rsidP="00AD58C9">
            <w:pPr>
              <w:spacing w:after="0" w:line="240" w:lineRule="auto"/>
              <w:jc w:val="center"/>
              <w:rPr>
                <w:sz w:val="20"/>
              </w:rPr>
            </w:pPr>
            <w:r w:rsidRPr="00873410">
              <w:rPr>
                <w:sz w:val="20"/>
              </w:rPr>
              <w:t>13.6%</w:t>
            </w:r>
          </w:p>
        </w:tc>
      </w:tr>
      <w:tr w:rsidR="00AD58C9" w:rsidRPr="001D3149" w14:paraId="1CDE8473"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56A62ED5" w14:textId="77777777" w:rsidR="00AD58C9" w:rsidRPr="004728D6" w:rsidRDefault="00AD58C9" w:rsidP="00AD58C9">
            <w:pPr>
              <w:spacing w:after="0" w:line="240" w:lineRule="auto"/>
              <w:rPr>
                <w:bCs/>
                <w:color w:val="000000"/>
                <w:sz w:val="20"/>
              </w:rPr>
            </w:pPr>
            <w:r w:rsidRPr="004728D6">
              <w:rPr>
                <w:color w:val="000000"/>
                <w:sz w:val="20"/>
              </w:rPr>
              <w:t>85-89</w:t>
            </w:r>
          </w:p>
        </w:tc>
        <w:tc>
          <w:tcPr>
            <w:tcW w:w="2448" w:type="dxa"/>
            <w:tcBorders>
              <w:top w:val="nil"/>
              <w:left w:val="nil"/>
              <w:bottom w:val="nil"/>
              <w:right w:val="nil"/>
            </w:tcBorders>
            <w:vAlign w:val="bottom"/>
          </w:tcPr>
          <w:p w14:paraId="405F73F3" w14:textId="77777777" w:rsidR="00AD58C9" w:rsidRPr="00873410" w:rsidRDefault="00AD58C9" w:rsidP="00AD58C9">
            <w:pPr>
              <w:spacing w:after="0" w:line="240" w:lineRule="auto"/>
              <w:jc w:val="center"/>
              <w:rPr>
                <w:sz w:val="20"/>
              </w:rPr>
            </w:pPr>
            <w:r w:rsidRPr="00873410">
              <w:rPr>
                <w:sz w:val="20"/>
              </w:rPr>
              <w:t>14.5%</w:t>
            </w:r>
          </w:p>
        </w:tc>
        <w:tc>
          <w:tcPr>
            <w:tcW w:w="2360" w:type="dxa"/>
            <w:tcBorders>
              <w:top w:val="nil"/>
              <w:left w:val="nil"/>
              <w:bottom w:val="nil"/>
              <w:right w:val="nil"/>
            </w:tcBorders>
            <w:vAlign w:val="bottom"/>
          </w:tcPr>
          <w:p w14:paraId="28F01190" w14:textId="77777777" w:rsidR="00AD58C9" w:rsidRPr="00873410" w:rsidRDefault="00AD58C9" w:rsidP="00AD58C9">
            <w:pPr>
              <w:spacing w:after="0" w:line="240" w:lineRule="auto"/>
              <w:jc w:val="center"/>
              <w:rPr>
                <w:sz w:val="20"/>
              </w:rPr>
            </w:pPr>
            <w:r w:rsidRPr="00873410">
              <w:rPr>
                <w:sz w:val="20"/>
              </w:rPr>
              <w:t>13.2%</w:t>
            </w:r>
          </w:p>
        </w:tc>
      </w:tr>
      <w:tr w:rsidR="00AD58C9" w:rsidRPr="001D3149" w14:paraId="0A7EC1BC"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1F8C0007" w14:textId="77777777" w:rsidR="00AD58C9" w:rsidRPr="004728D6" w:rsidRDefault="00AD58C9" w:rsidP="00AD58C9">
            <w:pPr>
              <w:spacing w:after="0" w:line="240" w:lineRule="auto"/>
              <w:rPr>
                <w:bCs/>
                <w:color w:val="000000"/>
                <w:sz w:val="20"/>
              </w:rPr>
            </w:pPr>
            <w:r>
              <w:rPr>
                <w:sz w:val="20"/>
              </w:rPr>
              <w:t>≥</w:t>
            </w:r>
            <w:r>
              <w:rPr>
                <w:color w:val="000000"/>
                <w:sz w:val="20"/>
              </w:rPr>
              <w:t>90</w:t>
            </w:r>
          </w:p>
        </w:tc>
        <w:tc>
          <w:tcPr>
            <w:tcW w:w="2448" w:type="dxa"/>
            <w:tcBorders>
              <w:top w:val="nil"/>
              <w:left w:val="nil"/>
              <w:bottom w:val="nil"/>
              <w:right w:val="nil"/>
            </w:tcBorders>
            <w:vAlign w:val="bottom"/>
          </w:tcPr>
          <w:p w14:paraId="58E9D49F" w14:textId="77777777" w:rsidR="00AD58C9" w:rsidRPr="00873410" w:rsidRDefault="00AD58C9" w:rsidP="00AD58C9">
            <w:pPr>
              <w:spacing w:after="0" w:line="240" w:lineRule="auto"/>
              <w:jc w:val="center"/>
              <w:rPr>
                <w:sz w:val="20"/>
              </w:rPr>
            </w:pPr>
            <w:r w:rsidRPr="00873410">
              <w:rPr>
                <w:sz w:val="20"/>
              </w:rPr>
              <w:t>17.7%</w:t>
            </w:r>
          </w:p>
        </w:tc>
        <w:tc>
          <w:tcPr>
            <w:tcW w:w="2360" w:type="dxa"/>
            <w:tcBorders>
              <w:top w:val="nil"/>
              <w:left w:val="nil"/>
              <w:bottom w:val="nil"/>
              <w:right w:val="nil"/>
            </w:tcBorders>
            <w:vAlign w:val="bottom"/>
          </w:tcPr>
          <w:p w14:paraId="1D8ECDED" w14:textId="77777777" w:rsidR="00AD58C9" w:rsidRPr="00873410" w:rsidRDefault="00AD58C9" w:rsidP="00AD58C9">
            <w:pPr>
              <w:spacing w:after="0" w:line="240" w:lineRule="auto"/>
              <w:jc w:val="center"/>
              <w:rPr>
                <w:sz w:val="20"/>
              </w:rPr>
            </w:pPr>
            <w:r w:rsidRPr="00873410">
              <w:rPr>
                <w:sz w:val="20"/>
              </w:rPr>
              <w:t>15.0%</w:t>
            </w:r>
          </w:p>
        </w:tc>
      </w:tr>
      <w:tr w:rsidR="00AD58C9" w:rsidRPr="001D3149" w14:paraId="3C8E4336" w14:textId="77777777" w:rsidTr="00AA0EB2">
        <w:trPr>
          <w:trHeight w:val="20"/>
          <w:jc w:val="center"/>
        </w:trPr>
        <w:tc>
          <w:tcPr>
            <w:tcW w:w="3457" w:type="dxa"/>
            <w:tcBorders>
              <w:top w:val="nil"/>
              <w:left w:val="nil"/>
              <w:bottom w:val="nil"/>
              <w:right w:val="nil"/>
            </w:tcBorders>
            <w:shd w:val="clear" w:color="auto" w:fill="auto"/>
            <w:noWrap/>
            <w:vAlign w:val="bottom"/>
          </w:tcPr>
          <w:p w14:paraId="3BDB0B76" w14:textId="77777777" w:rsidR="00AD58C9" w:rsidRPr="004728D6" w:rsidRDefault="00AD58C9" w:rsidP="00AD58C9">
            <w:pPr>
              <w:spacing w:after="0" w:line="240" w:lineRule="auto"/>
              <w:rPr>
                <w:bCs/>
                <w:color w:val="000000"/>
                <w:sz w:val="20"/>
              </w:rPr>
            </w:pPr>
            <w:r w:rsidRPr="004728D6">
              <w:rPr>
                <w:bCs/>
                <w:color w:val="000000"/>
                <w:sz w:val="20"/>
              </w:rPr>
              <w:t>Race</w:t>
            </w:r>
          </w:p>
        </w:tc>
        <w:tc>
          <w:tcPr>
            <w:tcW w:w="2448" w:type="dxa"/>
            <w:tcBorders>
              <w:top w:val="nil"/>
              <w:left w:val="nil"/>
              <w:bottom w:val="nil"/>
              <w:right w:val="nil"/>
            </w:tcBorders>
          </w:tcPr>
          <w:p w14:paraId="5D537041" w14:textId="77777777" w:rsidR="00AD58C9" w:rsidRPr="00873410" w:rsidRDefault="00AD58C9" w:rsidP="00AD58C9">
            <w:pPr>
              <w:spacing w:after="0" w:line="240" w:lineRule="auto"/>
              <w:jc w:val="center"/>
              <w:rPr>
                <w:sz w:val="20"/>
              </w:rPr>
            </w:pPr>
          </w:p>
        </w:tc>
        <w:tc>
          <w:tcPr>
            <w:tcW w:w="2360" w:type="dxa"/>
            <w:tcBorders>
              <w:top w:val="nil"/>
              <w:left w:val="nil"/>
              <w:bottom w:val="nil"/>
              <w:right w:val="nil"/>
            </w:tcBorders>
          </w:tcPr>
          <w:p w14:paraId="650644E7" w14:textId="77777777" w:rsidR="00AD58C9" w:rsidRPr="00873410" w:rsidRDefault="00AD58C9" w:rsidP="00AD58C9">
            <w:pPr>
              <w:spacing w:after="0" w:line="240" w:lineRule="auto"/>
              <w:jc w:val="center"/>
              <w:rPr>
                <w:sz w:val="20"/>
              </w:rPr>
            </w:pPr>
          </w:p>
        </w:tc>
      </w:tr>
      <w:tr w:rsidR="00AD58C9" w:rsidRPr="001D3149" w14:paraId="67E86893"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38B53AAC" w14:textId="77777777" w:rsidR="00AD58C9" w:rsidRPr="004728D6" w:rsidRDefault="00AD58C9" w:rsidP="00AD58C9">
            <w:pPr>
              <w:spacing w:after="0" w:line="240" w:lineRule="auto"/>
              <w:rPr>
                <w:bCs/>
                <w:color w:val="000000"/>
                <w:sz w:val="20"/>
              </w:rPr>
            </w:pPr>
            <w:r w:rsidRPr="004728D6">
              <w:rPr>
                <w:color w:val="000000"/>
                <w:sz w:val="20"/>
              </w:rPr>
              <w:t>White</w:t>
            </w:r>
          </w:p>
        </w:tc>
        <w:tc>
          <w:tcPr>
            <w:tcW w:w="2448" w:type="dxa"/>
            <w:tcBorders>
              <w:top w:val="nil"/>
              <w:left w:val="nil"/>
              <w:bottom w:val="nil"/>
              <w:right w:val="nil"/>
            </w:tcBorders>
            <w:vAlign w:val="bottom"/>
          </w:tcPr>
          <w:p w14:paraId="1B9899F9" w14:textId="77777777" w:rsidR="00AD58C9" w:rsidRPr="00873410" w:rsidRDefault="00AD58C9" w:rsidP="00AD58C9">
            <w:pPr>
              <w:spacing w:after="0" w:line="240" w:lineRule="auto"/>
              <w:jc w:val="center"/>
              <w:rPr>
                <w:sz w:val="20"/>
              </w:rPr>
            </w:pPr>
            <w:r w:rsidRPr="00873410">
              <w:rPr>
                <w:color w:val="000000"/>
                <w:sz w:val="20"/>
              </w:rPr>
              <w:t>12.6%</w:t>
            </w:r>
          </w:p>
        </w:tc>
        <w:tc>
          <w:tcPr>
            <w:tcW w:w="2360" w:type="dxa"/>
            <w:tcBorders>
              <w:top w:val="nil"/>
              <w:left w:val="nil"/>
              <w:bottom w:val="nil"/>
              <w:right w:val="nil"/>
            </w:tcBorders>
            <w:vAlign w:val="bottom"/>
          </w:tcPr>
          <w:p w14:paraId="4857B5DB" w14:textId="77777777" w:rsidR="00AD58C9" w:rsidRPr="00873410" w:rsidRDefault="00AD58C9" w:rsidP="00AD58C9">
            <w:pPr>
              <w:spacing w:after="0" w:line="240" w:lineRule="auto"/>
              <w:jc w:val="center"/>
              <w:rPr>
                <w:sz w:val="20"/>
              </w:rPr>
            </w:pPr>
            <w:r w:rsidRPr="00873410">
              <w:rPr>
                <w:color w:val="000000"/>
                <w:sz w:val="20"/>
              </w:rPr>
              <w:t>14.0%</w:t>
            </w:r>
          </w:p>
        </w:tc>
      </w:tr>
      <w:tr w:rsidR="00AD58C9" w:rsidRPr="001D3149" w14:paraId="7666F026"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5A00BD52" w14:textId="77777777" w:rsidR="00AD58C9" w:rsidRPr="004728D6" w:rsidRDefault="00AD58C9" w:rsidP="00AD58C9">
            <w:pPr>
              <w:spacing w:after="0" w:line="240" w:lineRule="auto"/>
              <w:rPr>
                <w:bCs/>
                <w:color w:val="000000"/>
                <w:sz w:val="20"/>
              </w:rPr>
            </w:pPr>
            <w:r w:rsidRPr="004728D6">
              <w:rPr>
                <w:color w:val="000000"/>
                <w:sz w:val="20"/>
              </w:rPr>
              <w:t>Black</w:t>
            </w:r>
          </w:p>
        </w:tc>
        <w:tc>
          <w:tcPr>
            <w:tcW w:w="2448" w:type="dxa"/>
            <w:tcBorders>
              <w:top w:val="nil"/>
              <w:left w:val="nil"/>
              <w:bottom w:val="nil"/>
              <w:right w:val="nil"/>
            </w:tcBorders>
            <w:vAlign w:val="bottom"/>
          </w:tcPr>
          <w:p w14:paraId="696BDE89" w14:textId="77777777" w:rsidR="00AD58C9" w:rsidRPr="00873410" w:rsidRDefault="00AD58C9" w:rsidP="00AD58C9">
            <w:pPr>
              <w:spacing w:after="0" w:line="240" w:lineRule="auto"/>
              <w:jc w:val="center"/>
              <w:rPr>
                <w:sz w:val="20"/>
              </w:rPr>
            </w:pPr>
            <w:r w:rsidRPr="00873410">
              <w:rPr>
                <w:color w:val="000000"/>
                <w:sz w:val="20"/>
              </w:rPr>
              <w:t>13.6%</w:t>
            </w:r>
          </w:p>
        </w:tc>
        <w:tc>
          <w:tcPr>
            <w:tcW w:w="2360" w:type="dxa"/>
            <w:tcBorders>
              <w:top w:val="nil"/>
              <w:left w:val="nil"/>
              <w:bottom w:val="nil"/>
              <w:right w:val="nil"/>
            </w:tcBorders>
            <w:vAlign w:val="bottom"/>
          </w:tcPr>
          <w:p w14:paraId="6A450F40" w14:textId="77777777" w:rsidR="00AD58C9" w:rsidRPr="00873410" w:rsidRDefault="00AD58C9" w:rsidP="00AD58C9">
            <w:pPr>
              <w:spacing w:after="0" w:line="240" w:lineRule="auto"/>
              <w:jc w:val="center"/>
              <w:rPr>
                <w:sz w:val="20"/>
              </w:rPr>
            </w:pPr>
            <w:r w:rsidRPr="00873410">
              <w:rPr>
                <w:color w:val="000000"/>
                <w:sz w:val="20"/>
              </w:rPr>
              <w:t>13.7%</w:t>
            </w:r>
          </w:p>
        </w:tc>
      </w:tr>
      <w:tr w:rsidR="00AD58C9" w:rsidRPr="001D3149" w14:paraId="7FE7A2C5"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6617E334" w14:textId="77777777" w:rsidR="00AD58C9" w:rsidRPr="004728D6" w:rsidRDefault="00AD58C9" w:rsidP="00AD58C9">
            <w:pPr>
              <w:spacing w:after="0" w:line="240" w:lineRule="auto"/>
              <w:rPr>
                <w:bCs/>
                <w:color w:val="000000"/>
                <w:sz w:val="20"/>
              </w:rPr>
            </w:pPr>
            <w:r w:rsidRPr="004728D6">
              <w:rPr>
                <w:color w:val="000000"/>
                <w:sz w:val="20"/>
              </w:rPr>
              <w:t>Asian</w:t>
            </w:r>
          </w:p>
        </w:tc>
        <w:tc>
          <w:tcPr>
            <w:tcW w:w="2448" w:type="dxa"/>
            <w:tcBorders>
              <w:top w:val="nil"/>
              <w:left w:val="nil"/>
              <w:bottom w:val="nil"/>
              <w:right w:val="nil"/>
            </w:tcBorders>
            <w:vAlign w:val="bottom"/>
          </w:tcPr>
          <w:p w14:paraId="3D743668" w14:textId="77777777" w:rsidR="00AD58C9" w:rsidRPr="00873410" w:rsidRDefault="00AD58C9" w:rsidP="00AD58C9">
            <w:pPr>
              <w:spacing w:after="0" w:line="240" w:lineRule="auto"/>
              <w:jc w:val="center"/>
              <w:rPr>
                <w:sz w:val="20"/>
              </w:rPr>
            </w:pPr>
            <w:r w:rsidRPr="00873410">
              <w:rPr>
                <w:color w:val="000000"/>
                <w:sz w:val="20"/>
              </w:rPr>
              <w:t>9.7%</w:t>
            </w:r>
          </w:p>
        </w:tc>
        <w:tc>
          <w:tcPr>
            <w:tcW w:w="2360" w:type="dxa"/>
            <w:tcBorders>
              <w:top w:val="nil"/>
              <w:left w:val="nil"/>
              <w:bottom w:val="nil"/>
              <w:right w:val="nil"/>
            </w:tcBorders>
            <w:vAlign w:val="bottom"/>
          </w:tcPr>
          <w:p w14:paraId="2E57F891" w14:textId="77777777" w:rsidR="00AD58C9" w:rsidRPr="00873410" w:rsidRDefault="00AD58C9" w:rsidP="00AD58C9">
            <w:pPr>
              <w:spacing w:after="0" w:line="240" w:lineRule="auto"/>
              <w:jc w:val="center"/>
              <w:rPr>
                <w:sz w:val="20"/>
              </w:rPr>
            </w:pPr>
            <w:r w:rsidRPr="00873410">
              <w:rPr>
                <w:color w:val="000000"/>
                <w:sz w:val="20"/>
              </w:rPr>
              <w:t>13.1%</w:t>
            </w:r>
          </w:p>
        </w:tc>
      </w:tr>
      <w:tr w:rsidR="00AD58C9" w:rsidRPr="001D3149" w14:paraId="17B6C45E"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745C666F" w14:textId="77777777" w:rsidR="00AD58C9" w:rsidRPr="004728D6" w:rsidRDefault="00AD58C9" w:rsidP="00AD58C9">
            <w:pPr>
              <w:spacing w:after="0" w:line="240" w:lineRule="auto"/>
              <w:rPr>
                <w:bCs/>
                <w:color w:val="000000"/>
                <w:sz w:val="20"/>
              </w:rPr>
            </w:pPr>
            <w:r w:rsidRPr="004728D6">
              <w:rPr>
                <w:color w:val="000000"/>
                <w:sz w:val="20"/>
              </w:rPr>
              <w:t>Hispanic</w:t>
            </w:r>
          </w:p>
        </w:tc>
        <w:tc>
          <w:tcPr>
            <w:tcW w:w="2448" w:type="dxa"/>
            <w:tcBorders>
              <w:top w:val="nil"/>
              <w:left w:val="nil"/>
              <w:bottom w:val="nil"/>
              <w:right w:val="nil"/>
            </w:tcBorders>
            <w:vAlign w:val="bottom"/>
          </w:tcPr>
          <w:p w14:paraId="17D2AEBB" w14:textId="77777777" w:rsidR="00AD58C9" w:rsidRPr="00873410" w:rsidRDefault="00AD58C9" w:rsidP="00AD58C9">
            <w:pPr>
              <w:spacing w:after="0" w:line="240" w:lineRule="auto"/>
              <w:jc w:val="center"/>
              <w:rPr>
                <w:sz w:val="20"/>
              </w:rPr>
            </w:pPr>
            <w:r w:rsidRPr="00873410">
              <w:rPr>
                <w:color w:val="000000"/>
                <w:sz w:val="20"/>
              </w:rPr>
              <w:t>11.1%</w:t>
            </w:r>
          </w:p>
        </w:tc>
        <w:tc>
          <w:tcPr>
            <w:tcW w:w="2360" w:type="dxa"/>
            <w:tcBorders>
              <w:top w:val="nil"/>
              <w:left w:val="nil"/>
              <w:bottom w:val="nil"/>
              <w:right w:val="nil"/>
            </w:tcBorders>
            <w:vAlign w:val="bottom"/>
          </w:tcPr>
          <w:p w14:paraId="0885FFE6" w14:textId="77777777" w:rsidR="00AD58C9" w:rsidRPr="00873410" w:rsidRDefault="00AD58C9" w:rsidP="00AD58C9">
            <w:pPr>
              <w:spacing w:after="0" w:line="240" w:lineRule="auto"/>
              <w:jc w:val="center"/>
              <w:rPr>
                <w:sz w:val="20"/>
              </w:rPr>
            </w:pPr>
            <w:r w:rsidRPr="00873410">
              <w:rPr>
                <w:color w:val="000000"/>
                <w:sz w:val="20"/>
              </w:rPr>
              <w:t>11.7%</w:t>
            </w:r>
          </w:p>
        </w:tc>
      </w:tr>
      <w:tr w:rsidR="00AD58C9" w:rsidRPr="001D3149" w14:paraId="376B34A1"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59980B43" w14:textId="77777777" w:rsidR="00AD58C9" w:rsidRPr="004728D6" w:rsidRDefault="00AD58C9" w:rsidP="00AD58C9">
            <w:pPr>
              <w:spacing w:after="0" w:line="240" w:lineRule="auto"/>
              <w:rPr>
                <w:color w:val="000000"/>
                <w:sz w:val="20"/>
              </w:rPr>
            </w:pPr>
            <w:r w:rsidRPr="004728D6">
              <w:rPr>
                <w:color w:val="000000"/>
                <w:sz w:val="20"/>
              </w:rPr>
              <w:t>Other/Unknown</w:t>
            </w:r>
          </w:p>
        </w:tc>
        <w:tc>
          <w:tcPr>
            <w:tcW w:w="2448" w:type="dxa"/>
            <w:tcBorders>
              <w:top w:val="nil"/>
              <w:left w:val="nil"/>
              <w:bottom w:val="nil"/>
              <w:right w:val="nil"/>
            </w:tcBorders>
            <w:vAlign w:val="bottom"/>
          </w:tcPr>
          <w:p w14:paraId="38F4DD43" w14:textId="77777777" w:rsidR="00AD58C9" w:rsidRPr="00873410" w:rsidRDefault="00AD58C9" w:rsidP="00AD58C9">
            <w:pPr>
              <w:spacing w:after="0" w:line="240" w:lineRule="auto"/>
              <w:jc w:val="center"/>
              <w:rPr>
                <w:color w:val="000000"/>
                <w:sz w:val="20"/>
              </w:rPr>
            </w:pPr>
            <w:r w:rsidRPr="00873410">
              <w:rPr>
                <w:color w:val="000000"/>
                <w:sz w:val="20"/>
              </w:rPr>
              <w:t>12.6%</w:t>
            </w:r>
          </w:p>
        </w:tc>
        <w:tc>
          <w:tcPr>
            <w:tcW w:w="2360" w:type="dxa"/>
            <w:tcBorders>
              <w:top w:val="nil"/>
              <w:left w:val="nil"/>
              <w:bottom w:val="nil"/>
              <w:right w:val="nil"/>
            </w:tcBorders>
            <w:vAlign w:val="bottom"/>
          </w:tcPr>
          <w:p w14:paraId="24D9179A" w14:textId="77777777" w:rsidR="00AD58C9" w:rsidRPr="00873410" w:rsidRDefault="00AD58C9" w:rsidP="00AD58C9">
            <w:pPr>
              <w:spacing w:after="0" w:line="240" w:lineRule="auto"/>
              <w:jc w:val="center"/>
              <w:rPr>
                <w:color w:val="000000"/>
                <w:sz w:val="20"/>
              </w:rPr>
            </w:pPr>
            <w:r w:rsidRPr="00873410">
              <w:rPr>
                <w:color w:val="000000"/>
                <w:sz w:val="20"/>
              </w:rPr>
              <w:t>12.1%</w:t>
            </w:r>
          </w:p>
        </w:tc>
      </w:tr>
      <w:tr w:rsidR="00AD58C9" w:rsidRPr="001D3149" w14:paraId="67D14B89" w14:textId="77777777" w:rsidTr="00AA0EB2">
        <w:trPr>
          <w:trHeight w:val="20"/>
          <w:jc w:val="center"/>
        </w:trPr>
        <w:tc>
          <w:tcPr>
            <w:tcW w:w="3457" w:type="dxa"/>
            <w:tcBorders>
              <w:top w:val="nil"/>
              <w:left w:val="nil"/>
              <w:bottom w:val="nil"/>
              <w:right w:val="nil"/>
            </w:tcBorders>
            <w:shd w:val="clear" w:color="auto" w:fill="auto"/>
            <w:noWrap/>
            <w:vAlign w:val="bottom"/>
          </w:tcPr>
          <w:p w14:paraId="26CEDB7B" w14:textId="77777777" w:rsidR="00AD58C9" w:rsidRPr="004728D6" w:rsidRDefault="00AD58C9" w:rsidP="00AD58C9">
            <w:pPr>
              <w:spacing w:after="0" w:line="240" w:lineRule="auto"/>
              <w:rPr>
                <w:bCs/>
                <w:color w:val="000000"/>
                <w:sz w:val="20"/>
              </w:rPr>
            </w:pPr>
            <w:r w:rsidRPr="004728D6">
              <w:rPr>
                <w:bCs/>
                <w:color w:val="000000"/>
                <w:sz w:val="20"/>
              </w:rPr>
              <w:t>Hospice Admission Setting</w:t>
            </w:r>
          </w:p>
        </w:tc>
        <w:tc>
          <w:tcPr>
            <w:tcW w:w="2448" w:type="dxa"/>
            <w:tcBorders>
              <w:top w:val="nil"/>
              <w:left w:val="nil"/>
              <w:bottom w:val="nil"/>
              <w:right w:val="nil"/>
            </w:tcBorders>
            <w:vAlign w:val="bottom"/>
          </w:tcPr>
          <w:p w14:paraId="68C6D31A" w14:textId="77777777" w:rsidR="00AD58C9" w:rsidRPr="00873410" w:rsidRDefault="00AD58C9" w:rsidP="00AD58C9">
            <w:pPr>
              <w:spacing w:after="0" w:line="240" w:lineRule="auto"/>
              <w:jc w:val="center"/>
              <w:rPr>
                <w:sz w:val="20"/>
              </w:rPr>
            </w:pPr>
          </w:p>
        </w:tc>
        <w:tc>
          <w:tcPr>
            <w:tcW w:w="2360" w:type="dxa"/>
            <w:tcBorders>
              <w:top w:val="nil"/>
              <w:left w:val="nil"/>
              <w:bottom w:val="nil"/>
              <w:right w:val="nil"/>
            </w:tcBorders>
            <w:vAlign w:val="bottom"/>
          </w:tcPr>
          <w:p w14:paraId="2E9D68FC" w14:textId="77777777" w:rsidR="00AD58C9" w:rsidRPr="00873410" w:rsidRDefault="00AD58C9" w:rsidP="00AD58C9">
            <w:pPr>
              <w:spacing w:after="0" w:line="240" w:lineRule="auto"/>
              <w:jc w:val="center"/>
              <w:rPr>
                <w:sz w:val="20"/>
              </w:rPr>
            </w:pPr>
          </w:p>
        </w:tc>
      </w:tr>
      <w:tr w:rsidR="00AD58C9" w:rsidRPr="001D3149" w14:paraId="5930AB38"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634BA541" w14:textId="77777777" w:rsidR="00AD58C9" w:rsidRPr="004728D6" w:rsidRDefault="00AD58C9" w:rsidP="00AD58C9">
            <w:pPr>
              <w:spacing w:after="0" w:line="240" w:lineRule="auto"/>
              <w:rPr>
                <w:bCs/>
                <w:color w:val="000000"/>
                <w:sz w:val="20"/>
              </w:rPr>
            </w:pPr>
            <w:r w:rsidRPr="004728D6">
              <w:rPr>
                <w:color w:val="000000"/>
                <w:sz w:val="20"/>
              </w:rPr>
              <w:t>Home/Private Residence</w:t>
            </w:r>
          </w:p>
        </w:tc>
        <w:tc>
          <w:tcPr>
            <w:tcW w:w="2448" w:type="dxa"/>
            <w:tcBorders>
              <w:top w:val="nil"/>
              <w:left w:val="nil"/>
              <w:bottom w:val="nil"/>
              <w:right w:val="nil"/>
            </w:tcBorders>
            <w:vAlign w:val="bottom"/>
          </w:tcPr>
          <w:p w14:paraId="680F8A53" w14:textId="77777777" w:rsidR="00AD58C9" w:rsidRPr="00873410" w:rsidRDefault="00AD58C9" w:rsidP="00AD58C9">
            <w:pPr>
              <w:spacing w:after="0" w:line="240" w:lineRule="auto"/>
              <w:jc w:val="center"/>
              <w:rPr>
                <w:sz w:val="20"/>
              </w:rPr>
            </w:pPr>
            <w:r w:rsidRPr="00873410">
              <w:rPr>
                <w:color w:val="000000"/>
                <w:sz w:val="20"/>
              </w:rPr>
              <w:t>13.3%</w:t>
            </w:r>
          </w:p>
        </w:tc>
        <w:tc>
          <w:tcPr>
            <w:tcW w:w="2360" w:type="dxa"/>
            <w:tcBorders>
              <w:top w:val="nil"/>
              <w:left w:val="nil"/>
              <w:bottom w:val="nil"/>
              <w:right w:val="nil"/>
            </w:tcBorders>
            <w:vAlign w:val="bottom"/>
          </w:tcPr>
          <w:p w14:paraId="373A7895" w14:textId="77777777" w:rsidR="00AD58C9" w:rsidRPr="00873410" w:rsidRDefault="00AD58C9" w:rsidP="00AD58C9">
            <w:pPr>
              <w:spacing w:after="0" w:line="240" w:lineRule="auto"/>
              <w:jc w:val="center"/>
              <w:rPr>
                <w:sz w:val="20"/>
              </w:rPr>
            </w:pPr>
            <w:r w:rsidRPr="00873410">
              <w:rPr>
                <w:color w:val="000000"/>
                <w:sz w:val="20"/>
              </w:rPr>
              <w:t>15.6%</w:t>
            </w:r>
          </w:p>
        </w:tc>
      </w:tr>
      <w:tr w:rsidR="00AD58C9" w:rsidRPr="001D3149" w14:paraId="4D805F6F"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3B255AEF" w14:textId="77777777" w:rsidR="00AD58C9" w:rsidRPr="004728D6" w:rsidRDefault="00AD58C9" w:rsidP="00AD58C9">
            <w:pPr>
              <w:spacing w:after="0" w:line="240" w:lineRule="auto"/>
              <w:rPr>
                <w:bCs/>
                <w:color w:val="000000"/>
                <w:sz w:val="20"/>
              </w:rPr>
            </w:pPr>
            <w:r w:rsidRPr="004728D6">
              <w:rPr>
                <w:color w:val="000000"/>
                <w:sz w:val="20"/>
              </w:rPr>
              <w:t>Assisted Living Facility</w:t>
            </w:r>
          </w:p>
        </w:tc>
        <w:tc>
          <w:tcPr>
            <w:tcW w:w="2448" w:type="dxa"/>
            <w:tcBorders>
              <w:top w:val="nil"/>
              <w:left w:val="nil"/>
              <w:bottom w:val="nil"/>
              <w:right w:val="nil"/>
            </w:tcBorders>
            <w:vAlign w:val="bottom"/>
          </w:tcPr>
          <w:p w14:paraId="231E69A1" w14:textId="77777777" w:rsidR="00AD58C9" w:rsidRPr="00873410" w:rsidRDefault="00AD58C9" w:rsidP="00AD58C9">
            <w:pPr>
              <w:spacing w:after="0" w:line="240" w:lineRule="auto"/>
              <w:jc w:val="center"/>
              <w:rPr>
                <w:sz w:val="20"/>
              </w:rPr>
            </w:pPr>
            <w:r w:rsidRPr="00873410">
              <w:rPr>
                <w:color w:val="000000"/>
                <w:sz w:val="20"/>
              </w:rPr>
              <w:t>20.9%</w:t>
            </w:r>
          </w:p>
        </w:tc>
        <w:tc>
          <w:tcPr>
            <w:tcW w:w="2360" w:type="dxa"/>
            <w:tcBorders>
              <w:top w:val="nil"/>
              <w:left w:val="nil"/>
              <w:bottom w:val="nil"/>
              <w:right w:val="nil"/>
            </w:tcBorders>
            <w:vAlign w:val="bottom"/>
          </w:tcPr>
          <w:p w14:paraId="60C7010E" w14:textId="77777777" w:rsidR="00AD58C9" w:rsidRPr="00873410" w:rsidRDefault="00AD58C9" w:rsidP="00AD58C9">
            <w:pPr>
              <w:spacing w:after="0" w:line="240" w:lineRule="auto"/>
              <w:jc w:val="center"/>
              <w:rPr>
                <w:sz w:val="20"/>
              </w:rPr>
            </w:pPr>
            <w:r w:rsidRPr="00873410">
              <w:rPr>
                <w:color w:val="000000"/>
                <w:sz w:val="20"/>
              </w:rPr>
              <w:t>25.3%</w:t>
            </w:r>
          </w:p>
        </w:tc>
      </w:tr>
      <w:tr w:rsidR="00AD58C9" w:rsidRPr="001D3149" w14:paraId="0E6C0F92"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50DA0E00" w14:textId="77777777" w:rsidR="00AD58C9" w:rsidRPr="004728D6" w:rsidRDefault="00AD58C9" w:rsidP="00AD58C9">
            <w:pPr>
              <w:spacing w:after="0" w:line="240" w:lineRule="auto"/>
              <w:rPr>
                <w:bCs/>
                <w:color w:val="000000"/>
                <w:sz w:val="20"/>
              </w:rPr>
            </w:pPr>
            <w:r w:rsidRPr="004728D6">
              <w:rPr>
                <w:color w:val="000000"/>
                <w:sz w:val="20"/>
              </w:rPr>
              <w:t>Non-Skilled Nursing Facility</w:t>
            </w:r>
          </w:p>
        </w:tc>
        <w:tc>
          <w:tcPr>
            <w:tcW w:w="2448" w:type="dxa"/>
            <w:tcBorders>
              <w:top w:val="nil"/>
              <w:left w:val="nil"/>
              <w:bottom w:val="nil"/>
              <w:right w:val="nil"/>
            </w:tcBorders>
            <w:vAlign w:val="bottom"/>
          </w:tcPr>
          <w:p w14:paraId="5857E652" w14:textId="77777777" w:rsidR="00AD58C9" w:rsidRPr="00873410" w:rsidRDefault="00AD58C9" w:rsidP="00AD58C9">
            <w:pPr>
              <w:spacing w:after="0" w:line="240" w:lineRule="auto"/>
              <w:jc w:val="center"/>
              <w:rPr>
                <w:sz w:val="20"/>
              </w:rPr>
            </w:pPr>
            <w:r w:rsidRPr="00873410">
              <w:rPr>
                <w:color w:val="000000"/>
                <w:sz w:val="20"/>
              </w:rPr>
              <w:t>21.0%</w:t>
            </w:r>
          </w:p>
        </w:tc>
        <w:tc>
          <w:tcPr>
            <w:tcW w:w="2360" w:type="dxa"/>
            <w:tcBorders>
              <w:top w:val="nil"/>
              <w:left w:val="nil"/>
              <w:bottom w:val="nil"/>
              <w:right w:val="nil"/>
            </w:tcBorders>
            <w:vAlign w:val="bottom"/>
          </w:tcPr>
          <w:p w14:paraId="3F2BCD34" w14:textId="77777777" w:rsidR="00AD58C9" w:rsidRPr="00873410" w:rsidRDefault="00AD58C9" w:rsidP="00AD58C9">
            <w:pPr>
              <w:spacing w:after="0" w:line="240" w:lineRule="auto"/>
              <w:jc w:val="center"/>
              <w:rPr>
                <w:sz w:val="20"/>
              </w:rPr>
            </w:pPr>
            <w:r w:rsidRPr="00873410">
              <w:rPr>
                <w:color w:val="000000"/>
                <w:sz w:val="20"/>
              </w:rPr>
              <w:t>19.1%</w:t>
            </w:r>
          </w:p>
        </w:tc>
      </w:tr>
      <w:tr w:rsidR="00AD58C9" w:rsidRPr="001D3149" w14:paraId="1EAFD0A1"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629E190C" w14:textId="77777777" w:rsidR="00AD58C9" w:rsidRPr="004728D6" w:rsidRDefault="00AD58C9" w:rsidP="00AD58C9">
            <w:pPr>
              <w:spacing w:after="0" w:line="240" w:lineRule="auto"/>
              <w:rPr>
                <w:bCs/>
                <w:color w:val="000000"/>
                <w:sz w:val="20"/>
              </w:rPr>
            </w:pPr>
            <w:r w:rsidRPr="004728D6">
              <w:rPr>
                <w:color w:val="000000"/>
                <w:sz w:val="20"/>
              </w:rPr>
              <w:t>Skilled Nursing Facility</w:t>
            </w:r>
          </w:p>
        </w:tc>
        <w:tc>
          <w:tcPr>
            <w:tcW w:w="2448" w:type="dxa"/>
            <w:tcBorders>
              <w:top w:val="nil"/>
              <w:left w:val="nil"/>
              <w:bottom w:val="nil"/>
              <w:right w:val="nil"/>
            </w:tcBorders>
            <w:vAlign w:val="bottom"/>
          </w:tcPr>
          <w:p w14:paraId="6633C65C" w14:textId="77777777" w:rsidR="00AD58C9" w:rsidRPr="00873410" w:rsidRDefault="00AD58C9" w:rsidP="00AD58C9">
            <w:pPr>
              <w:spacing w:after="0" w:line="240" w:lineRule="auto"/>
              <w:jc w:val="center"/>
              <w:rPr>
                <w:sz w:val="20"/>
              </w:rPr>
            </w:pPr>
            <w:r w:rsidRPr="00873410">
              <w:rPr>
                <w:color w:val="000000"/>
                <w:sz w:val="20"/>
              </w:rPr>
              <w:t>14.9%</w:t>
            </w:r>
          </w:p>
        </w:tc>
        <w:tc>
          <w:tcPr>
            <w:tcW w:w="2360" w:type="dxa"/>
            <w:tcBorders>
              <w:top w:val="nil"/>
              <w:left w:val="nil"/>
              <w:bottom w:val="nil"/>
              <w:right w:val="nil"/>
            </w:tcBorders>
            <w:vAlign w:val="bottom"/>
          </w:tcPr>
          <w:p w14:paraId="6B4DB1ED" w14:textId="77777777" w:rsidR="00AD58C9" w:rsidRPr="00873410" w:rsidRDefault="00AD58C9" w:rsidP="00AD58C9">
            <w:pPr>
              <w:spacing w:after="0" w:line="240" w:lineRule="auto"/>
              <w:jc w:val="center"/>
              <w:rPr>
                <w:sz w:val="20"/>
              </w:rPr>
            </w:pPr>
            <w:r w:rsidRPr="00873410">
              <w:rPr>
                <w:color w:val="000000"/>
                <w:sz w:val="20"/>
              </w:rPr>
              <w:t>14.4%</w:t>
            </w:r>
          </w:p>
        </w:tc>
      </w:tr>
      <w:tr w:rsidR="00AD58C9" w:rsidRPr="001D3149" w14:paraId="3E2537A5"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59E369F5" w14:textId="77777777" w:rsidR="00AD58C9" w:rsidRPr="004728D6" w:rsidRDefault="00AD58C9" w:rsidP="00AD58C9">
            <w:pPr>
              <w:spacing w:after="0" w:line="240" w:lineRule="auto"/>
              <w:rPr>
                <w:bCs/>
                <w:color w:val="000000"/>
                <w:sz w:val="20"/>
              </w:rPr>
            </w:pPr>
            <w:r w:rsidRPr="004728D6">
              <w:rPr>
                <w:color w:val="000000"/>
                <w:sz w:val="20"/>
              </w:rPr>
              <w:t>Inpatient (Acute Care) Hospital</w:t>
            </w:r>
          </w:p>
        </w:tc>
        <w:tc>
          <w:tcPr>
            <w:tcW w:w="2448" w:type="dxa"/>
            <w:tcBorders>
              <w:top w:val="nil"/>
              <w:left w:val="nil"/>
              <w:bottom w:val="nil"/>
              <w:right w:val="nil"/>
            </w:tcBorders>
            <w:vAlign w:val="bottom"/>
          </w:tcPr>
          <w:p w14:paraId="0464C20F" w14:textId="77777777" w:rsidR="00AD58C9" w:rsidRPr="00873410" w:rsidRDefault="00AD58C9" w:rsidP="00AD58C9">
            <w:pPr>
              <w:spacing w:after="0" w:line="240" w:lineRule="auto"/>
              <w:jc w:val="center"/>
              <w:rPr>
                <w:sz w:val="20"/>
              </w:rPr>
            </w:pPr>
            <w:r w:rsidRPr="00873410">
              <w:rPr>
                <w:color w:val="000000"/>
                <w:sz w:val="20"/>
              </w:rPr>
              <w:t>1.9%</w:t>
            </w:r>
          </w:p>
        </w:tc>
        <w:tc>
          <w:tcPr>
            <w:tcW w:w="2360" w:type="dxa"/>
            <w:tcBorders>
              <w:top w:val="nil"/>
              <w:left w:val="nil"/>
              <w:bottom w:val="nil"/>
              <w:right w:val="nil"/>
            </w:tcBorders>
            <w:vAlign w:val="bottom"/>
          </w:tcPr>
          <w:p w14:paraId="28757C10" w14:textId="77777777" w:rsidR="00AD58C9" w:rsidRPr="00873410" w:rsidRDefault="00AD58C9" w:rsidP="00AD58C9">
            <w:pPr>
              <w:spacing w:after="0" w:line="240" w:lineRule="auto"/>
              <w:jc w:val="center"/>
              <w:rPr>
                <w:sz w:val="20"/>
              </w:rPr>
            </w:pPr>
            <w:r w:rsidRPr="00873410">
              <w:rPr>
                <w:color w:val="000000"/>
                <w:sz w:val="20"/>
              </w:rPr>
              <w:t>1.3%</w:t>
            </w:r>
          </w:p>
        </w:tc>
      </w:tr>
      <w:tr w:rsidR="00AD58C9" w:rsidRPr="001D3149" w14:paraId="64D6A384"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center"/>
          </w:tcPr>
          <w:p w14:paraId="34D499DF" w14:textId="77777777" w:rsidR="00AD58C9" w:rsidRPr="004728D6" w:rsidRDefault="00AD58C9" w:rsidP="00AD58C9">
            <w:pPr>
              <w:spacing w:after="0" w:line="240" w:lineRule="auto"/>
              <w:rPr>
                <w:bCs/>
                <w:color w:val="000000"/>
                <w:sz w:val="20"/>
              </w:rPr>
            </w:pPr>
            <w:r w:rsidRPr="004728D6">
              <w:rPr>
                <w:color w:val="000000"/>
                <w:sz w:val="20"/>
              </w:rPr>
              <w:t>Inpatient Hospice Facility</w:t>
            </w:r>
          </w:p>
        </w:tc>
        <w:tc>
          <w:tcPr>
            <w:tcW w:w="2448" w:type="dxa"/>
            <w:tcBorders>
              <w:top w:val="nil"/>
              <w:left w:val="nil"/>
              <w:bottom w:val="nil"/>
              <w:right w:val="nil"/>
            </w:tcBorders>
            <w:vAlign w:val="bottom"/>
          </w:tcPr>
          <w:p w14:paraId="5B1FCD30" w14:textId="77777777" w:rsidR="00AD58C9" w:rsidRPr="00873410" w:rsidRDefault="00AD58C9" w:rsidP="00AD58C9">
            <w:pPr>
              <w:spacing w:after="0" w:line="240" w:lineRule="auto"/>
              <w:jc w:val="center"/>
              <w:rPr>
                <w:sz w:val="20"/>
              </w:rPr>
            </w:pPr>
            <w:r w:rsidRPr="00873410">
              <w:rPr>
                <w:color w:val="000000"/>
                <w:sz w:val="20"/>
              </w:rPr>
              <w:t>2.9%</w:t>
            </w:r>
          </w:p>
        </w:tc>
        <w:tc>
          <w:tcPr>
            <w:tcW w:w="2360" w:type="dxa"/>
            <w:tcBorders>
              <w:top w:val="nil"/>
              <w:left w:val="nil"/>
              <w:bottom w:val="nil"/>
              <w:right w:val="nil"/>
            </w:tcBorders>
            <w:vAlign w:val="bottom"/>
          </w:tcPr>
          <w:p w14:paraId="6E0F87B9" w14:textId="77777777" w:rsidR="00AD58C9" w:rsidRPr="00873410" w:rsidRDefault="00AD58C9" w:rsidP="00AD58C9">
            <w:pPr>
              <w:spacing w:after="0" w:line="240" w:lineRule="auto"/>
              <w:jc w:val="center"/>
              <w:rPr>
                <w:sz w:val="20"/>
              </w:rPr>
            </w:pPr>
            <w:r w:rsidRPr="00873410">
              <w:rPr>
                <w:color w:val="000000"/>
                <w:sz w:val="20"/>
              </w:rPr>
              <w:t>1.5%</w:t>
            </w:r>
          </w:p>
        </w:tc>
      </w:tr>
      <w:tr w:rsidR="00AD58C9" w:rsidRPr="001D3149" w14:paraId="187F946F"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tcPr>
          <w:p w14:paraId="194BDA98" w14:textId="77777777" w:rsidR="00AD58C9" w:rsidRPr="004728D6" w:rsidRDefault="00AD58C9" w:rsidP="00AD58C9">
            <w:pPr>
              <w:spacing w:after="0" w:line="240" w:lineRule="auto"/>
              <w:rPr>
                <w:bCs/>
                <w:color w:val="000000"/>
                <w:sz w:val="20"/>
              </w:rPr>
            </w:pPr>
            <w:r w:rsidRPr="004728D6">
              <w:rPr>
                <w:color w:val="000000"/>
                <w:sz w:val="20"/>
              </w:rPr>
              <w:t>Other/Unknown</w:t>
            </w:r>
          </w:p>
        </w:tc>
        <w:tc>
          <w:tcPr>
            <w:tcW w:w="2448" w:type="dxa"/>
            <w:tcBorders>
              <w:top w:val="nil"/>
              <w:left w:val="nil"/>
              <w:bottom w:val="nil"/>
              <w:right w:val="nil"/>
            </w:tcBorders>
          </w:tcPr>
          <w:p w14:paraId="0E0DB251" w14:textId="77777777" w:rsidR="00AD58C9" w:rsidRPr="00873410" w:rsidRDefault="00AD58C9" w:rsidP="00AD58C9">
            <w:pPr>
              <w:spacing w:after="0" w:line="240" w:lineRule="auto"/>
              <w:jc w:val="center"/>
              <w:rPr>
                <w:sz w:val="20"/>
              </w:rPr>
            </w:pPr>
            <w:r w:rsidRPr="00873410">
              <w:rPr>
                <w:sz w:val="20"/>
              </w:rPr>
              <w:t>4.1%</w:t>
            </w:r>
          </w:p>
        </w:tc>
        <w:tc>
          <w:tcPr>
            <w:tcW w:w="2360" w:type="dxa"/>
            <w:tcBorders>
              <w:top w:val="nil"/>
              <w:left w:val="nil"/>
              <w:bottom w:val="nil"/>
              <w:right w:val="nil"/>
            </w:tcBorders>
          </w:tcPr>
          <w:p w14:paraId="3E7E90A3" w14:textId="77777777" w:rsidR="00AD58C9" w:rsidRPr="00873410" w:rsidRDefault="00AD58C9" w:rsidP="00AD58C9">
            <w:pPr>
              <w:spacing w:after="0" w:line="240" w:lineRule="auto"/>
              <w:jc w:val="center"/>
              <w:rPr>
                <w:sz w:val="20"/>
              </w:rPr>
            </w:pPr>
            <w:r w:rsidRPr="00873410">
              <w:rPr>
                <w:sz w:val="20"/>
              </w:rPr>
              <w:t>8.6%</w:t>
            </w:r>
          </w:p>
        </w:tc>
      </w:tr>
      <w:tr w:rsidR="00AD58C9" w:rsidRPr="001D3149" w14:paraId="470D90F4" w14:textId="77777777" w:rsidTr="00AA0EB2">
        <w:trPr>
          <w:trHeight w:val="20"/>
          <w:jc w:val="center"/>
        </w:trPr>
        <w:tc>
          <w:tcPr>
            <w:tcW w:w="3457" w:type="dxa"/>
            <w:tcBorders>
              <w:top w:val="nil"/>
              <w:left w:val="nil"/>
              <w:bottom w:val="nil"/>
              <w:right w:val="nil"/>
            </w:tcBorders>
            <w:shd w:val="clear" w:color="auto" w:fill="auto"/>
            <w:noWrap/>
            <w:vAlign w:val="bottom"/>
            <w:hideMark/>
          </w:tcPr>
          <w:p w14:paraId="716E2A48" w14:textId="77777777" w:rsidR="00AD58C9" w:rsidRPr="004728D6" w:rsidRDefault="00AD58C9" w:rsidP="00AD58C9">
            <w:pPr>
              <w:spacing w:after="0" w:line="240" w:lineRule="auto"/>
              <w:rPr>
                <w:bCs/>
                <w:color w:val="000000"/>
                <w:sz w:val="20"/>
              </w:rPr>
            </w:pPr>
            <w:r w:rsidRPr="004728D6">
              <w:rPr>
                <w:color w:val="000000"/>
                <w:sz w:val="20"/>
              </w:rPr>
              <w:t>Hospice Length of Stay (days)</w:t>
            </w:r>
          </w:p>
        </w:tc>
        <w:tc>
          <w:tcPr>
            <w:tcW w:w="2448" w:type="dxa"/>
            <w:tcBorders>
              <w:top w:val="nil"/>
              <w:left w:val="nil"/>
              <w:bottom w:val="nil"/>
              <w:right w:val="nil"/>
            </w:tcBorders>
            <w:vAlign w:val="bottom"/>
          </w:tcPr>
          <w:p w14:paraId="2A5902B2" w14:textId="77777777" w:rsidR="00AD58C9" w:rsidRPr="00873410" w:rsidRDefault="00AD58C9" w:rsidP="00AD58C9">
            <w:pPr>
              <w:spacing w:after="0" w:line="240" w:lineRule="auto"/>
              <w:rPr>
                <w:sz w:val="20"/>
              </w:rPr>
            </w:pPr>
          </w:p>
        </w:tc>
        <w:tc>
          <w:tcPr>
            <w:tcW w:w="2360" w:type="dxa"/>
            <w:tcBorders>
              <w:top w:val="nil"/>
              <w:left w:val="nil"/>
              <w:bottom w:val="nil"/>
              <w:right w:val="nil"/>
            </w:tcBorders>
            <w:vAlign w:val="bottom"/>
          </w:tcPr>
          <w:p w14:paraId="33C927ED" w14:textId="77777777" w:rsidR="00AD58C9" w:rsidRPr="00873410" w:rsidRDefault="00AD58C9" w:rsidP="00AD58C9">
            <w:pPr>
              <w:spacing w:after="0" w:line="240" w:lineRule="auto"/>
              <w:rPr>
                <w:sz w:val="20"/>
              </w:rPr>
            </w:pPr>
          </w:p>
        </w:tc>
      </w:tr>
      <w:tr w:rsidR="00AD58C9" w:rsidRPr="001D3149" w14:paraId="6FB3AF1E"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hideMark/>
          </w:tcPr>
          <w:p w14:paraId="6E7EC305" w14:textId="77777777" w:rsidR="00AD58C9" w:rsidRPr="004728D6" w:rsidRDefault="00AD58C9" w:rsidP="00AD58C9">
            <w:pPr>
              <w:spacing w:after="0" w:line="240" w:lineRule="auto"/>
              <w:rPr>
                <w:color w:val="000000"/>
                <w:sz w:val="20"/>
              </w:rPr>
            </w:pPr>
            <w:r w:rsidRPr="004728D6">
              <w:rPr>
                <w:color w:val="000000"/>
                <w:sz w:val="20"/>
              </w:rPr>
              <w:t xml:space="preserve">≤7 </w:t>
            </w:r>
          </w:p>
        </w:tc>
        <w:tc>
          <w:tcPr>
            <w:tcW w:w="2448" w:type="dxa"/>
            <w:tcBorders>
              <w:top w:val="nil"/>
              <w:left w:val="nil"/>
              <w:bottom w:val="nil"/>
              <w:right w:val="nil"/>
            </w:tcBorders>
            <w:vAlign w:val="bottom"/>
          </w:tcPr>
          <w:p w14:paraId="100C839E" w14:textId="77777777" w:rsidR="00AD58C9" w:rsidRPr="00873410" w:rsidRDefault="00AD58C9" w:rsidP="00AD58C9">
            <w:pPr>
              <w:spacing w:after="0" w:line="240" w:lineRule="auto"/>
              <w:jc w:val="center"/>
              <w:rPr>
                <w:color w:val="000000"/>
                <w:sz w:val="20"/>
              </w:rPr>
            </w:pPr>
            <w:r w:rsidRPr="00873410">
              <w:rPr>
                <w:color w:val="000000"/>
                <w:sz w:val="20"/>
              </w:rPr>
              <w:t>1.1%</w:t>
            </w:r>
          </w:p>
        </w:tc>
        <w:tc>
          <w:tcPr>
            <w:tcW w:w="2360" w:type="dxa"/>
            <w:tcBorders>
              <w:top w:val="nil"/>
              <w:left w:val="nil"/>
              <w:bottom w:val="nil"/>
              <w:right w:val="nil"/>
            </w:tcBorders>
            <w:vAlign w:val="bottom"/>
          </w:tcPr>
          <w:p w14:paraId="4B21EDFC" w14:textId="77777777" w:rsidR="00AD58C9" w:rsidRPr="00873410" w:rsidRDefault="00AD58C9" w:rsidP="00AD58C9">
            <w:pPr>
              <w:spacing w:after="0" w:line="240" w:lineRule="auto"/>
              <w:jc w:val="center"/>
              <w:rPr>
                <w:color w:val="000000"/>
                <w:sz w:val="20"/>
              </w:rPr>
            </w:pPr>
            <w:r w:rsidRPr="00873410">
              <w:rPr>
                <w:color w:val="000000"/>
                <w:sz w:val="20"/>
              </w:rPr>
              <w:t>1.3%</w:t>
            </w:r>
          </w:p>
        </w:tc>
      </w:tr>
      <w:tr w:rsidR="00AD58C9" w:rsidRPr="001D3149" w14:paraId="51A2D99F"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hideMark/>
          </w:tcPr>
          <w:p w14:paraId="5B51F22E" w14:textId="77777777" w:rsidR="00AD58C9" w:rsidRPr="004728D6" w:rsidRDefault="00AD58C9" w:rsidP="00AD58C9">
            <w:pPr>
              <w:spacing w:after="0" w:line="240" w:lineRule="auto"/>
              <w:rPr>
                <w:color w:val="000000"/>
                <w:sz w:val="20"/>
              </w:rPr>
            </w:pPr>
            <w:r w:rsidRPr="004728D6">
              <w:rPr>
                <w:color w:val="000000"/>
                <w:sz w:val="20"/>
              </w:rPr>
              <w:t xml:space="preserve">8-14 </w:t>
            </w:r>
          </w:p>
        </w:tc>
        <w:tc>
          <w:tcPr>
            <w:tcW w:w="2448" w:type="dxa"/>
            <w:tcBorders>
              <w:top w:val="nil"/>
              <w:left w:val="nil"/>
              <w:bottom w:val="nil"/>
              <w:right w:val="nil"/>
            </w:tcBorders>
            <w:vAlign w:val="bottom"/>
          </w:tcPr>
          <w:p w14:paraId="71C4B848" w14:textId="77777777" w:rsidR="00AD58C9" w:rsidRPr="00873410" w:rsidRDefault="00AD58C9" w:rsidP="00AD58C9">
            <w:pPr>
              <w:spacing w:after="0" w:line="240" w:lineRule="auto"/>
              <w:jc w:val="center"/>
              <w:rPr>
                <w:color w:val="000000"/>
                <w:sz w:val="20"/>
              </w:rPr>
            </w:pPr>
            <w:r w:rsidRPr="00873410">
              <w:rPr>
                <w:color w:val="000000"/>
                <w:sz w:val="20"/>
              </w:rPr>
              <w:t>3.6%</w:t>
            </w:r>
          </w:p>
        </w:tc>
        <w:tc>
          <w:tcPr>
            <w:tcW w:w="2360" w:type="dxa"/>
            <w:tcBorders>
              <w:top w:val="nil"/>
              <w:left w:val="nil"/>
              <w:bottom w:val="nil"/>
              <w:right w:val="nil"/>
            </w:tcBorders>
            <w:vAlign w:val="bottom"/>
          </w:tcPr>
          <w:p w14:paraId="22DE9FBD" w14:textId="77777777" w:rsidR="00AD58C9" w:rsidRPr="00873410" w:rsidRDefault="00AD58C9" w:rsidP="00AD58C9">
            <w:pPr>
              <w:spacing w:after="0" w:line="240" w:lineRule="auto"/>
              <w:jc w:val="center"/>
              <w:rPr>
                <w:color w:val="000000"/>
                <w:sz w:val="20"/>
              </w:rPr>
            </w:pPr>
            <w:r w:rsidRPr="00873410">
              <w:rPr>
                <w:color w:val="000000"/>
                <w:sz w:val="20"/>
              </w:rPr>
              <w:t>4.3%</w:t>
            </w:r>
          </w:p>
        </w:tc>
      </w:tr>
      <w:tr w:rsidR="00AD58C9" w:rsidRPr="001D3149" w14:paraId="75438E52"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hideMark/>
          </w:tcPr>
          <w:p w14:paraId="6F8378EF" w14:textId="77777777" w:rsidR="00AD58C9" w:rsidRPr="004728D6" w:rsidRDefault="00AD58C9" w:rsidP="00AD58C9">
            <w:pPr>
              <w:spacing w:after="0" w:line="240" w:lineRule="auto"/>
              <w:rPr>
                <w:color w:val="000000"/>
                <w:sz w:val="20"/>
              </w:rPr>
            </w:pPr>
            <w:r w:rsidRPr="004728D6">
              <w:rPr>
                <w:color w:val="000000"/>
                <w:sz w:val="20"/>
              </w:rPr>
              <w:t>15-29</w:t>
            </w:r>
          </w:p>
        </w:tc>
        <w:tc>
          <w:tcPr>
            <w:tcW w:w="2448" w:type="dxa"/>
            <w:tcBorders>
              <w:top w:val="nil"/>
              <w:left w:val="nil"/>
              <w:bottom w:val="nil"/>
              <w:right w:val="nil"/>
            </w:tcBorders>
            <w:vAlign w:val="bottom"/>
          </w:tcPr>
          <w:p w14:paraId="21C3504D" w14:textId="77777777" w:rsidR="00AD58C9" w:rsidRPr="00873410" w:rsidRDefault="00AD58C9" w:rsidP="00AD58C9">
            <w:pPr>
              <w:spacing w:after="0" w:line="240" w:lineRule="auto"/>
              <w:jc w:val="center"/>
              <w:rPr>
                <w:color w:val="000000"/>
                <w:sz w:val="20"/>
              </w:rPr>
            </w:pPr>
            <w:r w:rsidRPr="00873410">
              <w:rPr>
                <w:color w:val="000000"/>
                <w:sz w:val="20"/>
              </w:rPr>
              <w:t>7.2%</w:t>
            </w:r>
          </w:p>
        </w:tc>
        <w:tc>
          <w:tcPr>
            <w:tcW w:w="2360" w:type="dxa"/>
            <w:tcBorders>
              <w:top w:val="nil"/>
              <w:left w:val="nil"/>
              <w:bottom w:val="nil"/>
              <w:right w:val="nil"/>
            </w:tcBorders>
            <w:vAlign w:val="bottom"/>
          </w:tcPr>
          <w:p w14:paraId="5CEC6DF7" w14:textId="77777777" w:rsidR="00AD58C9" w:rsidRPr="00873410" w:rsidRDefault="00AD58C9" w:rsidP="00AD58C9">
            <w:pPr>
              <w:spacing w:after="0" w:line="240" w:lineRule="auto"/>
              <w:jc w:val="center"/>
              <w:rPr>
                <w:color w:val="000000"/>
                <w:sz w:val="20"/>
              </w:rPr>
            </w:pPr>
            <w:r w:rsidRPr="00873410">
              <w:rPr>
                <w:color w:val="000000"/>
                <w:sz w:val="20"/>
              </w:rPr>
              <w:t>10.3%</w:t>
            </w:r>
          </w:p>
        </w:tc>
      </w:tr>
      <w:tr w:rsidR="00AD58C9" w:rsidRPr="001D3149" w14:paraId="6FCDF3C1"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hideMark/>
          </w:tcPr>
          <w:p w14:paraId="3BB7C7B7" w14:textId="77777777" w:rsidR="00AD58C9" w:rsidRPr="004728D6" w:rsidRDefault="00AD58C9" w:rsidP="00AD58C9">
            <w:pPr>
              <w:spacing w:after="0" w:line="240" w:lineRule="auto"/>
              <w:rPr>
                <w:color w:val="000000"/>
                <w:sz w:val="20"/>
              </w:rPr>
            </w:pPr>
            <w:r w:rsidRPr="004728D6">
              <w:rPr>
                <w:color w:val="000000"/>
                <w:sz w:val="20"/>
              </w:rPr>
              <w:t xml:space="preserve">30-89 </w:t>
            </w:r>
          </w:p>
        </w:tc>
        <w:tc>
          <w:tcPr>
            <w:tcW w:w="2448" w:type="dxa"/>
            <w:tcBorders>
              <w:top w:val="nil"/>
              <w:left w:val="nil"/>
              <w:bottom w:val="nil"/>
              <w:right w:val="nil"/>
            </w:tcBorders>
            <w:vAlign w:val="bottom"/>
          </w:tcPr>
          <w:p w14:paraId="14758EED" w14:textId="77777777" w:rsidR="00AD58C9" w:rsidRPr="00873410" w:rsidRDefault="00AD58C9" w:rsidP="00AD58C9">
            <w:pPr>
              <w:spacing w:after="0" w:line="240" w:lineRule="auto"/>
              <w:jc w:val="center"/>
              <w:rPr>
                <w:color w:val="000000"/>
                <w:sz w:val="20"/>
              </w:rPr>
            </w:pPr>
            <w:r w:rsidRPr="00873410">
              <w:rPr>
                <w:color w:val="000000"/>
                <w:sz w:val="20"/>
              </w:rPr>
              <w:t>21.2%</w:t>
            </w:r>
          </w:p>
        </w:tc>
        <w:tc>
          <w:tcPr>
            <w:tcW w:w="2360" w:type="dxa"/>
            <w:tcBorders>
              <w:top w:val="nil"/>
              <w:left w:val="nil"/>
              <w:bottom w:val="nil"/>
              <w:right w:val="nil"/>
            </w:tcBorders>
            <w:vAlign w:val="bottom"/>
          </w:tcPr>
          <w:p w14:paraId="7CF8CC99" w14:textId="77777777" w:rsidR="00AD58C9" w:rsidRPr="00873410" w:rsidRDefault="00AD58C9" w:rsidP="00AD58C9">
            <w:pPr>
              <w:spacing w:after="0" w:line="240" w:lineRule="auto"/>
              <w:jc w:val="center"/>
              <w:rPr>
                <w:color w:val="000000"/>
                <w:sz w:val="20"/>
              </w:rPr>
            </w:pPr>
            <w:r w:rsidRPr="00873410">
              <w:rPr>
                <w:color w:val="000000"/>
                <w:sz w:val="20"/>
              </w:rPr>
              <w:t>26.4%</w:t>
            </w:r>
          </w:p>
        </w:tc>
      </w:tr>
      <w:tr w:rsidR="00AD58C9" w:rsidRPr="001D3149" w14:paraId="17F58E68"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hideMark/>
          </w:tcPr>
          <w:p w14:paraId="4B0D1BCA" w14:textId="77777777" w:rsidR="00AD58C9" w:rsidRPr="004728D6" w:rsidRDefault="00AD58C9" w:rsidP="00AD58C9">
            <w:pPr>
              <w:spacing w:after="0" w:line="240" w:lineRule="auto"/>
              <w:rPr>
                <w:color w:val="000000"/>
                <w:sz w:val="20"/>
              </w:rPr>
            </w:pPr>
            <w:r w:rsidRPr="004728D6">
              <w:rPr>
                <w:color w:val="000000"/>
                <w:sz w:val="20"/>
              </w:rPr>
              <w:t>90-179</w:t>
            </w:r>
          </w:p>
        </w:tc>
        <w:tc>
          <w:tcPr>
            <w:tcW w:w="2448" w:type="dxa"/>
            <w:tcBorders>
              <w:top w:val="nil"/>
              <w:left w:val="nil"/>
              <w:bottom w:val="nil"/>
              <w:right w:val="nil"/>
            </w:tcBorders>
            <w:vAlign w:val="bottom"/>
          </w:tcPr>
          <w:p w14:paraId="50EFE4C8" w14:textId="77777777" w:rsidR="00AD58C9" w:rsidRPr="00873410" w:rsidRDefault="00AD58C9" w:rsidP="00AD58C9">
            <w:pPr>
              <w:spacing w:after="0" w:line="240" w:lineRule="auto"/>
              <w:jc w:val="center"/>
              <w:rPr>
                <w:color w:val="000000"/>
                <w:sz w:val="20"/>
              </w:rPr>
            </w:pPr>
            <w:r w:rsidRPr="00873410">
              <w:rPr>
                <w:color w:val="000000"/>
                <w:sz w:val="20"/>
              </w:rPr>
              <w:t>36.6%</w:t>
            </w:r>
          </w:p>
        </w:tc>
        <w:tc>
          <w:tcPr>
            <w:tcW w:w="2360" w:type="dxa"/>
            <w:tcBorders>
              <w:top w:val="nil"/>
              <w:left w:val="nil"/>
              <w:bottom w:val="nil"/>
              <w:right w:val="nil"/>
            </w:tcBorders>
            <w:vAlign w:val="bottom"/>
          </w:tcPr>
          <w:p w14:paraId="1E28A2AD" w14:textId="77777777" w:rsidR="00AD58C9" w:rsidRPr="00873410" w:rsidRDefault="00AD58C9" w:rsidP="00AD58C9">
            <w:pPr>
              <w:spacing w:after="0" w:line="240" w:lineRule="auto"/>
              <w:jc w:val="center"/>
              <w:rPr>
                <w:color w:val="000000"/>
                <w:sz w:val="20"/>
              </w:rPr>
            </w:pPr>
            <w:r w:rsidRPr="00873410">
              <w:rPr>
                <w:color w:val="000000"/>
                <w:sz w:val="20"/>
              </w:rPr>
              <w:t>38.4%</w:t>
            </w:r>
          </w:p>
        </w:tc>
      </w:tr>
      <w:tr w:rsidR="00AD58C9" w:rsidRPr="001D3149" w14:paraId="2036085A"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hideMark/>
          </w:tcPr>
          <w:p w14:paraId="4264F12A" w14:textId="77777777" w:rsidR="00AD58C9" w:rsidRPr="004728D6" w:rsidRDefault="00AD58C9" w:rsidP="00AD58C9">
            <w:pPr>
              <w:spacing w:after="0" w:line="240" w:lineRule="auto"/>
              <w:rPr>
                <w:color w:val="000000"/>
                <w:sz w:val="20"/>
              </w:rPr>
            </w:pPr>
            <w:r>
              <w:rPr>
                <w:sz w:val="20"/>
              </w:rPr>
              <w:t>≥</w:t>
            </w:r>
            <w:r>
              <w:rPr>
                <w:color w:val="000000"/>
                <w:sz w:val="20"/>
              </w:rPr>
              <w:t>180</w:t>
            </w:r>
          </w:p>
        </w:tc>
        <w:tc>
          <w:tcPr>
            <w:tcW w:w="2448" w:type="dxa"/>
            <w:tcBorders>
              <w:top w:val="nil"/>
              <w:left w:val="nil"/>
              <w:bottom w:val="nil"/>
              <w:right w:val="nil"/>
            </w:tcBorders>
            <w:vAlign w:val="bottom"/>
          </w:tcPr>
          <w:p w14:paraId="3584B9BE" w14:textId="77777777" w:rsidR="00AD58C9" w:rsidRPr="00873410" w:rsidRDefault="00AD58C9" w:rsidP="00AD58C9">
            <w:pPr>
              <w:spacing w:after="0" w:line="240" w:lineRule="auto"/>
              <w:jc w:val="center"/>
              <w:rPr>
                <w:color w:val="000000"/>
                <w:sz w:val="20"/>
              </w:rPr>
            </w:pPr>
            <w:r w:rsidRPr="00873410">
              <w:rPr>
                <w:color w:val="000000"/>
                <w:sz w:val="20"/>
              </w:rPr>
              <w:t>49.2%</w:t>
            </w:r>
          </w:p>
        </w:tc>
        <w:tc>
          <w:tcPr>
            <w:tcW w:w="2360" w:type="dxa"/>
            <w:tcBorders>
              <w:top w:val="nil"/>
              <w:left w:val="nil"/>
              <w:bottom w:val="nil"/>
              <w:right w:val="nil"/>
            </w:tcBorders>
            <w:vAlign w:val="bottom"/>
          </w:tcPr>
          <w:p w14:paraId="3FD66D90" w14:textId="77777777" w:rsidR="00AD58C9" w:rsidRPr="00873410" w:rsidRDefault="00AD58C9" w:rsidP="00AD58C9">
            <w:pPr>
              <w:spacing w:after="0" w:line="240" w:lineRule="auto"/>
              <w:jc w:val="center"/>
              <w:rPr>
                <w:color w:val="000000"/>
                <w:sz w:val="20"/>
              </w:rPr>
            </w:pPr>
            <w:r w:rsidRPr="00873410">
              <w:rPr>
                <w:color w:val="000000"/>
                <w:sz w:val="20"/>
              </w:rPr>
              <w:t>45.5%</w:t>
            </w:r>
          </w:p>
        </w:tc>
      </w:tr>
      <w:tr w:rsidR="00AD58C9" w:rsidRPr="001D3149" w14:paraId="33BE4C72" w14:textId="77777777" w:rsidTr="00AA0EB2">
        <w:trPr>
          <w:trHeight w:val="20"/>
          <w:jc w:val="center"/>
        </w:trPr>
        <w:tc>
          <w:tcPr>
            <w:tcW w:w="3457" w:type="dxa"/>
            <w:tcBorders>
              <w:top w:val="nil"/>
              <w:left w:val="nil"/>
              <w:bottom w:val="nil"/>
              <w:right w:val="nil"/>
            </w:tcBorders>
            <w:shd w:val="clear" w:color="auto" w:fill="auto"/>
            <w:tcMar>
              <w:left w:w="115" w:type="dxa"/>
              <w:right w:w="115" w:type="dxa"/>
            </w:tcMar>
            <w:vAlign w:val="center"/>
          </w:tcPr>
          <w:p w14:paraId="53EB32C5" w14:textId="77777777" w:rsidR="00AD58C9" w:rsidRPr="004728D6" w:rsidRDefault="00AD58C9" w:rsidP="00AD58C9">
            <w:pPr>
              <w:spacing w:after="0" w:line="240" w:lineRule="auto"/>
              <w:rPr>
                <w:color w:val="000000"/>
                <w:sz w:val="20"/>
              </w:rPr>
            </w:pPr>
            <w:r w:rsidRPr="004728D6">
              <w:rPr>
                <w:color w:val="000000"/>
                <w:sz w:val="20"/>
              </w:rPr>
              <w:t>Outpatient Providers in Year Prior to Admission</w:t>
            </w:r>
          </w:p>
        </w:tc>
        <w:tc>
          <w:tcPr>
            <w:tcW w:w="2448" w:type="dxa"/>
            <w:tcBorders>
              <w:top w:val="nil"/>
              <w:left w:val="nil"/>
              <w:bottom w:val="nil"/>
              <w:right w:val="nil"/>
            </w:tcBorders>
            <w:vAlign w:val="bottom"/>
          </w:tcPr>
          <w:p w14:paraId="010793C0" w14:textId="77777777" w:rsidR="00AD58C9" w:rsidRPr="00873410" w:rsidRDefault="00AD58C9" w:rsidP="00AD58C9">
            <w:pPr>
              <w:spacing w:after="0" w:line="240" w:lineRule="auto"/>
              <w:jc w:val="center"/>
              <w:rPr>
                <w:color w:val="000000"/>
                <w:sz w:val="20"/>
              </w:rPr>
            </w:pPr>
          </w:p>
        </w:tc>
        <w:tc>
          <w:tcPr>
            <w:tcW w:w="2360" w:type="dxa"/>
            <w:tcBorders>
              <w:top w:val="nil"/>
              <w:left w:val="nil"/>
              <w:bottom w:val="nil"/>
              <w:right w:val="nil"/>
            </w:tcBorders>
            <w:vAlign w:val="bottom"/>
          </w:tcPr>
          <w:p w14:paraId="1ABBDA9C" w14:textId="77777777" w:rsidR="00AD58C9" w:rsidRPr="00873410" w:rsidRDefault="00AD58C9" w:rsidP="00AD58C9">
            <w:pPr>
              <w:spacing w:after="0" w:line="240" w:lineRule="auto"/>
              <w:jc w:val="center"/>
              <w:rPr>
                <w:color w:val="000000"/>
                <w:sz w:val="20"/>
              </w:rPr>
            </w:pPr>
          </w:p>
        </w:tc>
      </w:tr>
      <w:tr w:rsidR="00AD58C9" w:rsidRPr="001D3149" w14:paraId="3BAD9FD8"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tcPr>
          <w:p w14:paraId="2687721E" w14:textId="77777777" w:rsidR="00AD58C9" w:rsidRPr="004728D6" w:rsidRDefault="00AD58C9" w:rsidP="00AD58C9">
            <w:pPr>
              <w:spacing w:after="0" w:line="240" w:lineRule="auto"/>
              <w:rPr>
                <w:color w:val="000000"/>
                <w:sz w:val="20"/>
              </w:rPr>
            </w:pPr>
            <w:r w:rsidRPr="004728D6">
              <w:rPr>
                <w:color w:val="000000"/>
                <w:sz w:val="20"/>
              </w:rPr>
              <w:t>1-3</w:t>
            </w:r>
          </w:p>
        </w:tc>
        <w:tc>
          <w:tcPr>
            <w:tcW w:w="2448" w:type="dxa"/>
            <w:tcBorders>
              <w:top w:val="nil"/>
              <w:left w:val="nil"/>
              <w:bottom w:val="nil"/>
              <w:right w:val="nil"/>
            </w:tcBorders>
            <w:vAlign w:val="bottom"/>
          </w:tcPr>
          <w:p w14:paraId="3531A9AD" w14:textId="77777777" w:rsidR="00AD58C9" w:rsidRPr="00873410" w:rsidRDefault="00AD58C9" w:rsidP="00AD58C9">
            <w:pPr>
              <w:spacing w:after="0" w:line="240" w:lineRule="auto"/>
              <w:jc w:val="center"/>
              <w:rPr>
                <w:color w:val="000000"/>
                <w:sz w:val="20"/>
              </w:rPr>
            </w:pPr>
            <w:r>
              <w:rPr>
                <w:color w:val="000000"/>
                <w:sz w:val="20"/>
              </w:rPr>
              <w:t>15.6%</w:t>
            </w:r>
          </w:p>
        </w:tc>
        <w:tc>
          <w:tcPr>
            <w:tcW w:w="2360" w:type="dxa"/>
            <w:tcBorders>
              <w:top w:val="nil"/>
              <w:left w:val="nil"/>
              <w:bottom w:val="nil"/>
              <w:right w:val="nil"/>
            </w:tcBorders>
            <w:vAlign w:val="bottom"/>
          </w:tcPr>
          <w:p w14:paraId="4D471997" w14:textId="77777777" w:rsidR="00AD58C9" w:rsidRPr="00873410" w:rsidRDefault="00AD58C9" w:rsidP="00AD58C9">
            <w:pPr>
              <w:spacing w:after="0" w:line="240" w:lineRule="auto"/>
              <w:jc w:val="center"/>
              <w:rPr>
                <w:color w:val="000000"/>
                <w:sz w:val="20"/>
              </w:rPr>
            </w:pPr>
            <w:r>
              <w:rPr>
                <w:color w:val="000000"/>
                <w:sz w:val="20"/>
              </w:rPr>
              <w:t>16.1%</w:t>
            </w:r>
          </w:p>
        </w:tc>
      </w:tr>
      <w:tr w:rsidR="00AD58C9" w:rsidRPr="001D3149" w14:paraId="0322B124"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tcPr>
          <w:p w14:paraId="0ED9E582" w14:textId="77777777" w:rsidR="00AD58C9" w:rsidRPr="004728D6" w:rsidRDefault="00AD58C9" w:rsidP="00AD58C9">
            <w:pPr>
              <w:spacing w:after="0" w:line="240" w:lineRule="auto"/>
              <w:rPr>
                <w:color w:val="000000"/>
                <w:sz w:val="20"/>
              </w:rPr>
            </w:pPr>
            <w:r w:rsidRPr="004728D6">
              <w:rPr>
                <w:color w:val="000000"/>
                <w:sz w:val="20"/>
              </w:rPr>
              <w:t>4-6</w:t>
            </w:r>
          </w:p>
        </w:tc>
        <w:tc>
          <w:tcPr>
            <w:tcW w:w="2448" w:type="dxa"/>
            <w:tcBorders>
              <w:top w:val="nil"/>
              <w:left w:val="nil"/>
              <w:bottom w:val="nil"/>
              <w:right w:val="nil"/>
            </w:tcBorders>
            <w:vAlign w:val="bottom"/>
          </w:tcPr>
          <w:p w14:paraId="58465D01" w14:textId="77777777" w:rsidR="00AD58C9" w:rsidRPr="00873410" w:rsidRDefault="00AD58C9" w:rsidP="00AD58C9">
            <w:pPr>
              <w:spacing w:after="0" w:line="240" w:lineRule="auto"/>
              <w:jc w:val="center"/>
              <w:rPr>
                <w:color w:val="000000"/>
                <w:sz w:val="20"/>
              </w:rPr>
            </w:pPr>
            <w:r>
              <w:rPr>
                <w:color w:val="000000"/>
                <w:sz w:val="20"/>
              </w:rPr>
              <w:t>13.1%</w:t>
            </w:r>
          </w:p>
        </w:tc>
        <w:tc>
          <w:tcPr>
            <w:tcW w:w="2360" w:type="dxa"/>
            <w:tcBorders>
              <w:top w:val="nil"/>
              <w:left w:val="nil"/>
              <w:bottom w:val="nil"/>
              <w:right w:val="nil"/>
            </w:tcBorders>
            <w:vAlign w:val="bottom"/>
          </w:tcPr>
          <w:p w14:paraId="1E6AD2B8" w14:textId="77777777" w:rsidR="00AD58C9" w:rsidRPr="00873410" w:rsidRDefault="00AD58C9" w:rsidP="00AD58C9">
            <w:pPr>
              <w:spacing w:after="0" w:line="240" w:lineRule="auto"/>
              <w:jc w:val="center"/>
              <w:rPr>
                <w:color w:val="000000"/>
                <w:sz w:val="20"/>
              </w:rPr>
            </w:pPr>
            <w:r>
              <w:rPr>
                <w:color w:val="000000"/>
                <w:sz w:val="20"/>
              </w:rPr>
              <w:t>13.9%</w:t>
            </w:r>
          </w:p>
        </w:tc>
      </w:tr>
      <w:tr w:rsidR="00AD58C9" w:rsidRPr="001D3149" w14:paraId="5580138F"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tcPr>
          <w:p w14:paraId="64F272D0" w14:textId="77777777" w:rsidR="00AD58C9" w:rsidRPr="004728D6" w:rsidRDefault="00AD58C9" w:rsidP="00AD58C9">
            <w:pPr>
              <w:spacing w:after="0" w:line="240" w:lineRule="auto"/>
              <w:rPr>
                <w:color w:val="000000"/>
                <w:sz w:val="20"/>
              </w:rPr>
            </w:pPr>
            <w:r w:rsidRPr="004728D6">
              <w:rPr>
                <w:color w:val="000000"/>
                <w:sz w:val="20"/>
              </w:rPr>
              <w:t>7-9</w:t>
            </w:r>
          </w:p>
        </w:tc>
        <w:tc>
          <w:tcPr>
            <w:tcW w:w="2448" w:type="dxa"/>
            <w:tcBorders>
              <w:top w:val="nil"/>
              <w:left w:val="nil"/>
              <w:bottom w:val="nil"/>
              <w:right w:val="nil"/>
            </w:tcBorders>
            <w:vAlign w:val="bottom"/>
          </w:tcPr>
          <w:p w14:paraId="442B935F" w14:textId="77777777" w:rsidR="00AD58C9" w:rsidRPr="00873410" w:rsidRDefault="00AD58C9" w:rsidP="00AD58C9">
            <w:pPr>
              <w:spacing w:after="0" w:line="240" w:lineRule="auto"/>
              <w:jc w:val="center"/>
              <w:rPr>
                <w:color w:val="000000"/>
                <w:sz w:val="20"/>
              </w:rPr>
            </w:pPr>
            <w:r>
              <w:rPr>
                <w:color w:val="000000"/>
                <w:sz w:val="20"/>
              </w:rPr>
              <w:t>11.4%</w:t>
            </w:r>
          </w:p>
        </w:tc>
        <w:tc>
          <w:tcPr>
            <w:tcW w:w="2360" w:type="dxa"/>
            <w:tcBorders>
              <w:top w:val="nil"/>
              <w:left w:val="nil"/>
              <w:bottom w:val="nil"/>
              <w:right w:val="nil"/>
            </w:tcBorders>
            <w:vAlign w:val="bottom"/>
          </w:tcPr>
          <w:p w14:paraId="56C16D04" w14:textId="77777777" w:rsidR="00AD58C9" w:rsidRPr="00873410" w:rsidRDefault="00AD58C9" w:rsidP="00AD58C9">
            <w:pPr>
              <w:spacing w:after="0" w:line="240" w:lineRule="auto"/>
              <w:jc w:val="center"/>
              <w:rPr>
                <w:color w:val="000000"/>
                <w:sz w:val="20"/>
              </w:rPr>
            </w:pPr>
            <w:r>
              <w:rPr>
                <w:color w:val="000000"/>
                <w:sz w:val="20"/>
              </w:rPr>
              <w:t>11.7%</w:t>
            </w:r>
          </w:p>
        </w:tc>
      </w:tr>
      <w:tr w:rsidR="00AD58C9" w:rsidRPr="001D3149" w14:paraId="2CA21FCC"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tcPr>
          <w:p w14:paraId="2D7B3E60" w14:textId="77777777" w:rsidR="00AD58C9" w:rsidRPr="004728D6" w:rsidRDefault="00AD58C9" w:rsidP="00AD58C9">
            <w:pPr>
              <w:spacing w:after="0" w:line="240" w:lineRule="auto"/>
              <w:rPr>
                <w:color w:val="000000"/>
                <w:sz w:val="20"/>
              </w:rPr>
            </w:pPr>
            <w:r>
              <w:rPr>
                <w:sz w:val="20"/>
              </w:rPr>
              <w:t>≥</w:t>
            </w:r>
            <w:r>
              <w:rPr>
                <w:color w:val="000000"/>
                <w:sz w:val="20"/>
              </w:rPr>
              <w:t>10</w:t>
            </w:r>
          </w:p>
        </w:tc>
        <w:tc>
          <w:tcPr>
            <w:tcW w:w="2448" w:type="dxa"/>
            <w:tcBorders>
              <w:top w:val="nil"/>
              <w:left w:val="nil"/>
              <w:bottom w:val="nil"/>
              <w:right w:val="nil"/>
            </w:tcBorders>
            <w:vAlign w:val="bottom"/>
          </w:tcPr>
          <w:p w14:paraId="6C14B227" w14:textId="77777777" w:rsidR="00AD58C9" w:rsidRPr="00873410" w:rsidRDefault="00AD58C9" w:rsidP="00AD58C9">
            <w:pPr>
              <w:spacing w:after="0" w:line="240" w:lineRule="auto"/>
              <w:jc w:val="center"/>
              <w:rPr>
                <w:color w:val="000000"/>
                <w:sz w:val="20"/>
              </w:rPr>
            </w:pPr>
            <w:r>
              <w:rPr>
                <w:color w:val="000000"/>
                <w:sz w:val="20"/>
              </w:rPr>
              <w:t>9.0%</w:t>
            </w:r>
          </w:p>
        </w:tc>
        <w:tc>
          <w:tcPr>
            <w:tcW w:w="2360" w:type="dxa"/>
            <w:tcBorders>
              <w:top w:val="nil"/>
              <w:left w:val="nil"/>
              <w:bottom w:val="nil"/>
              <w:right w:val="nil"/>
            </w:tcBorders>
            <w:vAlign w:val="bottom"/>
          </w:tcPr>
          <w:p w14:paraId="710374BB" w14:textId="77777777" w:rsidR="00AD58C9" w:rsidRPr="00873410" w:rsidRDefault="00AD58C9" w:rsidP="00AD58C9">
            <w:pPr>
              <w:spacing w:after="0" w:line="240" w:lineRule="auto"/>
              <w:jc w:val="center"/>
              <w:rPr>
                <w:color w:val="000000"/>
                <w:sz w:val="20"/>
              </w:rPr>
            </w:pPr>
            <w:r>
              <w:rPr>
                <w:color w:val="000000"/>
                <w:sz w:val="20"/>
              </w:rPr>
              <w:t>10.1%</w:t>
            </w:r>
          </w:p>
        </w:tc>
      </w:tr>
      <w:tr w:rsidR="00AD58C9" w:rsidRPr="001D3149" w14:paraId="5E25018D" w14:textId="77777777" w:rsidTr="00AA0EB2">
        <w:trPr>
          <w:trHeight w:val="20"/>
          <w:jc w:val="center"/>
        </w:trPr>
        <w:tc>
          <w:tcPr>
            <w:tcW w:w="3457" w:type="dxa"/>
            <w:tcBorders>
              <w:top w:val="nil"/>
              <w:left w:val="nil"/>
              <w:bottom w:val="nil"/>
              <w:right w:val="nil"/>
            </w:tcBorders>
            <w:shd w:val="clear" w:color="auto" w:fill="auto"/>
            <w:tcMar>
              <w:left w:w="115" w:type="dxa"/>
              <w:right w:w="115" w:type="dxa"/>
            </w:tcMar>
            <w:vAlign w:val="center"/>
          </w:tcPr>
          <w:p w14:paraId="62AAA44F" w14:textId="77777777" w:rsidR="00AD58C9" w:rsidRPr="004728D6" w:rsidRDefault="00AD58C9" w:rsidP="00AD58C9">
            <w:pPr>
              <w:spacing w:after="0" w:line="240" w:lineRule="auto"/>
              <w:rPr>
                <w:color w:val="000000"/>
                <w:sz w:val="20"/>
              </w:rPr>
            </w:pPr>
            <w:r w:rsidRPr="004728D6">
              <w:rPr>
                <w:color w:val="000000"/>
                <w:sz w:val="20"/>
              </w:rPr>
              <w:t>Unique Part D Medications in Year Prior to Admission</w:t>
            </w:r>
          </w:p>
        </w:tc>
        <w:tc>
          <w:tcPr>
            <w:tcW w:w="2448" w:type="dxa"/>
            <w:tcBorders>
              <w:top w:val="nil"/>
              <w:left w:val="nil"/>
              <w:bottom w:val="nil"/>
              <w:right w:val="nil"/>
            </w:tcBorders>
            <w:vAlign w:val="bottom"/>
          </w:tcPr>
          <w:p w14:paraId="476E4450" w14:textId="77777777" w:rsidR="00AD58C9" w:rsidRPr="00873410" w:rsidRDefault="00AD58C9" w:rsidP="00AD58C9">
            <w:pPr>
              <w:spacing w:after="0" w:line="240" w:lineRule="auto"/>
              <w:jc w:val="center"/>
              <w:rPr>
                <w:color w:val="000000"/>
                <w:sz w:val="20"/>
              </w:rPr>
            </w:pPr>
          </w:p>
        </w:tc>
        <w:tc>
          <w:tcPr>
            <w:tcW w:w="2360" w:type="dxa"/>
            <w:tcBorders>
              <w:top w:val="nil"/>
              <w:left w:val="nil"/>
              <w:bottom w:val="nil"/>
              <w:right w:val="nil"/>
            </w:tcBorders>
            <w:vAlign w:val="bottom"/>
          </w:tcPr>
          <w:p w14:paraId="6C3F9431" w14:textId="77777777" w:rsidR="00AD58C9" w:rsidRPr="00873410" w:rsidRDefault="00AD58C9" w:rsidP="00AD58C9">
            <w:pPr>
              <w:spacing w:after="0" w:line="240" w:lineRule="auto"/>
              <w:jc w:val="center"/>
              <w:rPr>
                <w:color w:val="000000"/>
                <w:sz w:val="20"/>
              </w:rPr>
            </w:pPr>
          </w:p>
        </w:tc>
      </w:tr>
      <w:tr w:rsidR="00AD58C9" w:rsidRPr="001D3149" w14:paraId="665439AA"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tcPr>
          <w:p w14:paraId="4CB971D6" w14:textId="77777777" w:rsidR="00AD58C9" w:rsidRPr="004728D6" w:rsidRDefault="00AD58C9" w:rsidP="00AD58C9">
            <w:pPr>
              <w:spacing w:after="0" w:line="240" w:lineRule="auto"/>
              <w:rPr>
                <w:color w:val="000000"/>
                <w:sz w:val="20"/>
              </w:rPr>
            </w:pPr>
            <w:r w:rsidRPr="004728D6">
              <w:rPr>
                <w:color w:val="000000"/>
                <w:sz w:val="20"/>
              </w:rPr>
              <w:t>1-4</w:t>
            </w:r>
          </w:p>
        </w:tc>
        <w:tc>
          <w:tcPr>
            <w:tcW w:w="2448" w:type="dxa"/>
            <w:tcBorders>
              <w:top w:val="nil"/>
              <w:left w:val="nil"/>
              <w:bottom w:val="nil"/>
              <w:right w:val="nil"/>
            </w:tcBorders>
            <w:vAlign w:val="bottom"/>
          </w:tcPr>
          <w:p w14:paraId="01510300" w14:textId="77777777" w:rsidR="00AD58C9" w:rsidRPr="001D3149" w:rsidRDefault="00AD58C9" w:rsidP="00AD58C9">
            <w:pPr>
              <w:spacing w:after="0" w:line="240" w:lineRule="auto"/>
              <w:jc w:val="center"/>
              <w:rPr>
                <w:color w:val="000000"/>
                <w:sz w:val="20"/>
              </w:rPr>
            </w:pPr>
            <w:r>
              <w:rPr>
                <w:color w:val="000000"/>
                <w:sz w:val="20"/>
              </w:rPr>
              <w:t>18.2%</w:t>
            </w:r>
          </w:p>
        </w:tc>
        <w:tc>
          <w:tcPr>
            <w:tcW w:w="2360" w:type="dxa"/>
            <w:tcBorders>
              <w:top w:val="nil"/>
              <w:left w:val="nil"/>
              <w:bottom w:val="nil"/>
              <w:right w:val="nil"/>
            </w:tcBorders>
            <w:vAlign w:val="bottom"/>
          </w:tcPr>
          <w:p w14:paraId="1BECCBD4" w14:textId="77777777" w:rsidR="00AD58C9" w:rsidRPr="001D3149" w:rsidRDefault="00AD58C9" w:rsidP="00AD58C9">
            <w:pPr>
              <w:spacing w:after="0" w:line="240" w:lineRule="auto"/>
              <w:jc w:val="center"/>
              <w:rPr>
                <w:color w:val="000000"/>
                <w:sz w:val="20"/>
              </w:rPr>
            </w:pPr>
            <w:r>
              <w:rPr>
                <w:color w:val="000000"/>
                <w:sz w:val="20"/>
              </w:rPr>
              <w:t>19.5%</w:t>
            </w:r>
          </w:p>
        </w:tc>
      </w:tr>
      <w:tr w:rsidR="00AD58C9" w:rsidRPr="001D3149" w14:paraId="3DC70056"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tcPr>
          <w:p w14:paraId="48351632" w14:textId="77777777" w:rsidR="00AD58C9" w:rsidRPr="004728D6" w:rsidRDefault="00AD58C9" w:rsidP="00AD58C9">
            <w:pPr>
              <w:spacing w:after="0" w:line="240" w:lineRule="auto"/>
              <w:rPr>
                <w:color w:val="000000"/>
                <w:sz w:val="20"/>
              </w:rPr>
            </w:pPr>
            <w:r w:rsidRPr="004728D6">
              <w:rPr>
                <w:color w:val="000000"/>
                <w:sz w:val="20"/>
              </w:rPr>
              <w:t>5-9</w:t>
            </w:r>
          </w:p>
        </w:tc>
        <w:tc>
          <w:tcPr>
            <w:tcW w:w="2448" w:type="dxa"/>
            <w:tcBorders>
              <w:top w:val="nil"/>
              <w:left w:val="nil"/>
              <w:bottom w:val="nil"/>
              <w:right w:val="nil"/>
            </w:tcBorders>
            <w:vAlign w:val="bottom"/>
          </w:tcPr>
          <w:p w14:paraId="37A15FD2" w14:textId="77777777" w:rsidR="00AD58C9" w:rsidRPr="001D3149" w:rsidRDefault="00AD58C9" w:rsidP="00AD58C9">
            <w:pPr>
              <w:spacing w:after="0" w:line="240" w:lineRule="auto"/>
              <w:jc w:val="center"/>
              <w:rPr>
                <w:color w:val="000000"/>
                <w:sz w:val="20"/>
              </w:rPr>
            </w:pPr>
            <w:r>
              <w:rPr>
                <w:color w:val="000000"/>
                <w:sz w:val="20"/>
              </w:rPr>
              <w:t>16.0%</w:t>
            </w:r>
          </w:p>
        </w:tc>
        <w:tc>
          <w:tcPr>
            <w:tcW w:w="2360" w:type="dxa"/>
            <w:tcBorders>
              <w:top w:val="nil"/>
              <w:left w:val="nil"/>
              <w:bottom w:val="nil"/>
              <w:right w:val="nil"/>
            </w:tcBorders>
            <w:vAlign w:val="bottom"/>
          </w:tcPr>
          <w:p w14:paraId="44E5C518" w14:textId="77777777" w:rsidR="00AD58C9" w:rsidRPr="001D3149" w:rsidRDefault="00AD58C9" w:rsidP="00AD58C9">
            <w:pPr>
              <w:spacing w:after="0" w:line="240" w:lineRule="auto"/>
              <w:jc w:val="center"/>
              <w:rPr>
                <w:color w:val="000000"/>
                <w:sz w:val="20"/>
              </w:rPr>
            </w:pPr>
            <w:r>
              <w:rPr>
                <w:color w:val="000000"/>
                <w:sz w:val="20"/>
              </w:rPr>
              <w:t>16.1%</w:t>
            </w:r>
          </w:p>
        </w:tc>
      </w:tr>
      <w:tr w:rsidR="00AD58C9" w:rsidRPr="001D3149" w14:paraId="26989294"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tcPr>
          <w:p w14:paraId="1664BC2F" w14:textId="77777777" w:rsidR="00AD58C9" w:rsidRPr="004728D6" w:rsidRDefault="00AD58C9" w:rsidP="00AD58C9">
            <w:pPr>
              <w:spacing w:after="0" w:line="240" w:lineRule="auto"/>
              <w:rPr>
                <w:color w:val="000000"/>
                <w:sz w:val="20"/>
              </w:rPr>
            </w:pPr>
            <w:r w:rsidRPr="004728D6">
              <w:rPr>
                <w:color w:val="000000"/>
                <w:sz w:val="20"/>
              </w:rPr>
              <w:t>10-19</w:t>
            </w:r>
          </w:p>
        </w:tc>
        <w:tc>
          <w:tcPr>
            <w:tcW w:w="2448" w:type="dxa"/>
            <w:tcBorders>
              <w:top w:val="nil"/>
              <w:left w:val="nil"/>
              <w:bottom w:val="nil"/>
              <w:right w:val="nil"/>
            </w:tcBorders>
            <w:vAlign w:val="bottom"/>
          </w:tcPr>
          <w:p w14:paraId="319421DB" w14:textId="77777777" w:rsidR="00AD58C9" w:rsidRPr="001D3149" w:rsidRDefault="00AD58C9" w:rsidP="00AD58C9">
            <w:pPr>
              <w:spacing w:after="0" w:line="240" w:lineRule="auto"/>
              <w:jc w:val="center"/>
              <w:rPr>
                <w:color w:val="000000"/>
                <w:sz w:val="20"/>
              </w:rPr>
            </w:pPr>
            <w:r>
              <w:rPr>
                <w:color w:val="000000"/>
                <w:sz w:val="20"/>
              </w:rPr>
              <w:t>12.7%</w:t>
            </w:r>
          </w:p>
        </w:tc>
        <w:tc>
          <w:tcPr>
            <w:tcW w:w="2360" w:type="dxa"/>
            <w:tcBorders>
              <w:top w:val="nil"/>
              <w:left w:val="nil"/>
              <w:bottom w:val="nil"/>
              <w:right w:val="nil"/>
            </w:tcBorders>
            <w:vAlign w:val="bottom"/>
          </w:tcPr>
          <w:p w14:paraId="1AE38CAD" w14:textId="77777777" w:rsidR="00AD58C9" w:rsidRPr="001D3149" w:rsidRDefault="00AD58C9" w:rsidP="00AD58C9">
            <w:pPr>
              <w:spacing w:after="0" w:line="240" w:lineRule="auto"/>
              <w:jc w:val="center"/>
              <w:rPr>
                <w:color w:val="000000"/>
                <w:sz w:val="20"/>
              </w:rPr>
            </w:pPr>
            <w:r>
              <w:rPr>
                <w:color w:val="000000"/>
                <w:sz w:val="20"/>
              </w:rPr>
              <w:t>13.7%</w:t>
            </w:r>
          </w:p>
        </w:tc>
      </w:tr>
      <w:tr w:rsidR="00AD58C9" w:rsidRPr="001D3149" w14:paraId="2951100E" w14:textId="77777777" w:rsidTr="00AA0EB2">
        <w:trPr>
          <w:trHeight w:val="20"/>
          <w:jc w:val="center"/>
        </w:trPr>
        <w:tc>
          <w:tcPr>
            <w:tcW w:w="3457" w:type="dxa"/>
            <w:tcBorders>
              <w:top w:val="nil"/>
              <w:left w:val="nil"/>
              <w:bottom w:val="nil"/>
              <w:right w:val="nil"/>
            </w:tcBorders>
            <w:shd w:val="clear" w:color="auto" w:fill="auto"/>
            <w:tcMar>
              <w:left w:w="216" w:type="dxa"/>
              <w:right w:w="115" w:type="dxa"/>
            </w:tcMar>
            <w:vAlign w:val="center"/>
          </w:tcPr>
          <w:p w14:paraId="463C076A" w14:textId="77777777" w:rsidR="00AD58C9" w:rsidRPr="004728D6" w:rsidRDefault="00AD58C9" w:rsidP="00AD58C9">
            <w:pPr>
              <w:spacing w:after="0" w:line="240" w:lineRule="auto"/>
              <w:rPr>
                <w:color w:val="000000"/>
                <w:sz w:val="20"/>
              </w:rPr>
            </w:pPr>
            <w:r w:rsidRPr="004728D6">
              <w:rPr>
                <w:color w:val="000000"/>
                <w:sz w:val="20"/>
              </w:rPr>
              <w:t>20-29</w:t>
            </w:r>
          </w:p>
        </w:tc>
        <w:tc>
          <w:tcPr>
            <w:tcW w:w="2448" w:type="dxa"/>
            <w:tcBorders>
              <w:top w:val="nil"/>
              <w:left w:val="nil"/>
              <w:bottom w:val="nil"/>
              <w:right w:val="nil"/>
            </w:tcBorders>
            <w:vAlign w:val="bottom"/>
          </w:tcPr>
          <w:p w14:paraId="07F54A93" w14:textId="77777777" w:rsidR="00AD58C9" w:rsidRPr="001D3149" w:rsidRDefault="00AD58C9" w:rsidP="00AD58C9">
            <w:pPr>
              <w:spacing w:after="0" w:line="240" w:lineRule="auto"/>
              <w:jc w:val="center"/>
              <w:rPr>
                <w:color w:val="000000"/>
                <w:sz w:val="20"/>
              </w:rPr>
            </w:pPr>
            <w:r>
              <w:rPr>
                <w:color w:val="000000"/>
                <w:sz w:val="20"/>
              </w:rPr>
              <w:t>9.6%</w:t>
            </w:r>
          </w:p>
        </w:tc>
        <w:tc>
          <w:tcPr>
            <w:tcW w:w="2360" w:type="dxa"/>
            <w:tcBorders>
              <w:top w:val="nil"/>
              <w:left w:val="nil"/>
              <w:bottom w:val="nil"/>
              <w:right w:val="nil"/>
            </w:tcBorders>
            <w:vAlign w:val="bottom"/>
          </w:tcPr>
          <w:p w14:paraId="683A8D71" w14:textId="77777777" w:rsidR="00AD58C9" w:rsidRPr="001D3149" w:rsidRDefault="00AD58C9" w:rsidP="00AD58C9">
            <w:pPr>
              <w:spacing w:after="0" w:line="240" w:lineRule="auto"/>
              <w:jc w:val="center"/>
              <w:rPr>
                <w:color w:val="000000"/>
                <w:sz w:val="20"/>
              </w:rPr>
            </w:pPr>
            <w:r>
              <w:rPr>
                <w:color w:val="000000"/>
                <w:sz w:val="20"/>
              </w:rPr>
              <w:t>12.4%</w:t>
            </w:r>
          </w:p>
        </w:tc>
      </w:tr>
      <w:tr w:rsidR="00AD58C9" w:rsidRPr="001D3149" w14:paraId="66789694" w14:textId="77777777" w:rsidTr="009468EC">
        <w:trPr>
          <w:trHeight w:val="20"/>
          <w:jc w:val="center"/>
        </w:trPr>
        <w:tc>
          <w:tcPr>
            <w:tcW w:w="3457" w:type="dxa"/>
            <w:tcBorders>
              <w:top w:val="nil"/>
              <w:left w:val="nil"/>
              <w:bottom w:val="single" w:sz="4" w:space="0" w:color="auto"/>
              <w:right w:val="nil"/>
            </w:tcBorders>
            <w:shd w:val="clear" w:color="auto" w:fill="auto"/>
            <w:tcMar>
              <w:left w:w="216" w:type="dxa"/>
              <w:right w:w="115" w:type="dxa"/>
            </w:tcMar>
            <w:vAlign w:val="center"/>
          </w:tcPr>
          <w:p w14:paraId="25E1A10F" w14:textId="77777777" w:rsidR="00AD58C9" w:rsidRPr="004728D6" w:rsidRDefault="00AD58C9" w:rsidP="00AD58C9">
            <w:pPr>
              <w:spacing w:after="0" w:line="240" w:lineRule="auto"/>
              <w:rPr>
                <w:color w:val="000000"/>
                <w:sz w:val="20"/>
              </w:rPr>
            </w:pPr>
            <w:r>
              <w:rPr>
                <w:sz w:val="20"/>
              </w:rPr>
              <w:t>≥</w:t>
            </w:r>
            <w:r>
              <w:rPr>
                <w:color w:val="000000"/>
                <w:sz w:val="20"/>
              </w:rPr>
              <w:t>30</w:t>
            </w:r>
          </w:p>
        </w:tc>
        <w:tc>
          <w:tcPr>
            <w:tcW w:w="2448" w:type="dxa"/>
            <w:tcBorders>
              <w:top w:val="nil"/>
              <w:left w:val="nil"/>
              <w:bottom w:val="single" w:sz="4" w:space="0" w:color="auto"/>
              <w:right w:val="nil"/>
            </w:tcBorders>
            <w:vAlign w:val="bottom"/>
          </w:tcPr>
          <w:p w14:paraId="5BEC8A39" w14:textId="77777777" w:rsidR="00AD58C9" w:rsidRPr="001D3149" w:rsidRDefault="00AD58C9" w:rsidP="00AD58C9">
            <w:pPr>
              <w:spacing w:after="0" w:line="240" w:lineRule="auto"/>
              <w:jc w:val="center"/>
              <w:rPr>
                <w:color w:val="000000"/>
                <w:sz w:val="20"/>
              </w:rPr>
            </w:pPr>
            <w:r>
              <w:rPr>
                <w:color w:val="000000"/>
                <w:sz w:val="20"/>
              </w:rPr>
              <w:t>9.6%</w:t>
            </w:r>
          </w:p>
        </w:tc>
        <w:tc>
          <w:tcPr>
            <w:tcW w:w="2360" w:type="dxa"/>
            <w:tcBorders>
              <w:top w:val="nil"/>
              <w:left w:val="nil"/>
              <w:bottom w:val="single" w:sz="4" w:space="0" w:color="auto"/>
              <w:right w:val="nil"/>
            </w:tcBorders>
            <w:vAlign w:val="bottom"/>
          </w:tcPr>
          <w:p w14:paraId="1C7F9B61" w14:textId="77777777" w:rsidR="00AD58C9" w:rsidRPr="001D3149" w:rsidRDefault="00AD58C9" w:rsidP="00AD58C9">
            <w:pPr>
              <w:spacing w:after="0" w:line="240" w:lineRule="auto"/>
              <w:jc w:val="center"/>
              <w:rPr>
                <w:color w:val="000000"/>
                <w:sz w:val="20"/>
              </w:rPr>
            </w:pPr>
            <w:r>
              <w:rPr>
                <w:color w:val="000000"/>
                <w:sz w:val="20"/>
              </w:rPr>
              <w:t>11.7%</w:t>
            </w:r>
          </w:p>
        </w:tc>
      </w:tr>
    </w:tbl>
    <w:p w14:paraId="4856F2D7" w14:textId="6FC9EDD5" w:rsidR="00EA4C3D" w:rsidRDefault="00EA4C3D" w:rsidP="00EA4C3D">
      <w:pPr>
        <w:spacing w:after="0" w:line="240" w:lineRule="auto"/>
        <w:jc w:val="center"/>
        <w:rPr>
          <w:b/>
        </w:rPr>
      </w:pPr>
      <w:r w:rsidRPr="007C6DC0">
        <w:rPr>
          <w:b/>
        </w:rPr>
        <w:lastRenderedPageBreak/>
        <w:t>TABLE X</w:t>
      </w:r>
      <w:r w:rsidR="00E71636">
        <w:rPr>
          <w:b/>
        </w:rPr>
        <w:t>I</w:t>
      </w:r>
      <w:r w:rsidRPr="007C6DC0">
        <w:rPr>
          <w:b/>
        </w:rPr>
        <w:t>V</w:t>
      </w:r>
      <w:r>
        <w:rPr>
          <w:b/>
        </w:rPr>
        <w:t xml:space="preserve"> (continued)</w:t>
      </w:r>
    </w:p>
    <w:p w14:paraId="4AAF0EAD" w14:textId="77777777" w:rsidR="00EA4C3D" w:rsidRPr="007C6DC0" w:rsidRDefault="00EA4C3D" w:rsidP="00EA4C3D">
      <w:pPr>
        <w:spacing w:after="0" w:line="240" w:lineRule="auto"/>
        <w:jc w:val="center"/>
        <w:rPr>
          <w:b/>
        </w:rPr>
      </w:pPr>
    </w:p>
    <w:p w14:paraId="3C720573" w14:textId="20E0AF85" w:rsidR="00EA4C3D" w:rsidRPr="00EA4C3D" w:rsidRDefault="00EA4C3D" w:rsidP="00EA4C3D">
      <w:pPr>
        <w:spacing w:after="0" w:line="240" w:lineRule="auto"/>
        <w:ind w:left="360" w:right="450" w:firstLine="630"/>
        <w:jc w:val="center"/>
        <w:rPr>
          <w:caps/>
        </w:rPr>
      </w:pPr>
      <w:r w:rsidRPr="00AD58C9">
        <w:rPr>
          <w:caps/>
        </w:rPr>
        <w:t>Post-Hospice Admission Continuation of All Limited Benefit Medications Among Pre-Admission Users, Cancer Versus Non-Can</w:t>
      </w:r>
      <w:r>
        <w:rPr>
          <w:caps/>
        </w:rPr>
        <w:t>cer Hospice Admission Diagnosis</w:t>
      </w:r>
    </w:p>
    <w:tbl>
      <w:tblPr>
        <w:tblW w:w="82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57"/>
        <w:gridCol w:w="2448"/>
        <w:gridCol w:w="2360"/>
      </w:tblGrid>
      <w:tr w:rsidR="00AD58C9" w:rsidRPr="001D3149" w14:paraId="3FF13383" w14:textId="77777777" w:rsidTr="009468EC">
        <w:trPr>
          <w:trHeight w:val="20"/>
          <w:jc w:val="center"/>
        </w:trPr>
        <w:tc>
          <w:tcPr>
            <w:tcW w:w="3457" w:type="dxa"/>
            <w:tcBorders>
              <w:top w:val="single" w:sz="4" w:space="0" w:color="auto"/>
              <w:left w:val="nil"/>
              <w:bottom w:val="nil"/>
              <w:right w:val="nil"/>
            </w:tcBorders>
            <w:shd w:val="clear" w:color="auto" w:fill="auto"/>
            <w:vAlign w:val="center"/>
            <w:hideMark/>
          </w:tcPr>
          <w:p w14:paraId="71848493" w14:textId="77777777" w:rsidR="009468EC" w:rsidRDefault="009468EC" w:rsidP="00AD58C9">
            <w:pPr>
              <w:spacing w:after="0" w:line="240" w:lineRule="auto"/>
              <w:rPr>
                <w:b/>
                <w:color w:val="000000"/>
                <w:sz w:val="20"/>
              </w:rPr>
            </w:pPr>
          </w:p>
          <w:p w14:paraId="3B358A67" w14:textId="7516AD2A" w:rsidR="00AD58C9" w:rsidRPr="004728D6" w:rsidRDefault="00AD58C9" w:rsidP="00AD58C9">
            <w:pPr>
              <w:spacing w:after="0" w:line="240" w:lineRule="auto"/>
              <w:rPr>
                <w:bCs/>
                <w:color w:val="000000"/>
                <w:sz w:val="20"/>
              </w:rPr>
            </w:pPr>
          </w:p>
        </w:tc>
        <w:tc>
          <w:tcPr>
            <w:tcW w:w="2448" w:type="dxa"/>
            <w:tcBorders>
              <w:top w:val="single" w:sz="4" w:space="0" w:color="auto"/>
              <w:left w:val="nil"/>
              <w:bottom w:val="nil"/>
              <w:right w:val="nil"/>
            </w:tcBorders>
            <w:vAlign w:val="bottom"/>
          </w:tcPr>
          <w:p w14:paraId="100B54B5" w14:textId="0EE627E4" w:rsidR="00AD58C9" w:rsidRPr="004728D6" w:rsidRDefault="00AD58C9" w:rsidP="00AD58C9">
            <w:pPr>
              <w:spacing w:after="0" w:line="240" w:lineRule="auto"/>
              <w:jc w:val="center"/>
              <w:rPr>
                <w:b/>
                <w:iCs/>
                <w:color w:val="000000"/>
                <w:sz w:val="20"/>
              </w:rPr>
            </w:pPr>
            <w:r w:rsidRPr="004728D6">
              <w:rPr>
                <w:b/>
                <w:iCs/>
                <w:color w:val="000000"/>
                <w:sz w:val="20"/>
              </w:rPr>
              <w:t>Cancer</w:t>
            </w:r>
            <w:r w:rsidR="009468EC">
              <w:rPr>
                <w:b/>
                <w:iCs/>
                <w:color w:val="000000"/>
                <w:sz w:val="20"/>
              </w:rPr>
              <w:t>*</w:t>
            </w:r>
            <w:r w:rsidRPr="004728D6">
              <w:rPr>
                <w:b/>
                <w:iCs/>
                <w:color w:val="000000"/>
                <w:sz w:val="20"/>
              </w:rPr>
              <w:t xml:space="preserve"> </w:t>
            </w:r>
          </w:p>
          <w:p w14:paraId="1DBD5B94" w14:textId="77777777" w:rsidR="00AD58C9" w:rsidRPr="004728D6" w:rsidRDefault="00AD58C9" w:rsidP="00AD58C9">
            <w:pPr>
              <w:spacing w:after="0" w:line="240" w:lineRule="auto"/>
              <w:jc w:val="center"/>
              <w:rPr>
                <w:b/>
                <w:iCs/>
                <w:color w:val="000000"/>
                <w:sz w:val="20"/>
              </w:rPr>
            </w:pPr>
            <w:r w:rsidRPr="004728D6">
              <w:rPr>
                <w:b/>
                <w:color w:val="000000"/>
                <w:sz w:val="20"/>
              </w:rPr>
              <w:t>(n=44,218)</w:t>
            </w:r>
          </w:p>
        </w:tc>
        <w:tc>
          <w:tcPr>
            <w:tcW w:w="2360" w:type="dxa"/>
            <w:tcBorders>
              <w:top w:val="single" w:sz="4" w:space="0" w:color="auto"/>
              <w:left w:val="nil"/>
              <w:bottom w:val="nil"/>
              <w:right w:val="nil"/>
            </w:tcBorders>
            <w:vAlign w:val="bottom"/>
          </w:tcPr>
          <w:p w14:paraId="046EFC9C" w14:textId="2E94FE71" w:rsidR="00AD58C9" w:rsidRPr="004728D6" w:rsidRDefault="00AD58C9" w:rsidP="00AD58C9">
            <w:pPr>
              <w:spacing w:after="0" w:line="240" w:lineRule="auto"/>
              <w:jc w:val="center"/>
              <w:rPr>
                <w:b/>
                <w:iCs/>
                <w:color w:val="000000"/>
                <w:sz w:val="20"/>
              </w:rPr>
            </w:pPr>
            <w:r w:rsidRPr="004728D6">
              <w:rPr>
                <w:b/>
                <w:iCs/>
                <w:color w:val="000000"/>
                <w:sz w:val="20"/>
              </w:rPr>
              <w:t>Non-Cancer</w:t>
            </w:r>
            <w:r w:rsidR="009468EC">
              <w:rPr>
                <w:b/>
                <w:iCs/>
                <w:color w:val="000000"/>
                <w:sz w:val="20"/>
              </w:rPr>
              <w:t>*</w:t>
            </w:r>
            <w:r w:rsidRPr="004728D6">
              <w:rPr>
                <w:b/>
                <w:iCs/>
                <w:color w:val="000000"/>
                <w:sz w:val="20"/>
              </w:rPr>
              <w:t xml:space="preserve"> </w:t>
            </w:r>
          </w:p>
          <w:p w14:paraId="30DD96DC" w14:textId="77777777" w:rsidR="00AD58C9" w:rsidRPr="004728D6" w:rsidRDefault="00AD58C9" w:rsidP="00AD58C9">
            <w:pPr>
              <w:spacing w:after="0" w:line="240" w:lineRule="auto"/>
              <w:jc w:val="center"/>
              <w:rPr>
                <w:b/>
                <w:iCs/>
                <w:color w:val="000000"/>
                <w:sz w:val="20"/>
              </w:rPr>
            </w:pPr>
            <w:r w:rsidRPr="004728D6">
              <w:rPr>
                <w:b/>
                <w:color w:val="000000"/>
                <w:sz w:val="20"/>
              </w:rPr>
              <w:t>(n=25,817)</w:t>
            </w:r>
          </w:p>
        </w:tc>
      </w:tr>
      <w:tr w:rsidR="009468EC" w:rsidRPr="001D3149" w14:paraId="66A6ADB5" w14:textId="77777777" w:rsidTr="009468EC">
        <w:trPr>
          <w:trHeight w:val="20"/>
          <w:jc w:val="center"/>
        </w:trPr>
        <w:tc>
          <w:tcPr>
            <w:tcW w:w="3457" w:type="dxa"/>
            <w:tcBorders>
              <w:top w:val="nil"/>
              <w:left w:val="nil"/>
              <w:bottom w:val="single" w:sz="4" w:space="0" w:color="auto"/>
              <w:right w:val="nil"/>
            </w:tcBorders>
            <w:shd w:val="clear" w:color="auto" w:fill="auto"/>
            <w:vAlign w:val="center"/>
          </w:tcPr>
          <w:p w14:paraId="4744E4DA" w14:textId="01FE2BE2" w:rsidR="009468EC" w:rsidRDefault="009468EC" w:rsidP="00AD58C9">
            <w:pPr>
              <w:spacing w:after="0" w:line="240" w:lineRule="auto"/>
              <w:rPr>
                <w:b/>
                <w:color w:val="000000"/>
                <w:sz w:val="20"/>
              </w:rPr>
            </w:pPr>
            <w:r>
              <w:rPr>
                <w:b/>
                <w:color w:val="000000"/>
                <w:sz w:val="20"/>
              </w:rPr>
              <w:t>Characteristic</w:t>
            </w:r>
          </w:p>
        </w:tc>
        <w:tc>
          <w:tcPr>
            <w:tcW w:w="2448" w:type="dxa"/>
            <w:tcBorders>
              <w:top w:val="nil"/>
              <w:left w:val="nil"/>
              <w:bottom w:val="single" w:sz="4" w:space="0" w:color="auto"/>
              <w:right w:val="nil"/>
            </w:tcBorders>
            <w:vAlign w:val="bottom"/>
          </w:tcPr>
          <w:p w14:paraId="390C5D4E" w14:textId="2B0FE401" w:rsidR="009468EC" w:rsidRPr="004728D6" w:rsidRDefault="009468EC" w:rsidP="00AD58C9">
            <w:pPr>
              <w:spacing w:after="0" w:line="240" w:lineRule="auto"/>
              <w:jc w:val="center"/>
              <w:rPr>
                <w:b/>
                <w:iCs/>
                <w:color w:val="000000"/>
                <w:sz w:val="20"/>
              </w:rPr>
            </w:pPr>
            <w:r>
              <w:rPr>
                <w:b/>
                <w:iCs/>
                <w:color w:val="000000"/>
                <w:sz w:val="20"/>
              </w:rPr>
              <w:t>%</w:t>
            </w:r>
          </w:p>
        </w:tc>
        <w:tc>
          <w:tcPr>
            <w:tcW w:w="2360" w:type="dxa"/>
            <w:tcBorders>
              <w:top w:val="nil"/>
              <w:left w:val="nil"/>
              <w:bottom w:val="single" w:sz="4" w:space="0" w:color="auto"/>
              <w:right w:val="nil"/>
            </w:tcBorders>
            <w:vAlign w:val="bottom"/>
          </w:tcPr>
          <w:p w14:paraId="2A645892" w14:textId="1BAAD2EE" w:rsidR="009468EC" w:rsidRPr="004728D6" w:rsidRDefault="009468EC" w:rsidP="00AD58C9">
            <w:pPr>
              <w:spacing w:after="0" w:line="240" w:lineRule="auto"/>
              <w:jc w:val="center"/>
              <w:rPr>
                <w:b/>
                <w:iCs/>
                <w:color w:val="000000"/>
                <w:sz w:val="20"/>
              </w:rPr>
            </w:pPr>
            <w:r>
              <w:rPr>
                <w:b/>
                <w:iCs/>
                <w:color w:val="000000"/>
                <w:sz w:val="20"/>
              </w:rPr>
              <w:t>%</w:t>
            </w:r>
          </w:p>
        </w:tc>
      </w:tr>
      <w:tr w:rsidR="00AD58C9" w:rsidRPr="001D3149" w14:paraId="4A70B7C9" w14:textId="77777777" w:rsidTr="009468EC">
        <w:trPr>
          <w:trHeight w:val="20"/>
          <w:jc w:val="center"/>
        </w:trPr>
        <w:tc>
          <w:tcPr>
            <w:tcW w:w="3457" w:type="dxa"/>
            <w:tcBorders>
              <w:top w:val="single" w:sz="4" w:space="0" w:color="auto"/>
              <w:left w:val="nil"/>
              <w:bottom w:val="nil"/>
              <w:right w:val="nil"/>
            </w:tcBorders>
            <w:shd w:val="clear" w:color="auto" w:fill="auto"/>
            <w:vAlign w:val="center"/>
          </w:tcPr>
          <w:p w14:paraId="23520E45" w14:textId="77777777" w:rsidR="00AD58C9" w:rsidRDefault="00AD58C9" w:rsidP="00AD58C9">
            <w:pPr>
              <w:spacing w:after="0" w:line="240" w:lineRule="auto"/>
              <w:rPr>
                <w:color w:val="000000"/>
                <w:sz w:val="20"/>
              </w:rPr>
            </w:pPr>
            <w:r>
              <w:rPr>
                <w:color w:val="000000"/>
                <w:sz w:val="20"/>
              </w:rPr>
              <w:t>Limited Benefit</w:t>
            </w:r>
            <w:r w:rsidRPr="004728D6">
              <w:rPr>
                <w:color w:val="000000"/>
                <w:sz w:val="20"/>
              </w:rPr>
              <w:t xml:space="preserve"> Drug Classes Used Prior to Admission</w:t>
            </w:r>
          </w:p>
        </w:tc>
        <w:tc>
          <w:tcPr>
            <w:tcW w:w="2448" w:type="dxa"/>
            <w:tcBorders>
              <w:top w:val="single" w:sz="4" w:space="0" w:color="auto"/>
              <w:left w:val="nil"/>
              <w:bottom w:val="nil"/>
              <w:right w:val="nil"/>
            </w:tcBorders>
            <w:vAlign w:val="bottom"/>
          </w:tcPr>
          <w:p w14:paraId="1DFA3334" w14:textId="77777777" w:rsidR="00AD58C9" w:rsidRPr="001D3149" w:rsidRDefault="00AD58C9" w:rsidP="00AD58C9">
            <w:pPr>
              <w:spacing w:after="0" w:line="240" w:lineRule="auto"/>
              <w:jc w:val="center"/>
              <w:rPr>
                <w:rFonts w:ascii="Times New Roman" w:hAnsi="Times New Roman"/>
                <w:sz w:val="20"/>
              </w:rPr>
            </w:pPr>
          </w:p>
        </w:tc>
        <w:tc>
          <w:tcPr>
            <w:tcW w:w="2360" w:type="dxa"/>
            <w:tcBorders>
              <w:top w:val="single" w:sz="4" w:space="0" w:color="auto"/>
              <w:left w:val="nil"/>
              <w:bottom w:val="nil"/>
              <w:right w:val="nil"/>
            </w:tcBorders>
            <w:vAlign w:val="bottom"/>
          </w:tcPr>
          <w:p w14:paraId="228B05F8" w14:textId="77777777" w:rsidR="00AD58C9" w:rsidRPr="001D3149" w:rsidRDefault="00AD58C9" w:rsidP="00AD58C9">
            <w:pPr>
              <w:spacing w:after="0" w:line="240" w:lineRule="auto"/>
              <w:jc w:val="center"/>
              <w:rPr>
                <w:rFonts w:ascii="Times New Roman" w:hAnsi="Times New Roman"/>
                <w:sz w:val="20"/>
              </w:rPr>
            </w:pPr>
          </w:p>
        </w:tc>
      </w:tr>
      <w:tr w:rsidR="00AD58C9" w:rsidRPr="001D3149" w14:paraId="37170C48"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hideMark/>
          </w:tcPr>
          <w:p w14:paraId="614778CD" w14:textId="77777777" w:rsidR="00AD58C9" w:rsidRPr="004728D6" w:rsidRDefault="00AD58C9" w:rsidP="00AD58C9">
            <w:pPr>
              <w:spacing w:after="0" w:line="240" w:lineRule="auto"/>
              <w:rPr>
                <w:color w:val="000000"/>
                <w:sz w:val="20"/>
              </w:rPr>
            </w:pPr>
            <w:r w:rsidRPr="004728D6">
              <w:rPr>
                <w:color w:val="000000"/>
                <w:sz w:val="20"/>
              </w:rPr>
              <w:t>1</w:t>
            </w:r>
          </w:p>
        </w:tc>
        <w:tc>
          <w:tcPr>
            <w:tcW w:w="2448" w:type="dxa"/>
            <w:tcBorders>
              <w:top w:val="nil"/>
              <w:left w:val="nil"/>
              <w:bottom w:val="nil"/>
              <w:right w:val="nil"/>
            </w:tcBorders>
            <w:vAlign w:val="bottom"/>
          </w:tcPr>
          <w:p w14:paraId="0DF24810" w14:textId="77777777" w:rsidR="00AD58C9" w:rsidRPr="001D3149" w:rsidRDefault="00AD58C9" w:rsidP="00AD58C9">
            <w:pPr>
              <w:spacing w:after="0" w:line="240" w:lineRule="auto"/>
              <w:jc w:val="center"/>
              <w:rPr>
                <w:color w:val="000000"/>
                <w:sz w:val="20"/>
              </w:rPr>
            </w:pPr>
            <w:r w:rsidRPr="001D3149">
              <w:rPr>
                <w:color w:val="000000"/>
                <w:sz w:val="20"/>
              </w:rPr>
              <w:t>19.5%</w:t>
            </w:r>
          </w:p>
        </w:tc>
        <w:tc>
          <w:tcPr>
            <w:tcW w:w="2360" w:type="dxa"/>
            <w:tcBorders>
              <w:top w:val="nil"/>
              <w:left w:val="nil"/>
              <w:bottom w:val="nil"/>
              <w:right w:val="nil"/>
            </w:tcBorders>
            <w:vAlign w:val="bottom"/>
          </w:tcPr>
          <w:p w14:paraId="22C33D65" w14:textId="77777777" w:rsidR="00AD58C9" w:rsidRPr="001D3149" w:rsidRDefault="00AD58C9" w:rsidP="00AD58C9">
            <w:pPr>
              <w:spacing w:after="0" w:line="240" w:lineRule="auto"/>
              <w:jc w:val="center"/>
              <w:rPr>
                <w:color w:val="000000"/>
                <w:sz w:val="20"/>
              </w:rPr>
            </w:pPr>
            <w:r w:rsidRPr="001D3149">
              <w:rPr>
                <w:color w:val="000000"/>
                <w:sz w:val="20"/>
              </w:rPr>
              <w:t>21.0%</w:t>
            </w:r>
          </w:p>
        </w:tc>
      </w:tr>
      <w:tr w:rsidR="00AD58C9" w:rsidRPr="001D3149" w14:paraId="65982760"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hideMark/>
          </w:tcPr>
          <w:p w14:paraId="0A3EEFAA" w14:textId="77777777" w:rsidR="00AD58C9" w:rsidRPr="004728D6" w:rsidRDefault="00AD58C9" w:rsidP="00AD58C9">
            <w:pPr>
              <w:spacing w:after="0" w:line="240" w:lineRule="auto"/>
              <w:rPr>
                <w:color w:val="000000"/>
                <w:sz w:val="20"/>
              </w:rPr>
            </w:pPr>
            <w:r w:rsidRPr="004728D6">
              <w:rPr>
                <w:color w:val="000000"/>
                <w:sz w:val="20"/>
              </w:rPr>
              <w:t>2</w:t>
            </w:r>
          </w:p>
        </w:tc>
        <w:tc>
          <w:tcPr>
            <w:tcW w:w="2448" w:type="dxa"/>
            <w:tcBorders>
              <w:top w:val="nil"/>
              <w:left w:val="nil"/>
              <w:bottom w:val="nil"/>
              <w:right w:val="nil"/>
            </w:tcBorders>
            <w:vAlign w:val="bottom"/>
          </w:tcPr>
          <w:p w14:paraId="2B7D0781" w14:textId="77777777" w:rsidR="00AD58C9" w:rsidRPr="001D3149" w:rsidRDefault="00AD58C9" w:rsidP="00AD58C9">
            <w:pPr>
              <w:spacing w:after="0" w:line="240" w:lineRule="auto"/>
              <w:jc w:val="center"/>
              <w:rPr>
                <w:color w:val="000000"/>
                <w:sz w:val="20"/>
              </w:rPr>
            </w:pPr>
            <w:r w:rsidRPr="001D3149">
              <w:rPr>
                <w:color w:val="000000"/>
                <w:sz w:val="20"/>
              </w:rPr>
              <w:t>12.3%</w:t>
            </w:r>
          </w:p>
        </w:tc>
        <w:tc>
          <w:tcPr>
            <w:tcW w:w="2360" w:type="dxa"/>
            <w:tcBorders>
              <w:top w:val="nil"/>
              <w:left w:val="nil"/>
              <w:bottom w:val="nil"/>
              <w:right w:val="nil"/>
            </w:tcBorders>
            <w:vAlign w:val="bottom"/>
          </w:tcPr>
          <w:p w14:paraId="7695A2EC" w14:textId="77777777" w:rsidR="00AD58C9" w:rsidRPr="001D3149" w:rsidRDefault="00AD58C9" w:rsidP="00AD58C9">
            <w:pPr>
              <w:spacing w:after="0" w:line="240" w:lineRule="auto"/>
              <w:jc w:val="center"/>
              <w:rPr>
                <w:color w:val="000000"/>
                <w:sz w:val="20"/>
              </w:rPr>
            </w:pPr>
            <w:r w:rsidRPr="001D3149">
              <w:rPr>
                <w:color w:val="000000"/>
                <w:sz w:val="20"/>
              </w:rPr>
              <w:t>13.5%</w:t>
            </w:r>
          </w:p>
        </w:tc>
      </w:tr>
      <w:tr w:rsidR="00AD58C9" w:rsidRPr="001D3149" w14:paraId="13DA3D7F"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hideMark/>
          </w:tcPr>
          <w:p w14:paraId="192B8098" w14:textId="77777777" w:rsidR="00AD58C9" w:rsidRPr="004728D6" w:rsidRDefault="00AD58C9" w:rsidP="00AD58C9">
            <w:pPr>
              <w:spacing w:after="0" w:line="240" w:lineRule="auto"/>
              <w:rPr>
                <w:color w:val="000000"/>
                <w:sz w:val="20"/>
              </w:rPr>
            </w:pPr>
            <w:r w:rsidRPr="004728D6">
              <w:rPr>
                <w:color w:val="000000"/>
                <w:sz w:val="20"/>
              </w:rPr>
              <w:t>3</w:t>
            </w:r>
          </w:p>
        </w:tc>
        <w:tc>
          <w:tcPr>
            <w:tcW w:w="2448" w:type="dxa"/>
            <w:tcBorders>
              <w:top w:val="nil"/>
              <w:left w:val="nil"/>
              <w:bottom w:val="nil"/>
              <w:right w:val="nil"/>
            </w:tcBorders>
            <w:vAlign w:val="bottom"/>
          </w:tcPr>
          <w:p w14:paraId="34F0FE38" w14:textId="77777777" w:rsidR="00AD58C9" w:rsidRPr="001D3149" w:rsidRDefault="00AD58C9" w:rsidP="00AD58C9">
            <w:pPr>
              <w:spacing w:after="0" w:line="240" w:lineRule="auto"/>
              <w:jc w:val="center"/>
              <w:rPr>
                <w:color w:val="000000"/>
                <w:sz w:val="20"/>
              </w:rPr>
            </w:pPr>
            <w:r w:rsidRPr="001D3149">
              <w:rPr>
                <w:color w:val="000000"/>
                <w:sz w:val="20"/>
              </w:rPr>
              <w:t>9.4%</w:t>
            </w:r>
          </w:p>
        </w:tc>
        <w:tc>
          <w:tcPr>
            <w:tcW w:w="2360" w:type="dxa"/>
            <w:tcBorders>
              <w:top w:val="nil"/>
              <w:left w:val="nil"/>
              <w:bottom w:val="nil"/>
              <w:right w:val="nil"/>
            </w:tcBorders>
            <w:vAlign w:val="bottom"/>
          </w:tcPr>
          <w:p w14:paraId="1C556A43" w14:textId="77777777" w:rsidR="00AD58C9" w:rsidRPr="001D3149" w:rsidRDefault="00AD58C9" w:rsidP="00AD58C9">
            <w:pPr>
              <w:spacing w:after="0" w:line="240" w:lineRule="auto"/>
              <w:jc w:val="center"/>
              <w:rPr>
                <w:color w:val="000000"/>
                <w:sz w:val="20"/>
              </w:rPr>
            </w:pPr>
            <w:r w:rsidRPr="001D3149">
              <w:rPr>
                <w:color w:val="000000"/>
                <w:sz w:val="20"/>
              </w:rPr>
              <w:t>10.6%</w:t>
            </w:r>
          </w:p>
        </w:tc>
      </w:tr>
      <w:tr w:rsidR="00AD58C9" w:rsidRPr="001D3149" w14:paraId="52556AE3" w14:textId="77777777" w:rsidTr="00AA0EB2">
        <w:trPr>
          <w:trHeight w:val="20"/>
          <w:jc w:val="center"/>
        </w:trPr>
        <w:tc>
          <w:tcPr>
            <w:tcW w:w="3457" w:type="dxa"/>
            <w:tcBorders>
              <w:top w:val="nil"/>
              <w:left w:val="nil"/>
              <w:bottom w:val="nil"/>
              <w:right w:val="nil"/>
            </w:tcBorders>
            <w:shd w:val="clear" w:color="auto" w:fill="auto"/>
            <w:noWrap/>
            <w:tcMar>
              <w:left w:w="216" w:type="dxa"/>
              <w:right w:w="115" w:type="dxa"/>
            </w:tcMar>
            <w:vAlign w:val="bottom"/>
            <w:hideMark/>
          </w:tcPr>
          <w:p w14:paraId="3675EA9C" w14:textId="77777777" w:rsidR="00AD58C9" w:rsidRPr="004728D6" w:rsidRDefault="00AD58C9" w:rsidP="00AD58C9">
            <w:pPr>
              <w:spacing w:after="0" w:line="240" w:lineRule="auto"/>
              <w:rPr>
                <w:color w:val="000000"/>
                <w:sz w:val="20"/>
              </w:rPr>
            </w:pPr>
            <w:r w:rsidRPr="004728D6">
              <w:rPr>
                <w:color w:val="000000"/>
                <w:sz w:val="20"/>
              </w:rPr>
              <w:t>4-5</w:t>
            </w:r>
          </w:p>
        </w:tc>
        <w:tc>
          <w:tcPr>
            <w:tcW w:w="2448" w:type="dxa"/>
            <w:tcBorders>
              <w:top w:val="nil"/>
              <w:left w:val="nil"/>
              <w:bottom w:val="nil"/>
              <w:right w:val="nil"/>
            </w:tcBorders>
            <w:vAlign w:val="bottom"/>
          </w:tcPr>
          <w:p w14:paraId="64B6225C" w14:textId="77777777" w:rsidR="00AD58C9" w:rsidRPr="001D3149" w:rsidRDefault="00AD58C9" w:rsidP="00AD58C9">
            <w:pPr>
              <w:spacing w:after="0" w:line="240" w:lineRule="auto"/>
              <w:jc w:val="center"/>
              <w:rPr>
                <w:color w:val="000000"/>
                <w:sz w:val="20"/>
              </w:rPr>
            </w:pPr>
            <w:r w:rsidRPr="001D3149">
              <w:rPr>
                <w:color w:val="000000"/>
                <w:sz w:val="20"/>
              </w:rPr>
              <w:t>7.4%</w:t>
            </w:r>
          </w:p>
        </w:tc>
        <w:tc>
          <w:tcPr>
            <w:tcW w:w="2360" w:type="dxa"/>
            <w:tcBorders>
              <w:top w:val="nil"/>
              <w:left w:val="nil"/>
              <w:bottom w:val="nil"/>
              <w:right w:val="nil"/>
            </w:tcBorders>
            <w:vAlign w:val="bottom"/>
          </w:tcPr>
          <w:p w14:paraId="3A510C66" w14:textId="77777777" w:rsidR="00AD58C9" w:rsidRPr="001D3149" w:rsidRDefault="00AD58C9" w:rsidP="00AD58C9">
            <w:pPr>
              <w:spacing w:after="0" w:line="240" w:lineRule="auto"/>
              <w:jc w:val="center"/>
              <w:rPr>
                <w:color w:val="000000"/>
                <w:sz w:val="20"/>
              </w:rPr>
            </w:pPr>
            <w:r w:rsidRPr="001D3149">
              <w:rPr>
                <w:color w:val="000000"/>
                <w:sz w:val="20"/>
              </w:rPr>
              <w:t>7.8%</w:t>
            </w:r>
          </w:p>
        </w:tc>
      </w:tr>
      <w:tr w:rsidR="00AD58C9" w:rsidRPr="001D3149" w14:paraId="1B8E6B23" w14:textId="77777777" w:rsidTr="00AA0EB2">
        <w:trPr>
          <w:trHeight w:val="20"/>
          <w:jc w:val="center"/>
        </w:trPr>
        <w:tc>
          <w:tcPr>
            <w:tcW w:w="3457" w:type="dxa"/>
            <w:tcBorders>
              <w:top w:val="nil"/>
              <w:left w:val="nil"/>
              <w:bottom w:val="single" w:sz="6" w:space="0" w:color="auto"/>
              <w:right w:val="nil"/>
            </w:tcBorders>
            <w:shd w:val="clear" w:color="auto" w:fill="auto"/>
            <w:noWrap/>
            <w:tcMar>
              <w:left w:w="216" w:type="dxa"/>
              <w:right w:w="115" w:type="dxa"/>
            </w:tcMar>
            <w:vAlign w:val="bottom"/>
            <w:hideMark/>
          </w:tcPr>
          <w:p w14:paraId="31F26B65" w14:textId="77777777" w:rsidR="00AD58C9" w:rsidRPr="004728D6" w:rsidRDefault="00AD58C9" w:rsidP="00AD58C9">
            <w:pPr>
              <w:spacing w:after="0" w:line="240" w:lineRule="auto"/>
              <w:rPr>
                <w:color w:val="000000"/>
                <w:sz w:val="20"/>
              </w:rPr>
            </w:pPr>
            <w:r w:rsidRPr="004728D6">
              <w:rPr>
                <w:color w:val="000000"/>
                <w:sz w:val="20"/>
              </w:rPr>
              <w:t>6+</w:t>
            </w:r>
          </w:p>
        </w:tc>
        <w:tc>
          <w:tcPr>
            <w:tcW w:w="2448" w:type="dxa"/>
            <w:tcBorders>
              <w:top w:val="nil"/>
              <w:left w:val="nil"/>
              <w:bottom w:val="single" w:sz="6" w:space="0" w:color="auto"/>
              <w:right w:val="nil"/>
            </w:tcBorders>
            <w:vAlign w:val="bottom"/>
          </w:tcPr>
          <w:p w14:paraId="3C0ECEDE" w14:textId="77777777" w:rsidR="00AD58C9" w:rsidRPr="001D3149" w:rsidRDefault="00AD58C9" w:rsidP="00AD58C9">
            <w:pPr>
              <w:spacing w:after="0" w:line="240" w:lineRule="auto"/>
              <w:jc w:val="center"/>
              <w:rPr>
                <w:color w:val="000000"/>
                <w:sz w:val="20"/>
              </w:rPr>
            </w:pPr>
            <w:r w:rsidRPr="001D3149">
              <w:rPr>
                <w:color w:val="000000"/>
                <w:sz w:val="20"/>
              </w:rPr>
              <w:t>5.3%</w:t>
            </w:r>
          </w:p>
        </w:tc>
        <w:tc>
          <w:tcPr>
            <w:tcW w:w="2360" w:type="dxa"/>
            <w:tcBorders>
              <w:top w:val="nil"/>
              <w:left w:val="nil"/>
              <w:bottom w:val="single" w:sz="6" w:space="0" w:color="auto"/>
              <w:right w:val="nil"/>
            </w:tcBorders>
            <w:vAlign w:val="bottom"/>
          </w:tcPr>
          <w:p w14:paraId="1F22F7F0" w14:textId="77777777" w:rsidR="00AD58C9" w:rsidRPr="001D3149" w:rsidRDefault="00AD58C9" w:rsidP="00AD58C9">
            <w:pPr>
              <w:spacing w:after="0" w:line="240" w:lineRule="auto"/>
              <w:jc w:val="center"/>
              <w:rPr>
                <w:color w:val="000000"/>
                <w:sz w:val="20"/>
              </w:rPr>
            </w:pPr>
            <w:r w:rsidRPr="001D3149">
              <w:rPr>
                <w:color w:val="000000"/>
                <w:sz w:val="20"/>
              </w:rPr>
              <w:t>8.2%</w:t>
            </w:r>
          </w:p>
        </w:tc>
      </w:tr>
    </w:tbl>
    <w:p w14:paraId="57B3AE64" w14:textId="30B5E6C3" w:rsidR="00AA0EB2" w:rsidRPr="00AA0EB2" w:rsidRDefault="00AA0EB2" w:rsidP="00AA0EB2">
      <w:pPr>
        <w:ind w:left="576"/>
        <w:rPr>
          <w:sz w:val="18"/>
          <w:szCs w:val="18"/>
        </w:rPr>
      </w:pPr>
      <w:r>
        <w:rPr>
          <w:sz w:val="18"/>
          <w:szCs w:val="18"/>
        </w:rPr>
        <w:t>*</w:t>
      </w:r>
      <w:r w:rsidRPr="00AA0EB2">
        <w:rPr>
          <w:sz w:val="18"/>
          <w:szCs w:val="18"/>
        </w:rPr>
        <w:t>p &lt;0.001 for all cancer versus non-cancer group comparisons</w:t>
      </w:r>
      <w:r w:rsidR="00E71636">
        <w:rPr>
          <w:sz w:val="18"/>
          <w:szCs w:val="18"/>
        </w:rPr>
        <w:t>.</w:t>
      </w:r>
    </w:p>
    <w:p w14:paraId="1F1F16E9" w14:textId="77777777" w:rsidR="00D967DE" w:rsidRDefault="00D967DE" w:rsidP="00AA0EB2">
      <w:pPr>
        <w:pStyle w:val="Style2"/>
        <w:spacing w:before="0" w:line="480" w:lineRule="auto"/>
        <w:rPr>
          <w:b/>
          <w:u w:val="none"/>
        </w:rPr>
      </w:pPr>
    </w:p>
    <w:p w14:paraId="4BB0C649" w14:textId="77777777" w:rsidR="00AA0EB2" w:rsidRDefault="00AA0EB2" w:rsidP="00AD58C9">
      <w:pPr>
        <w:pStyle w:val="Style2"/>
        <w:spacing w:before="0" w:line="480" w:lineRule="auto"/>
        <w:jc w:val="center"/>
        <w:rPr>
          <w:b/>
          <w:u w:val="none"/>
        </w:rPr>
      </w:pPr>
    </w:p>
    <w:p w14:paraId="0A431CB3" w14:textId="77777777" w:rsidR="00AA0EB2" w:rsidRDefault="00AA0EB2" w:rsidP="00AD58C9">
      <w:pPr>
        <w:pStyle w:val="Style2"/>
        <w:spacing w:before="0" w:line="480" w:lineRule="auto"/>
        <w:jc w:val="center"/>
        <w:rPr>
          <w:b/>
          <w:u w:val="none"/>
        </w:rPr>
        <w:sectPr w:rsidR="00AA0EB2" w:rsidSect="009468EC">
          <w:pgSz w:w="12240" w:h="15840" w:code="1"/>
          <w:pgMar w:top="1584" w:right="1440" w:bottom="1728" w:left="1440" w:header="720" w:footer="432" w:gutter="0"/>
          <w:cols w:space="720"/>
          <w:docGrid w:linePitch="360"/>
        </w:sectPr>
      </w:pPr>
    </w:p>
    <w:p w14:paraId="4AC5DA27" w14:textId="77777777" w:rsidR="004A3C4D" w:rsidRPr="00725D15" w:rsidRDefault="004A3C4D" w:rsidP="00DF3833">
      <w:pPr>
        <w:pStyle w:val="Style2"/>
        <w:spacing w:before="0" w:line="480" w:lineRule="auto"/>
      </w:pPr>
      <w:bookmarkStart w:id="117" w:name="_Toc507326062"/>
      <w:r w:rsidRPr="00725D15">
        <w:lastRenderedPageBreak/>
        <w:t>3.5 Discussion</w:t>
      </w:r>
      <w:bookmarkEnd w:id="117"/>
    </w:p>
    <w:p w14:paraId="5DC16563" w14:textId="77777777" w:rsidR="00A22226" w:rsidRPr="00725D15" w:rsidRDefault="00A22226" w:rsidP="00A22226">
      <w:pPr>
        <w:ind w:firstLine="720"/>
        <w:rPr>
          <w:rFonts w:cs="Arial"/>
          <w:szCs w:val="22"/>
        </w:rPr>
      </w:pPr>
      <w:r w:rsidRPr="00725D15">
        <w:rPr>
          <w:rFonts w:cs="Arial"/>
          <w:szCs w:val="22"/>
        </w:rPr>
        <w:t>In this study of over 70,000 Medicare beneficiaries who died in hospice, nearly one in three patients with active limited benefit medication use prior to hospice admission continued to receive at least one of these medications after hospice enrollment. Continuation varied by medication class while factors such as age, race, hospice care setting, and length of hospice stay were independently associated with continuing one or more limited benefit medications after hospice admission.</w:t>
      </w:r>
    </w:p>
    <w:p w14:paraId="5F5B6EE4" w14:textId="21ADFB32" w:rsidR="00A22226" w:rsidRPr="00725D15" w:rsidRDefault="00A22226" w:rsidP="00A22226">
      <w:pPr>
        <w:ind w:firstLine="720"/>
        <w:rPr>
          <w:rFonts w:cs="Arial"/>
          <w:szCs w:val="22"/>
        </w:rPr>
      </w:pPr>
      <w:r w:rsidRPr="00725D15">
        <w:rPr>
          <w:rFonts w:cs="Arial"/>
          <w:szCs w:val="22"/>
        </w:rPr>
        <w:t>The relatively high prevalence of limited benefit medication continuation despite hospice goals of care highlights what is likely a complex, multifactorial problem. Previously identified barriers to routine deprescribing in the setting of limited life expectancy include a reluctance among providers to discuss de-escalation of therapy, clinical inertia, lack of provider training, and refusal by patients and family members to stop medications.</w:t>
      </w:r>
      <w:bookmarkStart w:id="118" w:name="ZOTERO_BREF_QhsiSqRAzu7m"/>
      <w:r w:rsidR="00B91C0A">
        <w:rPr>
          <w:rFonts w:cs="Arial"/>
          <w:szCs w:val="22"/>
        </w:rPr>
        <w:fldChar w:fldCharType="begin"/>
      </w:r>
      <w:r w:rsidR="00EC3644">
        <w:rPr>
          <w:rFonts w:cs="Arial"/>
          <w:szCs w:val="22"/>
        </w:rPr>
        <w:instrText xml:space="preserve"> ADDIN ZOTERO_ITEM CSL_CITATION {"citationID":"a8ag9hrlhm","properties":{"formattedCitation":"\\super 45,54,56,63,71\\uc0\\u8211{}73,123,124\\nosupersub{}","plainCitation":"45,54,56,63,71–73,123,124","noteIndex":0},"citationItems":[{"id":3,"uris":["http://zotero.org/users/2597747/items/AP5M7CIV"],"uri":["http://zotero.org/users/2597747/items/AP5M7CIV"],"itemData":{"id":3,"type":"article-journal","title":"Prioritizing and stopping prescription medicines","container-title":"Canadian Medical Association Journal","page":"1083-1084","volume":"174","issue":"8","source":"PubMed Central","DOI":"10.1503/cmaj.050837","ISSN":"0820-3946","note":"PMID: 16606954\nPMCID: PMC1421477","journalAbbreviation":"CMAJ","author":[{"family":"Alexander","given":"G. Caleb"},{"family":"Sayla","given":"Maliha A."},{"family":"Holmes","given":"Holly M."},{"family":"Sachs","given":"Greg A."}],"issued":{"date-parts":[["2006",4,11]]}}},{"id":958,"uris":["http://zotero.org/users/2597747/items/I7MH25J4"],"uri":["http://zotero.org/users/2597747/items/I7MH25J4"],"itemData":{"id":958,"type":"article-journal","title":"Preventive medication use among persons with limited life expectancy","container-title":"Progress in Palliative Care","page":"15-21","volume":"19","issue":"1","source":"PubMed Central","abstract":"Persons with limited life expectancy (LLE) – less than 1 year – are significant consumers of health care, are at increased risk of polypharmacy and adverse drug events, and have dynamic health statuses. Therefore, medication use among this population must be appropriate and regularly evaluated. The objective of this review is to assess the current state of knowledge and clinical practice presented in the literature regarding preventive medication use among persons with LLE. We searched Medline, Embase, and CINAHL using Medical Subject Headings. Broad searches were first conducted using the terms ‘terminal care or therapy’ or ‘advanced disease’ and ‘polypharmacy’ or ‘inappropriate medication’ or ‘preventive medicine’, followed by more specific searches using the terms ‘statins’ or ‘anti-hypertensives’ or ‘bisphosphonates’ or ‘laxatives’ and ‘terminal care’. Frameworks to assess appropriate versus inappropriate medications for persons with LLE, and the prevalence of potentially inappropriate medication use among this population, are presented. A considerable proportion of individuals with a known terminal condition continue to take chronic disease preventive medications until death despite questionable benefit. The addition of palliative preventive medications is advised. There is an indication that as death approaches the shift from a curative to palliative goal of care translates into a shift in medication use. This literature review is a first step towards improving medication use and decreasing polypharmacy in persons at the end of life. There is a need to develop consensus criteria to assess appropriate versus inappropriate medication use, specifically for individuals at the end of life.","DOI":"10.1179/174329111X576698","ISSN":"0969-9260","note":"PMID: 21731193\nPMCID: PMC3118532","journalAbbreviation":"Prog Palliat Care","author":[{"family":"Maddison","given":"André R"},{"family":"Fisher","given":"Judith"},{"family":"Johnston","given":"Grace"}],"issued":{"date-parts":[["2011",1]]}}},{"id":947,"uris":["http://zotero.org/users/2597747/items/WEERGWMN"],"uri":["http://zotero.org/users/2597747/items/WEERGWMN"],"itemData":{"id":947,"type":"article-journal","title":"Use of unnecessary medications by patients with advanced cancer: cross-sectional survey","container-title":"Supportive Care in Cancer","page":"1313-1318","volume":"19","issue":"9","source":"link.springer.com.proxy.cc.uic.edu","abstract":"Background Cancer patients at the end of life take numerous medications. However, it has not been assessed what proportion of patients take unnecessary medications and which patients are at risk for doing so. Methods Cross-sectional survey of medications utilized by terminally ill ambulatory cancer patients, with the aim of identifying medications considered unnecessary as per explicit criteria. The criteria took into account whether drugs could benefit patients with terminal cancer. Results Among 87 patients, 21 (24%, 95% confidence interval [CI] 15.6–34.5%) were taking at least one unnecessary medication, the most common being gastric protectors. In multivariable analyses, patients with Charlson Comobidity Index ≤ 1 (OR: 4.49, CI95% 1.32–15.26; p = 0.01) or whose medication list had not been reconciled by physicians (OR: 6.38, CI95% 1.21–33.40; p = 0.02) were more likely to use an unnecessary medication. Conclusion Patients with advanced cancer take many medications considered unnecessary. Medication reconciliation should be performed routinely for these patients.","DOI":"10.1007/s00520-010-0947-1","ISSN":"0941-4355, 1433-7339","shortTitle":"Use of unnecessary medications by patients with advanced cancer","journalAbbreviation":"Support Care Cancer","language":"en","author":[{"family":"Fede","given":"Angelo"},{"family":"Miranda","given":"Michele"},{"family":"Antonangelo","given":"Daniella"},{"family":"Trevizan","given":"Ligia"},{"family":"Schaffhausser","given":"Henrique"},{"family":"Hamermesz","given":"Bruno"},{"family":"Zimmermann","given":"Camile"},{"family":"Giglio","given":"Auro Del"},{"family":"Riechelmann","given":"Rachel P."}],"issued":{"date-parts":[["2010",7,21]]}}},{"id":2291,"uris":["http://zotero.org/users/2597747/items/94XG3AWI"],"uri":["http://zotero.org/users/2597747/items/94XG3AWI"],"itemData":{"id":2291,"type":"article-journal","title":"Decision Making About Change of Medication for Comorbid Disease at the End of Life: An Integrative Review","container-title":"Drugs &amp; Aging","page":"501-512","volume":"31","issue":"7","source":"EBSCOhost","abstract":"The main goal of palliative care is to improve quality of life by treating symptoms in patients with life-threatening illnesses. Most patients suffer from more than five severe comorbidities in the last 6 months of life. However, for patients receiving palliative care, interventions to prevent possible long-term complications of these comorbidities are no longer the primary aim of care. This paper aimed to review the literature regarding decision making about medication for comorbid disease at the end of life, defined as a life expectancy &lt;3 months, and to formulate preliminary recommendations based on the existing literature. An integrative review approach was used. We searched the MEDLINE, EMBASE, and CINAHL databases. Papers were included if they had been published in the English language between 1 January 1995 and 31 December 2013, with an abstract. Additional studies were identified by searching bibliographies. Factors to consider when systematically reviewing medications are the goals of care, remaining life expectancy, treatment targets, time until benefit, number needed to treat, number needed to harm, and adverse drug reactions. Existing research focuses particularly on the use of certain drug classes during end-of-life care, including statins, antihypertensive agents, anticoagulants, antihyperglycaemic agents and antibiotics. Based on the results of this review, we made preliminary recommendations for these medication groups. Medication that does not benefit the patient in any way should be avoided. The aim of medication at the end of life should be symptom control. There is a need for prospective trials to give further insight into the decision-making process of medication management at the end of life.","DOI":"10.1007/s40266-014-0182-4","ISSN":"1170-229X","shortTitle":"Decision Making About Change of Medication for Comorbid Disease at the End of Life","journalAbbreviation":"Drugs &amp; Aging","author":[{"family":"Nordennen","given":"Ronald"},{"family":"Lavrijsen","given":"Jan"},{"family":"Vissers","given":"Kris"},{"family":"Koopmans","given":"Raymond"}],"issued":{"date-parts":[["2014",7]]}}},{"id":361,"uris":["http://zotero.org/users/2597747/items/8R2CFPQV"],"uri":["http://zotero.org/users/2597747/items/8R2CFPQV"],"itemData":{"id":361,"type":"article-journal","title":"Appropriate Discontinuation of Medications at the End of Life: A Need to Establish Consensus Criteria","container-title":"American Journal of Medical Quality","page":"393-394","volume":"22","issue":"6","source":"ajm.sagepub.com.proxy.cc.uic.edu","DOI":"10.1177/1062860607308145","ISSN":"1062-8606, 1555-824X","note":"PMID: 18006418","shortTitle":"Appropriate Discontinuation of Medications at the End of Life","journalAbbreviation":"American Journal of Medical Quality","language":"en","author":[{"family":"Lee","given":"Seina P."},{"family":"Bain","given":"Kevin T."},{"family":"Maio","given":"Vittorio"}],"issued":{"date-parts":[["2007",11,1]]}}},{"id":43,"uris":["http://zotero.org/users/2597747/items/EGJGBNAW"],"uri":["http://zotero.org/users/2597747/items/EGJGBNAW"],"itemData":{"id":43,"type":"article-journal","title":"Discontinuing Medications: A Novel Approach for Revising the Prescribing Stage of the Medication-Use Process","container-title":"Journal of the American Geriatrics Society","page":"1946-1952","volume":"56","issue":"10","source":"PubMed Central","abstract":"Thousands of Americans are injured or die each year from adverse drug reactions, many of which are preventable. The burden of harm conveyed by the use of medications is a significant public health problem and, therefore, improving the medication-use process is a priority. Recent and ongoing efforts to improve the medication-use process focus primarily on improving medication prescribing, and not much emphasis has been put on improving medication discontinuation. A formalized approach for rationally discontinuing medications is a necessary antecedent to improving medication safety and improving the nation’s quality of care. This paper proposes a conceptual framework for revising the prescribing stage of the medication-use process to include discontinuing medications. This framework has substantial practice and research implications, especially for the clinical care of older persons, who are particularly susceptible to the adverse effects of medications.","DOI":"10.1111/j.1532-5415.2008.01916.x","ISSN":"0002-8614","note":"PMID: 18771457\nPMCID: PMC3119470","shortTitle":"Discontinuing Medications","journalAbbreviation":"J Am Geriatr Soc","author":[{"family":"Bain","given":"Kevin T."},{"family":"Holmes","given":"Holly M."},{"family":"Beers","given":"Mark H."},{"family":"Maio","given":"Vittorio"},{"family":"Handler","given":"Steven M."},{"family":"Pauker","given":"Stephen G."}],"issued":{"date-parts":[["2008",10]]}}},{"id":1057,"uris":["http://zotero.org/users/2597747/items/ZTIA7XB8"],"uri":["http://zotero.org/users/2597747/items/ZTIA7XB8"],"itemData":{"id":1057,"type":"article-journal","title":"Statin use in cancer patients with brain metastases: a missed communication opportunity at the end of life","container-title":"Supportive Care in Cancer","page":"2643-2648","volume":"23","issue":"9","source":"link.springer.com.proxy.cc.uic.edu","abstract":"Purpose Preventive care, referring to medical interventions with anticipated long-term benefits, is often inappropriately continued near the end of life. We examined the use of statin medications in patients with brain metastases receiving whole brain radiation therapy to determine the effect of short life expectancy and regular interaction with oncology providers on statin discontinuation. We propose reasons for the unnecessary continuation of preventive care and suggest that it is a frequently missed communication opportunity to discuss prognosis in a concrete manner. Methods This is a retrospective study examining statin use in patients receiving whole brain radiotherapy for brain metastases. A total of 206 patients at two cancer centers were studied, and information on statin use and clinical characteristics was obtained from review of the medical record. Results Of the 206 patients, 53 (26 %) were on a statin at their initial radiation oncology consultation. Of these patients, 13 (25 %) had their statin discontinued by the time of their last follow-up visit, but 40 patients (75 %) were continued on their statin despite their limited life expectancy and low likelihood of benefit. Conclusions The majority of patients who were on statins prior to starting palliative whole brain radiation therapy remained on a statin after completing treatment despite an estimated survival of months and regular visits with an oncologist. This represents a missed opportunity for doctors and patients to discuss the appropriateness of continuing preventive care as part of an important conversation about prognosis.","DOI":"10.1007/s00520-015-2624-x","ISSN":"0941-4355, 1433-7339","shortTitle":"Statin use in cancer patients with brain metastases","journalAbbreviation":"Support Care Cancer","language":"en","author":[{"family":"Mullvain","given":"Jacqueline A."},{"family":"Kozak","given":"Kevin R."},{"family":"Moody","given":"John S."},{"family":"Campbell","given":"Toby C."}],"issued":{"date-parts":[["2015",2,7]]}}},{"id":3921,"uris":["http://zotero.org/users/2597747/items/VZKNF43C"],"uri":["http://zotero.org/users/2597747/items/VZKNF43C"],"itemData":{"id":3921,"type":"article-journal","title":"Clinical Momentum in the Intensive Care Unit. A Latent Contributor to Unwanted Care","container-title":"Annals of the American Thoracic Society","page":"426-431","volume":"14","issue":"3","source":"PubMed","abstract":"Many older adults in the United States receive invasive medical care near the end of life, often in an intensive care unit (ICU). However, most older adults report preferences to avoid this type of medical care and to prioritize comfort and quality of life near death. We propose a novel term, \"clinical momentum,\" to describe a system-level, latent, previously unrecognized property of clinical care that may contribute to the provision of unwanted care in the ICU. The example of chronic critical illness illustrates how clinical momentum is generated and propagated during the care of patients with prolonged illness. The ICU is an environment that is generally permissive of intervention, and clinical practice norms and patterns of usual care can promote the accumulation of multiple interventions over time. Existing models of medical decision-making in the ICU describe how individual signs, symptoms, or diagnoses automatically lead to intervention, bypassing opportunities to deliberate about the value of an intervention in the context of a patient's likely outcome or treatment preferences. We hypothesize that clinical momentum influences patients, families, and physicians to accept or tolerate ongoing interventions without consideration of likely outcomes, eventually leading to the delivery of unwanted care near the end of life. In the future, a mixed-methods research program could refine the conceptual model of clinical momentum, measure its impact on clinical practice, and interrupt its influence on unwanted care near the end of life.","DOI":"10.1513/AnnalsATS.201611-931OI","ISSN":"2325-6621","note":"PMID: 27997808\nPMCID: PMC5427724","journalAbbreviation":"Ann Am Thorac Soc","language":"eng","author":[{"family":"Kruser","given":"Jacqueline M."},{"family":"Cox","given":"Christopher E."},{"family":"Schwarze","given":"Margaret L."}],"issued":{"date-parts":[["2017",3]]}}},{"id":950,"uris":["http://zotero.org/users/2597747/items/6SF6I23J"],"uri":["http://zotero.org/users/2597747/items/6SF6I23J"],"itemData":{"id":950,"type":"article-journal","title":"Statin Prescribing Patterns in a Cohort of Cancer Patients with Poor Prognosis","container-title":"Journal of Palliative Medicine","page":"412-418","volume":"16","issue":"4","source":"PubMed Central","abstract":"Background\nThere are no evidence-based recommendations for statin continuation or discontinuation near the end of life. However, some expert opinion recommends continuing statins prescribed for secondary versus primary prevention of cardiovascular disease.\n\nObjectives\nOur aim was to explore statin prescribing patterns in a longitudinal cohort of individuals with life-limiting illness, and to evaluate differences in these patterns based on secondary versus primary prevention of cardiovascular disease.\n\nDesign and setting\nThis study was a retrospective cohort analysis of 539 persons in an integrated, not-for-profit health maintenance organization (HMO) setting who were receiving statins at diagnosis of a cancer with 0% to 25% predicted 5-year survival. Of the cohort patients, 343 were taking statins for secondary prevention and 196 for primary prevention of cardiovascular disease. Measurements included number and timing of statin refills between diagnosis and date of death, disenrollment, or the end of the observation period.\n\nResults\nFour hundred and ninety-six cohort members died within the observation period. Fifty-eight percent of the secondary prevention and 62% of the primary prevention group had at least one statin refill after diagnosis. There were no significant differences between groups for number of days between diagnosis and last refill, or between last refill and death. Two deaths were attributable to cardiovascular causes in each group.\n\nConclusions\nOur retrospective cohort analysis of persons with incident poor-prognosis cancer describes diminished, but persistent statin refills after diagnosis. Neither timing of statin discontinuation nor cardiovascular mortality differed by prescribing indication. There may be an opportunity to reevaluate medication burden in persons taking statins for primary prevention, and it is unclear whether continuing statins prescribed for secondary prevention affects cardiovascular outcomes.","DOI":"10.1089/jpm.2012.0158","ISSN":"1096-6218","note":"PMID: 23305190\nPMCID: PMC3612279","journalAbbreviation":"J Palliat Med","author":[{"family":"Bayliss","given":"Elizabeth A."},{"family":"Bronsert","given":"Michael R."},{"family":"Reifler","given":"Liza M."},{"family":"Ellis","given":"Jennifer L."},{"family":"Steiner","given":"John F."},{"family":"McQuillen","given":"Deanna B."},{"family":"Fairclough","given":"Diane L."}],"issued":{"date-parts":[["2013",4]]}}}],"schema":"https://github.com/citation-style-language/schema/raw/master/csl-citation.json"}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45,54,56,63,71–73,123,124</w:t>
      </w:r>
      <w:r w:rsidR="00B91C0A">
        <w:rPr>
          <w:rFonts w:cs="Arial"/>
          <w:szCs w:val="22"/>
        </w:rPr>
        <w:fldChar w:fldCharType="end"/>
      </w:r>
      <w:bookmarkEnd w:id="118"/>
      <w:r w:rsidR="00B91C0A">
        <w:rPr>
          <w:rFonts w:cs="Arial"/>
          <w:szCs w:val="22"/>
          <w:vertAlign w:val="superscript"/>
        </w:rPr>
        <w:t xml:space="preserve"> </w:t>
      </w:r>
      <w:r w:rsidRPr="00725D15">
        <w:rPr>
          <w:rFonts w:cs="Arial"/>
          <w:szCs w:val="22"/>
        </w:rPr>
        <w:t>Further, systems-level measures curtailing non-palliative medication use in the hospice setting are lacking. In December 2013, Medicare strongly advised Part D plan sponsors to place prior authorization requirements on all medications for hospice enrollees; however, this guidance was later revised to only include four classes of medications which are typically provided by hospice: analgesics, antiemetics, laxatives, and anxiolytics.</w:t>
      </w:r>
      <w:bookmarkStart w:id="119" w:name="ZOTERO_BREF_ZJAAB9SzZRhg"/>
      <w:r w:rsidR="00B91C0A">
        <w:rPr>
          <w:rFonts w:cs="Arial"/>
          <w:szCs w:val="22"/>
        </w:rPr>
        <w:fldChar w:fldCharType="begin"/>
      </w:r>
      <w:r w:rsidR="00EC3644">
        <w:rPr>
          <w:rFonts w:cs="Arial"/>
          <w:szCs w:val="22"/>
        </w:rPr>
        <w:instrText xml:space="preserve"> ADDIN ZOTERO_ITEM CSL_CITATION {"citationID":"a1g0hqacrkd","properties":{"formattedCitation":"\\super 17,110\\nosupersub{}","plainCitation":"17,110","noteIndex":0},"citationItems":[{"id":3281,"uris":["http://zotero.org/users/2597747/items/QXQK3EQW"],"uri":["http://zotero.org/users/2597747/items/QXQK3EQW"],"itemData":{"id":3281,"type":"report","title":"Part D Payment for Drugs for Beneficiaries Enrolled in Hospice—Request for Comments [Memorandum]","publisher":"Centers for Medicare and Medicaid Services","publisher-place":"Baltimore, MD","event-place":"Baltimore, MD","author":[{"family":"Tudor","given":"CG"},{"family":"Wilson","given":"L"},{"family":"Majestic","given":"M"}],"issued":{"date-parts":[["2013",12,6]]}}},{"id":3934,"uris":["http://zotero.org/users/2597747/items/JMWR7NXV"],"uri":["http://zotero.org/users/2597747/items/JMWR7NXV"],"itemData":{"id":3934,"type":"report","title":"Part D Payment for Drugs for Beneficiaries Enrolled in Medicare Hospice [Memorandum]","publisher":"Centers for Medicare and Medicaid Services","publisher-place":"Baltimore, MD","event-place":"Baltimore, MD","author":[{"family":"Larrick","given":"AK"},{"family":"Wilson","given":"L"}],"issued":{"date-parts":[["2014",7,18]]}}}],"schema":"https://github.com/citation-style-language/schema/raw/master/csl-citation.json"}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17,110</w:t>
      </w:r>
      <w:r w:rsidR="00B91C0A">
        <w:rPr>
          <w:rFonts w:cs="Arial"/>
          <w:szCs w:val="22"/>
        </w:rPr>
        <w:fldChar w:fldCharType="end"/>
      </w:r>
      <w:bookmarkEnd w:id="119"/>
      <w:r w:rsidRPr="00725D15">
        <w:rPr>
          <w:rFonts w:cs="Arial"/>
          <w:szCs w:val="22"/>
        </w:rPr>
        <w:t xml:space="preserve"> While the resulting decreases in Part D utilization for these four drug classes has been dramatic, use of maintenance medications remains high.</w:t>
      </w:r>
      <w:r w:rsidR="00B91C0A">
        <w:rPr>
          <w:rFonts w:cs="Arial"/>
          <w:szCs w:val="22"/>
        </w:rPr>
        <w:fldChar w:fldCharType="begin"/>
      </w:r>
      <w:r w:rsidR="00EC3644">
        <w:rPr>
          <w:rFonts w:cs="Arial"/>
          <w:szCs w:val="22"/>
        </w:rPr>
        <w:instrText xml:space="preserve"> ADDIN ZOTERO_ITEM CSL_CITATION {"citationID":"a1pd15fqf9j","properties":{"formattedCitation":"\\super 96\\nosupersub{}","plainCitation":"96","noteIndex":0},"citationItems":[{"id":3903,"uris":["http://zotero.org/users/2597747/items/Q5ICD8CT"],"uri":["http://zotero.org/users/2597747/items/Q5ICD8CT"],"itemData":{"id":3903,"type":"report","title":"Update on Part D Payment Responsibility for Drugs for Beneficiaries Enrolled in Medicare Hospice [Memorandum]","publisher":"Centers for Medicare and Medicaid Services","publisher-place":"Baltimore, MD","event-place":"Baltimore, MD","author":[{"family":"Chavez-Valdez","given":"AL"},{"family":"Wilson","given":"L"}],"issued":{"date-parts":[["2016",11,15]]},"accessed":{"date-parts":[["2017",8,1]]}}}],"schema":"https://github.com/citation-style-language/schema/raw/master/csl-citation.json"}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96</w:t>
      </w:r>
      <w:r w:rsidR="00B91C0A">
        <w:rPr>
          <w:rFonts w:cs="Arial"/>
          <w:szCs w:val="22"/>
        </w:rPr>
        <w:fldChar w:fldCharType="end"/>
      </w:r>
      <w:r w:rsidRPr="00725D15">
        <w:rPr>
          <w:rFonts w:cs="Arial"/>
          <w:szCs w:val="22"/>
        </w:rPr>
        <w:t xml:space="preserve"> Our results may prompt further development of Medicare Part D policies aimed at more closely monitoring the reimbursement of non-essential medications at the end of life without compromising quality of care.</w:t>
      </w:r>
    </w:p>
    <w:p w14:paraId="51B9F832" w14:textId="7CA07E9E" w:rsidR="00A22226" w:rsidRPr="00725D15" w:rsidRDefault="00A22226" w:rsidP="00A22226">
      <w:pPr>
        <w:ind w:firstLine="720"/>
        <w:rPr>
          <w:rFonts w:cs="Arial"/>
          <w:szCs w:val="22"/>
        </w:rPr>
      </w:pPr>
      <w:r w:rsidRPr="00725D15">
        <w:rPr>
          <w:rFonts w:cs="Arial"/>
          <w:szCs w:val="22"/>
        </w:rPr>
        <w:t>A lack of outcomes data or guidelines supporting discontinuation of specific medication classes in the palliative care setting introduces further uncertainty into the deprescribing process. This may be illustrated in our results, where therapeutic classes more unanimously cited by geriatric and palliative care experts as providing little benefit at the end of life (e.g., lipid-</w:t>
      </w:r>
      <w:r w:rsidRPr="00725D15">
        <w:rPr>
          <w:rFonts w:cs="Arial"/>
          <w:szCs w:val="22"/>
        </w:rPr>
        <w:lastRenderedPageBreak/>
        <w:t>lowering medications) were continued substantially less frequently than classes associated with more uncertainty (e.g., antihypertensives). However, recent efforts have been made to address this evidence gap. A randomized, controlled trial among patients with a life expectancy of one year or less found that statin discontinuation at the end of life was safe and did not diminish quality of life.</w:t>
      </w:r>
      <w:bookmarkStart w:id="120" w:name="ZOTERO_BREF_20nde9RHqEs0"/>
      <w:r w:rsidR="00B91C0A">
        <w:rPr>
          <w:rFonts w:cs="Arial"/>
          <w:szCs w:val="22"/>
        </w:rPr>
        <w:fldChar w:fldCharType="begin"/>
      </w:r>
      <w:r w:rsidR="00EC3644">
        <w:rPr>
          <w:rFonts w:cs="Arial"/>
          <w:szCs w:val="22"/>
        </w:rPr>
        <w:instrText xml:space="preserve"> ADDIN ZOTERO_ITEM CSL_CITATION {"citationID":"aq2064ham","properties":{"formattedCitation":"\\super 108\\nosupersub{}","plainCitation":"108","noteIndex":0},"citationItems":[{"id":354,"uris":["http://zotero.org/users/2597747/items/5MZCQ2JR"],"uri":["http://zotero.org/users/2597747/items/5MZCQ2JR"],"itemData":{"id":354,"type":"article-journal","title":"Safety and Benefit of Discontinuing Statin Therapy in the Setting of Advanced, Life-Limiting Illness","container-title":"JAMA internal medicine","page":"691-700","volume":"175","issue":"5","source":"PubMed Central","abstract":"IMPORTANCE\nFor patients with limited prognosis, some medication risks may outweigh the benefits, particularly when benefits take years to accrue; statins are one example. Data are lacking regarding the risks and benefits of discontinuing statin therapy for patients with limited life expectancy.\n\nOBJECTIVE\nTo evaluate the safety, clinical, and cost impact of discontinuing statin medications for patients in the palliative care setting.\n\nDESIGN, SETTING, AND PARTICIPANTS\nThis was a multicenter, parallel-group, unblinded, pragmatic clinical trial. Eligibility included adults with an estimated life expectancy of between 1 month and 1 year, statin therapy for 3 months or more for primary or secondary prevention of cardiovascular disease, recent deterioration in functional status, and no recent active cardiovascular disease. Participants were randomized to either discontinue or continue statin therapy and were monitored monthly for up to 1 year. The study was conducted from June 3, 2011, to May 2, 2013. All analyses were performed using an intent-to-treat approach.\n\nINTERVENTIONS\nStatin therapy was withdrawn from eligible patients who were randomized to the discontinuation group. Patients in the continuation group continued to receive statins.\n\nMAIN OUTCOMES AND MEASURES\nOutcomes included death within 60 days (primary outcome), survival, cardiovascular events, performance status, quality of life (QOL), symptoms, number of nonstatin medications, and cost savings.\n\nRESULTS\nA total of 381 patients were enrolled; 189 of these were randomized to discontinue statins, and 192 were randomized to continue therapy. Mean (SD) age was 74.1 (11.6) years, 22.0% of the participants were cognitively impaired, and 48.8% had cancer. The proportion of participants in the discontinuation vs continuation groups who died within 60 days was not significantly different (23.8% vs 20.3%; 90% CI, −3.5% to 10.5%; P = .36) and did not meet the noninferiority end point. Total QOL was better for the group discontinuing statin therapy (mean McGill QOL score, 7.11 vs 6.85; P = .04). Few participants experienced cardiovascular events (13 in the discontinuation group vs 11 in the continuation group). Mean cost savings were $3.37 per day and $716 per patient.\n\nCONCLUSIONS AND RELEVANCE\nThis pragmatic trial suggests that stopping statin medication therapy is safe and may be associated with benefits including improved QOL, use of fewer nonstatin medications, and a corresponding reduction in medication costs. Thoughtful patient-provider discussions regarding the uncertain benefit and potential decrement in QOL associated with statin continuation in this setting are warranted.\n\nTRIAL REGISTRATION\nclinicaltrials.gov Identifier: NCT01415934","DOI":"10.1001/jamainternmed.2015.0289","ISSN":"2168-6106","note":"PMID: 25798575\nPMCID: PMC4618294","journalAbbreviation":"JAMA Intern Med","author":[{"family":"Kutner","given":"Jean S."},{"family":"Blatchford","given":"Patrick J."},{"family":"Taylor","given":"Don H."},{"family":"Ritchie","given":"Christine S."},{"family":"Bull","given":"Janet H."},{"family":"Fairclough","given":"Diane L."},{"family":"Hanson","given":"Laura C."},{"family":"LeBlanc","given":"Thomas W."},{"family":"Samsa","given":"Greg P."},{"family":"Wolf","given":"Steven"},{"family":"Aziz","given":"Noreen M."},{"family":"Currow","given":"David C."},{"family":"Ferrell","given":"Betty"},{"family":"Wagner-Johnston","given":"Nina"},{"family":"Zafar","given":"S. Yousuf"},{"family":"Cleary","given":"James F."},{"family":"Dev","given":"Sandesh"},{"family":"Goode","given":"Patricia S."},{"family":"Kamal","given":"Arif H."},{"family":"Kassner","given":"Cordt"},{"family":"Kvale","given":"Elizabeth A."},{"family":"McCallum","given":"Janelle G."},{"family":"Ogunseitan","given":"Adeboye B."},{"family":"Pantilat","given":"Steven Z."},{"family":"Portenoy","given":"Russell K."},{"family":"Prince-Paul","given":"Maryjo"},{"family":"Sloan","given":"Jeff A."},{"family":"Swetz","given":"Keith M."},{"family":"Von Gunten","given":"Charles F."},{"family":"Abernethy","given":"Amy P."}],"issued":{"date-parts":[["2015",5]]}}}],"schema":"https://github.com/citation-style-language/schema/raw/master/csl-citation.json"}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108</w:t>
      </w:r>
      <w:r w:rsidR="00B91C0A">
        <w:rPr>
          <w:rFonts w:cs="Arial"/>
          <w:szCs w:val="22"/>
        </w:rPr>
        <w:fldChar w:fldCharType="end"/>
      </w:r>
      <w:bookmarkEnd w:id="120"/>
      <w:r w:rsidRPr="00725D15">
        <w:rPr>
          <w:rFonts w:cs="Arial"/>
          <w:szCs w:val="22"/>
        </w:rPr>
        <w:t xml:space="preserve"> The recently introduced STOPPFrail consensus criteria provide the first explicit, medication-specific recommendations for deprescribing in older adults with limited life expectancy, regardless of healthcare setting or terminal illness.</w:t>
      </w:r>
      <w:bookmarkStart w:id="121" w:name="ZOTERO_BREF_La6hoviFgcZh"/>
      <w:r w:rsidR="00B91C0A">
        <w:rPr>
          <w:rFonts w:cs="Arial"/>
          <w:szCs w:val="22"/>
        </w:rPr>
        <w:fldChar w:fldCharType="begin"/>
      </w:r>
      <w:r w:rsidR="00EC3644">
        <w:rPr>
          <w:rFonts w:cs="Arial"/>
          <w:szCs w:val="22"/>
        </w:rPr>
        <w:instrText xml:space="preserve"> ADDIN ZOTERO_ITEM CSL_CITATION {"citationID":"a294mhepvf1","properties":{"formattedCitation":"\\super 103\\nosupersub{}","plainCitation":"103","noteIndex":0},"citationItems":[{"id":4020,"uris":["http://zotero.org/users/2597747/items/ZGIQV9AG"],"uri":["http://zotero.org/users/2597747/items/ZGIQV9AG"],"itemData":{"id":4020,"type":"article-journal","title":"STOPPFrail (Screening Tool of Older Persons Prescriptions in Frail adults with limited life expectancy): consensus validation","container-title":"Age and Ageing","page":"600-607","volume":"46","issue":"4","source":"PubMed","abstract":"Objective: to validate STOPPFrail, a list of explicit criteria for potentially inappropriate medication (PIM) use in frail older adults with limited life expectancy.\nDesign: a Delphi consensus survey of an expert panel comprising academic geriatricians, clinical pharmacologists, palliative care physicians, old age psychiatrists, general practitioners and clinical pharmacists.\nSetting: Ireland.\nSubjects: seventeen panellists.\nMethods: STOPPFrail criteria were initially created by the authors based on clinical experience and literature appraisal. Criteria were organised according to the physiological system; each criterion accompanied by an explanation. Using Delphi consensus methodology, panellists ranked their agreement with each criterion on a 5-point Likert scale and provided written feedback. Criteria with a median Likert response of 4/5 (agree/strongly agree) and a 25th centile of ≥4 were included in the final list.\nResults: all panellists completed three Delphi rounds. Thirty criteria were proposed, 27 were accepted. The first two criteria suggest deprescribing medications without indication or where compliance is poor. The remaining 25 criteria include lipid-lowering therapies, alpha-blockers for hypertension, anti-platelets, neuroleptics, memantine, proton-pump inhibitors, H2-receptor antagonists, anti-spasmodic agents, theophylline, leukotriene antagonists, calcium supplements, bone anti-resorptive therapy, selective oestrogen receptor modulators, non-steroidal anti-inflammatories, corticosteroids, 5-alpha-reductase inhibitors, alpha-1-selective blockers, muscarinic antagonists, oral diabetic agents, ACE-inhibitors, angiotensin receptor blockers, systemic oestrogens, multivitamins, nutritional supplements and prophylactic antibiotics. Consensus could not be reached on the inclusion of acetylcholinesterase inhibitors. Full consensus was reached on the exclusion of anticoagulants and antidepressants from the list.\nConclusion: STOPPFrail comprises 27 criteria relating to medications that are potentially inappropriate in frail older patients with limited life expectancy. STOPPFrail may assist physicians in deprescribing medications in these patients.","DOI":"10.1093/ageing/afx005","ISSN":"1468-2834","note":"PMID: 28119312","shortTitle":"STOPPFrail (Screening Tool of Older Persons Prescriptions in Frail adults with limited life expectancy)","journalAbbreviation":"Age Ageing","language":"eng","author":[{"family":"Lavan","given":"Amanda Hanora"},{"family":"Gallagher","given":"Paul"},{"family":"Parsons","given":"Carole"},{"family":"O'Mahony","given":"Denis"}],"issued":{"date-parts":[["2017",7,1]]}}}],"schema":"https://github.com/citation-style-language/schema/raw/master/csl-citation.json"}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103</w:t>
      </w:r>
      <w:r w:rsidR="00B91C0A">
        <w:rPr>
          <w:rFonts w:cs="Arial"/>
          <w:szCs w:val="22"/>
        </w:rPr>
        <w:fldChar w:fldCharType="end"/>
      </w:r>
      <w:bookmarkEnd w:id="121"/>
      <w:r w:rsidRPr="00725D15">
        <w:rPr>
          <w:rFonts w:cs="Arial"/>
          <w:szCs w:val="22"/>
        </w:rPr>
        <w:t xml:space="preserve"> </w:t>
      </w:r>
    </w:p>
    <w:p w14:paraId="6673680F" w14:textId="71CEAABB" w:rsidR="00A22226" w:rsidRPr="00725D15" w:rsidRDefault="00A22226" w:rsidP="00A22226">
      <w:pPr>
        <w:ind w:firstLine="720"/>
        <w:rPr>
          <w:rFonts w:cs="Arial"/>
          <w:szCs w:val="22"/>
        </w:rPr>
      </w:pPr>
      <w:r w:rsidRPr="00725D15">
        <w:rPr>
          <w:rFonts w:cs="Arial"/>
          <w:szCs w:val="22"/>
        </w:rPr>
        <w:t>The increased risk of continuation associated with hospice admission in nursing and assisted-living facilities may have a basis in the prescription processing practices of long-term care pharmacies. These pharmacies may process medication refills automatically and indefinitely for their facility residents unless a provider (or provider’s agent) explicitly notifies the pharmacy of a change in therapy.</w:t>
      </w:r>
      <w:bookmarkStart w:id="122" w:name="ZOTERO_BREF_EWrPxeLqml8r"/>
      <w:r w:rsidR="00B91C0A">
        <w:rPr>
          <w:rFonts w:cs="Arial"/>
          <w:szCs w:val="22"/>
        </w:rPr>
        <w:fldChar w:fldCharType="begin"/>
      </w:r>
      <w:r w:rsidR="00EC3644">
        <w:rPr>
          <w:rFonts w:cs="Arial"/>
          <w:szCs w:val="22"/>
        </w:rPr>
        <w:instrText xml:space="preserve"> ADDIN ZOTERO_ITEM CSL_CITATION {"citationID":"a1t86qc19n2","properties":{"formattedCitation":"\\super 125\\nosupersub{}","plainCitation":"125","noteIndex":0},"citationItems":[{"id":3974,"uris":["http://zotero.org/users/2597747/items/SKC5NNGX"],"uri":["http://zotero.org/users/2597747/items/SKC5NNGX"],"itemData":{"id":3974,"type":"report","title":"CMS Review of Current Standards of Practice for Long-Term Care Pharmacy Services.","publisher":"The Lewin Group","URL":"https://www.cms.gov/Research-Statistics-Data-and-Systems/Statistics-Trends-and-Reports/Reports/downloads/lewingroup.pdf","issued":{"date-parts":[["2004",12]]}}}],"schema":"https://github.com/citation-style-language/schema/raw/master/csl-citation.json"}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125</w:t>
      </w:r>
      <w:r w:rsidR="00B91C0A">
        <w:rPr>
          <w:rFonts w:cs="Arial"/>
          <w:szCs w:val="22"/>
        </w:rPr>
        <w:fldChar w:fldCharType="end"/>
      </w:r>
      <w:bookmarkEnd w:id="122"/>
      <w:r w:rsidRPr="00725D15">
        <w:rPr>
          <w:rFonts w:cs="Arial"/>
          <w:szCs w:val="22"/>
        </w:rPr>
        <w:t xml:space="preserve"> Given that initiation of hospice care in these facilities often does not represent a change in a patient’s care setting, standing orders for preventative medications used prior to hospice enrollment may continue to be automatically dispensed by the facility-associated pharmacy after a patient’s hospice election. </w:t>
      </w:r>
    </w:p>
    <w:p w14:paraId="746BF5BE" w14:textId="55BFB1DB" w:rsidR="00A22226" w:rsidRPr="00725D15" w:rsidRDefault="00A22226" w:rsidP="00A22226">
      <w:pPr>
        <w:ind w:firstLine="720"/>
        <w:rPr>
          <w:rFonts w:cs="Arial"/>
          <w:szCs w:val="22"/>
        </w:rPr>
      </w:pPr>
      <w:r w:rsidRPr="00725D15">
        <w:rPr>
          <w:rFonts w:cs="Arial"/>
          <w:szCs w:val="22"/>
        </w:rPr>
        <w:t>Explanations for the dramatic, positive trend of limited benefit medication continuation with increasing hospice length of stay are not immediately clear. While prescribers may be more likely to discontinue such medications in patients with a poorer prognosis, patients with longer hospice stays may simply be living long enough to be eligible for routine refills of the medications that they were taking prior to admission.</w:t>
      </w:r>
      <w:bookmarkStart w:id="123" w:name="ZOTERO_BREF_mwmArh5aKHDn"/>
      <w:r w:rsidR="00B91C0A">
        <w:rPr>
          <w:rFonts w:cs="Arial"/>
          <w:szCs w:val="22"/>
        </w:rPr>
        <w:fldChar w:fldCharType="begin"/>
      </w:r>
      <w:r w:rsidR="00EC3644">
        <w:rPr>
          <w:rFonts w:cs="Arial"/>
          <w:szCs w:val="22"/>
        </w:rPr>
        <w:instrText xml:space="preserve"> ADDIN ZOTERO_ITEM CSL_CITATION {"citationID":"a19hmc6hti9","properties":{"formattedCitation":"\\super 126\\nosupersub{}","plainCitation":"126","noteIndex":0},"citationItems":[{"id":1076,"uris":["http://zotero.org/users/2597747/items/V9QPGI3M"],"uri":["http://zotero.org/users/2597747/items/V9QPGI3M"],"itemData":{"id":1076,"type":"article-journal","title":"Factors influencing deprescribing habits among geriatricians","container-title":"Age and Ageing","page":"704-708","volume":"44","issue":"4","source":"ageing.oxfordjournals.org.proxy.cc.uic.edu","abstract":"Background: deprescribing habits among physicians managing older, frailer, cognitively impaired patients have not been well investigated.\nMethods: an anonymised electronic survey was disseminated to all members of an international geriatric society/local advanced trainee network (N = 930). This comprised a Likert-scale analysis of factors influencing desprescribing, and five case vignettes, detailing a patient with progressive cognitive impairment and dependency, on a background of ischaemic heart disease and hypertension.\nResults: among 134 respondents (response rate 14.4%), 47.4% were female, 48.9% aged 36–50 years and 84.1% specialists (15.9% trainees). Respondents commonly rated limited life expectancy (96.2%) and cognitive impairment (84.1%) as very/extremely important to deprescribing practices. On multivariable analysis, older respondents less commonly rated functional dependency (odds ratio [OR] 0.22 per change in age category; P &lt; 0.001) and limited life expectancy (OR 0.09, P = 0.04) important when deprescribing, while female participants (OR 3.03, P &lt; 0.001) and trainees (versus specialists OR 14.29, P &lt; 0.001) more often rated adherence to evidence-based guidelines important. As vignettes described increasing dependency and cognitive impairment, physicians were more likely to stop donepezil, aspirin, atorvastatin and antihypertensives (all P &lt; 0.001 for trend). Aspirin (93.6%) and ramipril (94.1%) were most commonly deprescribed. Commonest reasons cited for deprescribing medications were ‘dementia severity’, followed by pill burden.\nConclusion: in this exploratory analysis, geriatricians rated limited life expectancy and cognitive impairment very important in driving deprescribing practices. Geriatricians more often deprescribed multiple medications in the setting of advancing dependency and cognitive impairment, driven by dementia severity and pill burden concerns. Physician characteristics also influence deprescribing practices. Further exploration of factors influencing deprescribing patterns, and patient outcomes, is needed.","DOI":"10.1093/ageing/afv028","ISSN":"0002-0729, 1468-2834","note":"PMID: 25758409","journalAbbreviation":"Age Ageing","language":"en","author":[{"family":"Chróinín","given":"Danielle Ní"},{"family":"Chróinín","given":"Chantelle Ní"},{"family":"Beveridge","given":"Alexander"}],"issued":{"date-parts":[["2015",7,1]]}}}],"schema":"https://github.com/citation-style-language/schema/raw/master/csl-citation.json"} </w:instrText>
      </w:r>
      <w:r w:rsidR="00B91C0A">
        <w:rPr>
          <w:rFonts w:cs="Arial"/>
          <w:szCs w:val="22"/>
        </w:rPr>
        <w:fldChar w:fldCharType="separate"/>
      </w:r>
      <w:r w:rsidR="00B55AC2" w:rsidRPr="00B55AC2">
        <w:rPr>
          <w:rFonts w:cs="Arial"/>
          <w:szCs w:val="24"/>
          <w:vertAlign w:val="superscript"/>
        </w:rPr>
        <w:t>126</w:t>
      </w:r>
      <w:r w:rsidR="00B91C0A">
        <w:rPr>
          <w:rFonts w:cs="Arial"/>
          <w:szCs w:val="22"/>
        </w:rPr>
        <w:fldChar w:fldCharType="end"/>
      </w:r>
      <w:bookmarkEnd w:id="123"/>
      <w:r w:rsidRPr="00725D15">
        <w:rPr>
          <w:rFonts w:cs="Arial"/>
          <w:szCs w:val="22"/>
        </w:rPr>
        <w:t xml:space="preserve"> Further research is needed elucidating the patterns of medication discontinuation at the point of hospice admission and the mechanisms by which medications with potentially limited benefit are continued after enrollment. Regardless, periodic reviews of non-palliative medication use after hospice admission seem warranted to ensure that patients’ medication regimens continue to appropriately align with their goals of care. </w:t>
      </w:r>
    </w:p>
    <w:p w14:paraId="4F6CA67B" w14:textId="0528FE35" w:rsidR="00A22226" w:rsidRPr="00725D15" w:rsidRDefault="00A22226" w:rsidP="00A22226">
      <w:pPr>
        <w:ind w:firstLine="720"/>
        <w:rPr>
          <w:rFonts w:cs="Arial"/>
          <w:szCs w:val="22"/>
        </w:rPr>
      </w:pPr>
      <w:r w:rsidRPr="00725D15">
        <w:rPr>
          <w:rFonts w:cs="Arial"/>
          <w:szCs w:val="22"/>
        </w:rPr>
        <w:lastRenderedPageBreak/>
        <w:t>This is the first study to identify a cohort of medication users prior to hospice enrollment and follow them through their hospice stay until death to assess longitudinal changes in medication use. The large, nationally representative population and use of adjudicated Part D claims serve as strengths of our study. However, several limitations should be noted. First, we were unable to measure potentially influential factors such as hospice profit status and staffing levels, hospice program age, patient and family treatment preferences or perceived treatment benefits, level of cognitive and functional impairment, and family support.  Second, as we measured continuation via new Part D dispensings after hospice admission, the true prevalence of medication continuation is likely underestimated. Patients without a new Part D dispensing may have continued using medication supplies obtained prior to admission during their hospice stay or obtained medication refills outside of their Part D plan. Third, medication dispensing via claims is an imperfect proxy for medication use, particularly in the terminally-ill population. Fourth, as our study took place largely before the Medicare program began issuing guidance on Part D reimbursement in hospice, providers may now be more cognizant of non-essential medication use in hospice patients. Further research is needed comparing current medication use trends in the hospice population to those observed in our study.  Finally, the medication classes chosen for this study are exploratory and largely based on expert opinion. Thus, it is not intended to be a definitive or complete list of non-essential medications in the hospice population. Given the complexity of individual patient treatment decisions at the end of life, our approach and that of others should not be interpreted as a substitute for clinical judgement.</w:t>
      </w:r>
    </w:p>
    <w:p w14:paraId="234EE6A2" w14:textId="77777777" w:rsidR="004A3C4D" w:rsidRPr="00725D15" w:rsidRDefault="004A3C4D" w:rsidP="00DF3833">
      <w:pPr>
        <w:pStyle w:val="Style2"/>
        <w:spacing w:before="0" w:line="480" w:lineRule="auto"/>
      </w:pPr>
      <w:bookmarkStart w:id="124" w:name="_Toc507326063"/>
      <w:r w:rsidRPr="00725D15">
        <w:t>3.6 Conclusion</w:t>
      </w:r>
      <w:bookmarkEnd w:id="124"/>
    </w:p>
    <w:p w14:paraId="521AF79C" w14:textId="333FF5E8" w:rsidR="00A22226" w:rsidRPr="00725D15" w:rsidRDefault="00A22226" w:rsidP="00A22226">
      <w:pPr>
        <w:ind w:firstLine="720"/>
        <w:rPr>
          <w:rFonts w:cs="Arial"/>
          <w:szCs w:val="22"/>
        </w:rPr>
      </w:pPr>
      <w:r w:rsidRPr="00725D15">
        <w:rPr>
          <w:rFonts w:cs="Arial"/>
          <w:szCs w:val="22"/>
        </w:rPr>
        <w:t xml:space="preserve">Despite Medicare guidance and the stated mission of hospice care, we found that nearly one-third of older hospice patients who were users of preventative medications with potentially limited benefit prior to hospice enrollment continued to receive at least one of these medications through Medicare Part D after admission. Our results highlight the need for additional research </w:t>
      </w:r>
      <w:r w:rsidRPr="00725D15">
        <w:rPr>
          <w:rFonts w:cs="Arial"/>
          <w:szCs w:val="22"/>
        </w:rPr>
        <w:lastRenderedPageBreak/>
        <w:t>clarifying and targeting patient, provider, pharmacy, and healthcare system-level barriers which prevent the discontinuation of limited benefit medications at the point of hospice enrollment. Further, there is a significant need to understand the benefits and risks of discontinuing preventative medications in hospice care. The development and incorporation of evidence-based recommendations into palliative care guidelines will be integral to encouraging a more critical evaluation of medication appropriateness in this clinically complex population. Further development of Medicare policies for medication coverage in hospice and the introduction of strategies to promote high-quality pharmaceutical care at the end of life are warranted.</w:t>
      </w:r>
    </w:p>
    <w:p w14:paraId="24F28DE0" w14:textId="77777777" w:rsidR="00DF3833" w:rsidRPr="00E406A9" w:rsidRDefault="00DF3833" w:rsidP="00E406A9"/>
    <w:p w14:paraId="2CBD3ADF" w14:textId="77777777" w:rsidR="00E406A9" w:rsidRPr="00E406A9" w:rsidRDefault="00E406A9" w:rsidP="00E406A9"/>
    <w:p w14:paraId="728836EE" w14:textId="77777777" w:rsidR="00E406A9" w:rsidRPr="00E406A9" w:rsidRDefault="00E406A9" w:rsidP="00E406A9"/>
    <w:p w14:paraId="6EB031F5" w14:textId="77777777" w:rsidR="00E406A9" w:rsidRPr="00E406A9" w:rsidRDefault="00E406A9" w:rsidP="00E406A9"/>
    <w:p w14:paraId="78797A9D" w14:textId="77777777" w:rsidR="00E406A9" w:rsidRPr="00E406A9" w:rsidRDefault="00E406A9" w:rsidP="00E406A9"/>
    <w:p w14:paraId="6761C78D" w14:textId="77777777" w:rsidR="00E406A9" w:rsidRPr="00E406A9" w:rsidRDefault="00E406A9" w:rsidP="00E406A9"/>
    <w:p w14:paraId="2D31696E" w14:textId="77777777" w:rsidR="00E406A9" w:rsidRPr="00E406A9" w:rsidRDefault="00E406A9" w:rsidP="00E406A9"/>
    <w:p w14:paraId="5BA66871" w14:textId="77777777" w:rsidR="00E406A9" w:rsidRPr="00E406A9" w:rsidRDefault="00E406A9" w:rsidP="00E406A9"/>
    <w:p w14:paraId="4080B06C" w14:textId="77777777" w:rsidR="00E406A9" w:rsidRDefault="00E406A9" w:rsidP="00E406A9"/>
    <w:p w14:paraId="6278E73F" w14:textId="77777777" w:rsidR="00E406A9" w:rsidRPr="00E406A9" w:rsidRDefault="00E406A9" w:rsidP="00E406A9"/>
    <w:p w14:paraId="23FD0510" w14:textId="77777777" w:rsidR="00E406A9" w:rsidRPr="00E406A9" w:rsidRDefault="00E406A9" w:rsidP="00E406A9"/>
    <w:p w14:paraId="0839869F" w14:textId="77777777" w:rsidR="004A3C4D" w:rsidRPr="00725D15" w:rsidRDefault="004A3C4D" w:rsidP="00DF3833">
      <w:pPr>
        <w:pStyle w:val="Style1"/>
        <w:spacing w:before="0" w:line="480" w:lineRule="auto"/>
        <w:jc w:val="center"/>
        <w:rPr>
          <w:caps/>
        </w:rPr>
      </w:pPr>
      <w:bookmarkStart w:id="125" w:name="_Toc507326064"/>
      <w:r w:rsidRPr="00725D15">
        <w:lastRenderedPageBreak/>
        <w:t xml:space="preserve">IV. </w:t>
      </w:r>
      <w:r w:rsidRPr="00725D15">
        <w:rPr>
          <w:caps/>
        </w:rPr>
        <w:t>Use of Non-Palliative Medications Following Burdensome Health Care Transitions in Hospice Patients: A Matched Cohort Analysis</w:t>
      </w:r>
      <w:bookmarkEnd w:id="125"/>
    </w:p>
    <w:p w14:paraId="21EE36BD" w14:textId="77777777" w:rsidR="004A3C4D" w:rsidRPr="00725D15" w:rsidRDefault="004A3C4D" w:rsidP="00DF3833">
      <w:pPr>
        <w:pStyle w:val="Style2"/>
        <w:spacing w:before="0" w:line="480" w:lineRule="auto"/>
      </w:pPr>
      <w:bookmarkStart w:id="126" w:name="_Toc507326065"/>
      <w:r w:rsidRPr="00725D15">
        <w:t>4.1 Preface</w:t>
      </w:r>
      <w:bookmarkEnd w:id="126"/>
    </w:p>
    <w:p w14:paraId="29431131" w14:textId="5759BB60" w:rsidR="00D739E7" w:rsidRPr="00725D15" w:rsidRDefault="00D739E7" w:rsidP="00A22226">
      <w:pPr>
        <w:ind w:firstLine="720"/>
        <w:rPr>
          <w:rFonts w:cs="Arial"/>
          <w:szCs w:val="22"/>
        </w:rPr>
      </w:pPr>
      <w:r w:rsidRPr="00725D15">
        <w:rPr>
          <w:rFonts w:cs="Arial"/>
          <w:szCs w:val="22"/>
        </w:rPr>
        <w:t xml:space="preserve">This chapter addresses Aim 3 of the dissertation. </w:t>
      </w:r>
      <w:r w:rsidR="008C40DE" w:rsidRPr="00725D15">
        <w:rPr>
          <w:rFonts w:cs="Arial"/>
          <w:szCs w:val="22"/>
        </w:rPr>
        <w:t xml:space="preserve">It has been submitted for publication consideration to the journal </w:t>
      </w:r>
      <w:r w:rsidR="008C40DE" w:rsidRPr="00725D15">
        <w:rPr>
          <w:rFonts w:cs="Arial"/>
          <w:i/>
          <w:szCs w:val="22"/>
        </w:rPr>
        <w:t>Medical Care</w:t>
      </w:r>
      <w:r w:rsidR="008C40DE" w:rsidRPr="00725D15">
        <w:rPr>
          <w:rFonts w:cs="Arial"/>
          <w:szCs w:val="22"/>
        </w:rPr>
        <w:t xml:space="preserve"> as an article titled “Use of Non-Palliative Medications Following Burdensome Health Care Transitions in Hospice Patients: A Matched Cohort Analysis”. The submitted version is presented here. </w:t>
      </w:r>
    </w:p>
    <w:p w14:paraId="4AB6B43F" w14:textId="77777777" w:rsidR="004A3C4D" w:rsidRPr="00725D15" w:rsidRDefault="004A3C4D" w:rsidP="00DF3833">
      <w:pPr>
        <w:pStyle w:val="Style2"/>
        <w:spacing w:before="0" w:line="480" w:lineRule="auto"/>
      </w:pPr>
      <w:bookmarkStart w:id="127" w:name="_Toc507326066"/>
      <w:r w:rsidRPr="00725D15">
        <w:t>4.2 Introduction</w:t>
      </w:r>
      <w:bookmarkEnd w:id="127"/>
    </w:p>
    <w:p w14:paraId="276D4F5C" w14:textId="3A5643C2" w:rsidR="00E962D1" w:rsidRPr="00725D15" w:rsidRDefault="00E962D1" w:rsidP="00E962D1">
      <w:pPr>
        <w:ind w:firstLine="360"/>
        <w:rPr>
          <w:rFonts w:cs="Arial"/>
          <w:szCs w:val="22"/>
        </w:rPr>
      </w:pPr>
      <w:r w:rsidRPr="00725D15">
        <w:rPr>
          <w:rFonts w:cs="Arial"/>
          <w:szCs w:val="22"/>
        </w:rPr>
        <w:tab/>
        <w:t xml:space="preserve">The 2015 Institute of Medicine Report </w:t>
      </w:r>
      <w:r w:rsidRPr="00725D15">
        <w:rPr>
          <w:rFonts w:cs="Arial"/>
          <w:i/>
          <w:szCs w:val="22"/>
        </w:rPr>
        <w:t>Dying in America</w:t>
      </w:r>
      <w:r w:rsidRPr="00725D15">
        <w:rPr>
          <w:rFonts w:cs="Arial"/>
          <w:szCs w:val="22"/>
        </w:rPr>
        <w:t xml:space="preserve"> highlights the significant burden associated with transfers between health care settings at the end of life.</w:t>
      </w:r>
      <w:r w:rsidRPr="00725D15">
        <w:rPr>
          <w:rFonts w:cs="Arial"/>
          <w:szCs w:val="22"/>
        </w:rPr>
        <w:fldChar w:fldCharType="begin"/>
      </w:r>
      <w:r w:rsidR="00EC3644">
        <w:rPr>
          <w:rFonts w:cs="Arial"/>
          <w:szCs w:val="22"/>
        </w:rPr>
        <w:instrText xml:space="preserve"> ADDIN ZOTERO_ITEM CSL_CITATION {"citationID":"a1296u353eb","properties":{"formattedCitation":"\\super 127\\nosupersub{}","plainCitation":"127","noteIndex":0},"citationItems":[{"id":3634,"uris":["http://zotero.org/users/2597747/items/FB6MA29M"],"uri":["http://zotero.org/users/2597747/items/FB6MA29M"],"itemData":{"id":3634,"type":"book","title":"Dying in America: Improving Quality and Honoring Individual Preferences Near the End of Life","publisher":"The National Academies Press","publisher-place":"Washington, DC","event-place":"Washington, DC","abstract":"For patients and their loved ones, no care decisions are more profound than those made near the end of life. Unfortunately, the experience of dying in the United States is often characterized by fragmented care, inadequate treatment of distressing symptoms, frequent transitions among care settings, and enormous care responsibilities for families. According to this report, the current health care system of rendering more intensive services than are necessary and desired by patients, and the lack of coordination among programs increases risks to patients and creates avoidable burdens on them and their families. Dying in America is a study of the current state of health care for persons of all ages who are nearing the end of life. \nDeath is not a strictly medical event. Ideally, health care for those nearing the end of life harmonizes with social, psychological, and spiritual support. All people with advanced illnesses who may be approaching the end of life are entitled to access to high-quality, compassionate, evidence-based care, consistent with their wishes.\nDying in America evaluates strategies to integrate care into a person- and family-centered, team-based framework, and makes recommendations to create a system that coordinates care and supports and respects the choices of patients and their families. The findings and recommendations of this report will address the needs of patients and their families and assist policy makers, clinicians and their educational and credentialing bodies, leaders of health care delivery and financing organizations, researchers, public and private funders, religious and community leaders, advocates of better care, journalists, and the public to provide the best care possible for people nearing the end of life.","ISBN":"978-0-309-30310-1","note":"DOI: 10.17226/18748","language":"English","author":[{"literal":"Institute of Medicine"}],"issued":{"date-parts":[["2015"]]}}}],"schema":"https://github.com/citation-style-language/schema/raw/master/csl-citation.json"}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127</w:t>
      </w:r>
      <w:r w:rsidRPr="00725D15">
        <w:rPr>
          <w:rFonts w:cs="Arial"/>
          <w:szCs w:val="22"/>
        </w:rPr>
        <w:fldChar w:fldCharType="end"/>
      </w:r>
      <w:r w:rsidRPr="00725D15">
        <w:rPr>
          <w:rFonts w:cs="Arial"/>
          <w:szCs w:val="22"/>
        </w:rPr>
        <w:t xml:space="preserve"> These transitions are often overwhelming for patients and families, and can result in poor continuity of care among the patient’s care team.</w:t>
      </w:r>
      <w:r w:rsidRPr="00725D15">
        <w:rPr>
          <w:rFonts w:cs="Arial"/>
          <w:szCs w:val="22"/>
        </w:rPr>
        <w:fldChar w:fldCharType="begin"/>
      </w:r>
      <w:r w:rsidR="00EC3644">
        <w:rPr>
          <w:rFonts w:cs="Arial"/>
          <w:szCs w:val="22"/>
        </w:rPr>
        <w:instrText xml:space="preserve"> ADDIN ZOTERO_ITEM CSL_CITATION {"citationID":"86tUhqER","properties":{"formattedCitation":"\\super 79,128\\nosupersub{}","plainCitation":"79,128","noteIndex":0},"citationItems":[{"id":2765,"uris":["http://zotero.org/users/2597747/items/FZTBEC7B"],"uri":["http://zotero.org/users/2597747/items/FZTBEC7B"],"itemData":{"id":2765,"type":"article-journal","title":"Falling Through the Cracks: Challenges and Opportunities for Improving Transitional Care for Persons with Continuous Complex Care Needs","container-title":"Journal of the American Geriatrics Society","page":"549-555","volume":"51","issue":"4","source":"Wiley Online Library","abstract":"Persons with continuous complex care needs frequently require care in multiple settings. During transitions between settings, this population is particularly vulnerable to experiencing poor care quality and problems of care fragmentation. Despite how common these transitions have become, the challenges of improving care transitions have received little attention from policy makers, clinicians, and quality improvement entities. This article begins with a definition of transitional care and then discusses the nature of the problem, its prevalence, manifestations of poorly executed transitions, and potentially remediable barriers. Necessary elements for effective transitions are then presented, followed by promising new directions for quality improvement at the level of the delivery system, information technology, and national health policy. The article concludes with a proposed research agenda designed to advance the science of high-quality transitional care.","DOI":"10.1046/j.1532-5415.2003.51185.x","ISSN":"1532-5415","shortTitle":"Falling Through the Cracks","journalAbbreviation":"Journal of the American Geriatrics Society","language":"en","author":[{"family":"Coleman","given":"Eric A."}],"issued":{"date-parts":[["2003",4,1]]}}},{"id":2152,"uris":["http://zotero.org/users/2597747/items/385RMZ4C"],"uri":["http://zotero.org/users/2597747/items/385RMZ4C"],"itemData":{"id":2152,"type":"article-journal","title":"Transitions in care during the end of life: changes experienced following enrolment in a comprehensive palliative care program","container-title":"BMC Palliative Care","page":"3","volume":"4","source":"BioMed Central","abstract":"Transitions in the location of care and in who provides such care can be extremely stressful for individuals facing death and for those close to them. The objective of this study was to describe the distribution of transitions in care experienced by palliative care patients following admission to a comprehensive palliative care program (PCP). A better understanding of these transitions may aid in reducing unnecessary change, help predict care needs, enhance transitions that improve quality of life, guide health care system communication links and maximize the cost-effective utilization of different care settings and providers.","DOI":"10.1186/1472-684X-4-3","ISSN":"1472-684X","shortTitle":"Transitions in care during the end of life","journalAbbreviation":"BMC Palliative Care","author":[{"family":"Burge","given":"Frederick I."},{"family":"Lawson","given":"Beverley"},{"family":"Critchley","given":"Patrick"},{"family":"Maxwell","given":"David"}],"issued":{"date-parts":[["2005"]]}}}],"schema":"https://github.com/citation-style-language/schema/raw/master/csl-citation.json"}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79,128</w:t>
      </w:r>
      <w:r w:rsidRPr="00725D15">
        <w:rPr>
          <w:rFonts w:cs="Arial"/>
          <w:szCs w:val="22"/>
        </w:rPr>
        <w:fldChar w:fldCharType="end"/>
      </w:r>
      <w:r w:rsidRPr="00725D15">
        <w:rPr>
          <w:rFonts w:cs="Arial"/>
          <w:szCs w:val="22"/>
        </w:rPr>
        <w:t xml:space="preserve"> Despite the preference of most patients to spend their final weeks and days at home or in hospice care, health care transitions at the end of life are increasingly common.</w:t>
      </w:r>
      <w:r w:rsidRPr="00725D15">
        <w:rPr>
          <w:rFonts w:cs="Arial"/>
          <w:szCs w:val="22"/>
        </w:rPr>
        <w:fldChar w:fldCharType="begin"/>
      </w:r>
      <w:r w:rsidR="00EC3644">
        <w:rPr>
          <w:rFonts w:cs="Arial"/>
          <w:szCs w:val="22"/>
        </w:rPr>
        <w:instrText xml:space="preserve"> ADDIN ZOTERO_ITEM CSL_CITATION {"citationID":"QM6DLIzp","properties":{"formattedCitation":"\\super 129\\uc0\\u8211{}131\\nosupersub{}","plainCitation":"129–131","noteIndex":0},"citationItems":[{"id":4134,"uris":["http://zotero.org/users/2597747/items/UPZP7Z4R"],"uri":["http://zotero.org/users/2597747/items/UPZP7Z4R"],"itemData":{"id":4134,"type":"article-journal","title":"Social and clinical determinants of preferences and their achievement at the end of life: prospective cohort study of older adults receiving palliative care in three countries","container-title":"BMC geriatrics","page":"271","volume":"17","issue":"1","source":"PubMed","abstract":"BACKGROUND: Achieving choice is proposed as a quality marker. But little is known about what influences preferences especially among older adults. We aimed to determine and compare, across three countries, factors associated with preferences for place of death and treatment, and actual site of death.\nMETHODS: We recruited adults aged ≥65-years from hospital-based multiprofessional palliative care services in London, Dublin, New York, and followed them for &gt;17 months. All services offered consultation on hospital wards, support for existing clinical teams, outpatient services and received funding from their National Health Service and/or relevant Insurance reimbursements. The New York service additionally had 10 inpatient beds. All worked with and referred patients to local hospices. Face-to-face interviews recorded most and least preferred place of death, treatment goal priorities, demographic and clinical information using validated questionnaires. Multivariable and multilevel analyses assessed associated factors.\nRESULTS: One hundred and thirty eight older adults (64 London, 59 Dublin, 15 New York) were recruited, 110 died during follow-up. Home was the most preferred place of death (77/138, 56%) followed by inpatient palliative care/hospice units (22%). Hospital was least preferred (35/138, 25%), followed by nursing home (20%) and home (16%); hospice/palliative care unit was rarely least preferred (4%). Most respondents prioritised improving quality of life, either alone (54%), or equal with life extension (39%); few (3%) chose only life extension. There were no significant differences between countries. Main associates with home preference were: cancer diagnosis (OR 3.72, 95% CI 1.40-9.90) and living with someone (OR 2.19, 1.33-3.62). Adults with non-cancer diagnoses were more likely to prefer palliative care units (OR 2.39, 1.14-5.03). Conversely, functional independence (OR 1.05, 1.04-1.06) and valuing quality of life (OR 3.11, 2.89-3.36) were associated with dying at home. There was a mismatch between preferences and achievements - of 85 people who preferred home or a palliative care unit, 19 (25%) achieved their first preference.\nCONCLUSION: Although home is the most common first preference, it is polarising and for 16% it is the least preferred. Inpatient palliative care unit emerges as the second most preferred place, is rarely least preferred, and yet was often not achieved for those who wanted to die there. Factors affecting stated preferences and met preferences differ. Available services, notably community support and palliative care units, require expansion. Contrasting actual place of death with capacity for meeting patient and family needs may be a better quality indicator than simply 'achieved preferences'.","DOI":"10.1186/s12877-017-0648-4","ISSN":"1471-2318","note":"PMID: 29169346\nPMCID: PMC5701500","shortTitle":"Social and clinical determinants of preferences and their achievement at the end of life","journalAbbreviation":"BMC Geriatr","language":"eng","author":[{"family":"Higginson","given":"Irene J."},{"family":"Daveson","given":"Barbara A."},{"family":"Morrison","given":"R. Sean"},{"family":"Yi","given":"Deokhee"},{"family":"Meier","given":"Diane"},{"family":"Smith","given":"Melinda"},{"family":"Ryan","given":"Karen"},{"family":"McQuillan","given":"Regina"},{"family":"Johnston","given":"Bridget M."},{"family":"Normand","given":"Charles"},{"literal":"BuildCARE"}],"issued":{"date-parts":[["2017",11,23]]}}},{"id":4132,"uris":["http://zotero.org/users/2597747/items/UPM2EZGU"],"uri":["http://zotero.org/users/2597747/items/UPM2EZGU"],"itemData":{"id":4132,"type":"article-journal","title":"Place of care in advanced cancer: a qualitative systematic literature review of patient preferences","container-title":"Journal of Palliative Medicine","page":"287-300","volume":"3","issue":"3","source":"PubMed","abstract":"BACKGROUND: It is commonly written that more patients wish to die at home than currently achieve this. However, the evidence for preferences for place of terminal care and death has not been systematically reviewed.\nAIM: To carry out a systematic literature review of the preferences for place of care and death among advanced cancer patients.\nMETHOD: Studies were identified using systematic database searches of MEDLINE (1966-1999), PsychLit (1974-1999), and Bath Information Data Service (BIDS) (1981-1999). Studies were assessed and data extracted and synthesises following the NHS Centre for Reviews and Dissemination guidelines, grading studies according to design and rigor of methods. Studies of preferences in the general population and of groups including cancer patients and/or their caregivers were included.\nRESULTS: Eighteen studies determining preferences in either the general population or groups including cancer patients were identified. Views were obtained prospectively and retrospectively from patients, the general population, families, and professionals. Respondents indicated preferences for home death (range 49%-100%), except one study of patients in the care of a continuing care team in London where only 25%-29% of patients wanted a home death, and inpatient hospice was the most favored option. However, the response rate of this study was not known. Among the general public there was a higher preference for inpatient hospice care among in people with recent experience of a close friend or relative's death or dying. Where the views of patients, families, and professionals were compared, all respondents broadly agreed although patients expressed the strongest home preferences. Only 2 of the studies provided longitudinal data, and 9 of the 18 had major deficits in design or reporting, such as poor or unknown response rate, unclear or unsystematic methods of eliciting preferences or other sample or measurement bias. However, sensitivity analysis of only the more robust and larger studies did not alter the finding of a preference for home care at the end of life in over 50% of patients.\nCONCLUSIONS: Home care is the most common preference, with inpatient hospice care as second preference in advanced illness. Meeting these preferences could be important outcomes for services. Study designs in this area need to be improved.","DOI":"10.1089/jpm.2000.3.287","ISSN":"1096-6218","note":"PMID: 15859670","shortTitle":"Place of care in advanced cancer","journalAbbreviation":"J Palliat Med","language":"eng","author":[{"family":"Higginson","given":"I. J."},{"family":"Sen-Gupta","given":"G. J."}],"issued":{"date-parts":[["2000"]]}}},{"id":4150,"uris":["http://zotero.org/users/2597747/items/BHILJPYK"],"uri":["http://zotero.org/users/2597747/items/BHILJPYK"],"itemData":{"id":4150,"type":"article-journal","title":"International study of the place of death of people with cancer: a population-level comparison of 14 countries across 4 continents using death certificate data","container-title":"British Journal of Cancer","page":"1397-1404","volume":"113","issue":"9","source":"PubMed","abstract":"BACKGROUND: Where people die can influence a number of indicators of the quality of dying. We aimed to describe the place of death of people with cancer and its associations with clinical, socio-demographic and healthcare supply characteristics in 14 countries.\nMETHODS: Cross-sectional study using death certificate data for all deaths from cancer (ICD-10 codes C00-C97) in 2008 in Belgium, Canada, Czech Republic, England, France, Hungary, Italy, Mexico, the Netherlands, New Zealand, South Korea, Spain (2010), USA (2007) and Wales (N=1,355,910). Multivariable logistic regression analyses evaluated factors associated with home death within countries and differences across countries.\nRESULTS: Between 12% (South Korea) and 57% (Mexico) of cancer deaths occurred at home; between 26% (Netherlands, New Zealand) and 87% (South Korea) occurred in hospital. The large between-country differences in home or hospital deaths were partly explained by differences in availability of hospital- and long-term care beds and general practitioners. Haematologic rather than solid cancer (odds ratios (ORs) 1.29-3.17) and being married rather than divorced (ORs 1.17-2.54) were most consistently associated with home death across countries.\nCONCLUSIONS: A large country variation in the place of death can partly be explained by countries' healthcare resources. Country-specific choices regarding the organisation of end-of-life cancer care likely explain an additional part. These findings indicate the further challenge to evaluate how different specific policies can influence place of death patterns.","DOI":"10.1038/bjc.2015.312","ISSN":"1532-1827","note":"PMID: 26325102\nPMCID: PMC4815784","shortTitle":"International study of the place of death of people with cancer","journalAbbreviation":"Br. J. Cancer","language":"eng","author":[{"family":"Cohen","given":"J."},{"family":"Pivodic","given":"L."},{"family":"Miccinesi","given":"G."},{"family":"Onwuteaka-Philipsen","given":"B. D."},{"family":"Naylor","given":"W. A."},{"family":"Wilson","given":"D. M."},{"family":"Loucka","given":"M."},{"family":"Csikos","given":"A."},{"family":"Pardon","given":"K."},{"family":"Van den Block","given":"L."},{"family":"Ruiz-Ramos","given":"M."},{"family":"Cardenas-Turanzas","given":"M."},{"family":"Rhee","given":"Y."},{"family":"Aubry","given":"R."},{"family":"Hunt","given":"K."},{"family":"Teno","given":"J."},{"family":"Houttekier","given":"D."},{"family":"Deliens","given":"L."}],"issued":{"date-parts":[["2015",11,3]]}}}],"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129–131</w:t>
      </w:r>
      <w:r w:rsidRPr="00725D15">
        <w:rPr>
          <w:rFonts w:cs="Arial"/>
          <w:szCs w:val="22"/>
        </w:rPr>
        <w:fldChar w:fldCharType="end"/>
      </w:r>
      <w:r w:rsidRPr="00725D15">
        <w:rPr>
          <w:rFonts w:cs="Arial"/>
          <w:szCs w:val="22"/>
        </w:rPr>
        <w:t xml:space="preserve"> From 2000 to 2009, the mean number of transitions in the last 90 days of life among older Medicare beneficiaries increased from 2.1 to 3.1 while the proportion experiencing a transition in the last three days of life increased from 10.3% to 14.2%. </w:t>
      </w:r>
      <w:r w:rsidRPr="00725D15">
        <w:rPr>
          <w:rFonts w:cs="Arial"/>
          <w:szCs w:val="22"/>
        </w:rPr>
        <w:fldChar w:fldCharType="begin"/>
      </w:r>
      <w:r w:rsidR="00EC3644">
        <w:rPr>
          <w:rFonts w:cs="Arial"/>
          <w:szCs w:val="22"/>
        </w:rPr>
        <w:instrText xml:space="preserve"> ADDIN ZOTERO_ITEM CSL_CITATION {"citationID":"a14appp94p7","properties":{"formattedCitation":"\\super 80\\nosupersub{}","plainCitation":"80","noteIndex":0},"citationItems":[{"id":1348,"uris":["http://zotero.org/users/2597747/items/A752KHMM"],"uri":["http://zotero.org/users/2597747/items/A752KHMM"],"itemData":{"id":1348,"type":"article-journal","title":"Change in End-of-Life Care for Medicare Beneficiaries","container-title":"JAMA","page":"470-477","volume":"309","issue":"5","source":"PubMed Central","abstract":"Importance\nA recent Centers for Disease Control and Prevention report found that more persons die at home. This has been cited as evidence that persons dying in the United States are using more supportive care.\n\nObjective\nTo describe changes in site of death, place of care, and health care transitions between 2000, 2005, and 2009.\n\nDesign, Setting, and Patients\nRetrospective cohort study of a random 20% sample of fee-for-service Medicare beneficiaries, aged 66 years and older, who died in 2000 (n=270 202), 2005 (n=291 819), or 2009 (n=286 282). A multivariable regression model examined outcomes in 2000 and 2009 after adjustment for sociodemographic characteristics. Based on billing data, patients were classified as having a medical diagnosis of cancer, chronic obstructive pulmonary disease, or dementia in the last 180 days of life.\n\nMain Outcome Measures\nSite of death, place of care, rates of health care transitions, and potentially burdensome transitions (eg, health care transitions in the last 3 days of life).\n\nResults\nComparing 2000, 2005, and 2009 shows a decrease in deaths in acute care hospitals and increases in intensive care unit (ICU) use in the last 30 days, hospice use at the time of death, and health care transitions at the end of the life (test of trend P &lt; .001 for each)., \n200020052009No. of decedents270 202291 819286 282Deaths in acute care hospitals, % (95% CI)32.6 (32.4–32.8)26.9 (26.7–27.1)24.6 (24.5–24.8)ICU use in last month of life, % (95% CI)24.3 (24.1–24.5)26.3 (26.1–26.5)29.2 (29.0–29.3)Hospice use at time of death, % (95% CI)21.6 (21.4–21.7)32.3 (32.1–32.5)42.2 (42.0–42.4)Health care transitions in last 90 d of life per decedent, mean (median) (IQR)2.1 (1.0) (0–3.0)2.8 (2.0) (1.0–4.0)3.1 (2.0) (1.0–5.0)Health care transitions in last 3 days of life, % (95% CI)10.3 (10.1–10.4)12.4 (12.3–12.5)14.2 (14.0–14.3), In 2009, 28.4% (95% CI, 27.9%–28.5%) of hospice use at the time of death was for 3 days or less. Of these late hospice referrals, 40.3% (95% CI, 39.7%–40.8%) were preceded by hospitalization with an ICU stay.\n\nConclusion and Relevance\nAmong Medicare beneficiaries who died in 2009 and 2005 compared with 2000, a lower proportion died in an acute care hospital, although both ICU use and the rate of health care transitions increased in the last month of life.","DOI":"10.1001/jama.2012.207624","ISSN":"0098-7484","note":"PMID: 23385273\nPMCID: PMC3674823","journalAbbreviation":"JAMA","author":[{"family":"Teno","given":"Joan M."},{"family":"Gozalo","given":"Pedro L."},{"family":"Bynum","given":"Julie P. W."},{"family":"Leland","given":"Natalie E."},{"family":"Miller","given":"Susan C."},{"family":"Morden","given":"Nancy E."},{"family":"Scupp","given":"Thomas"},{"family":"Goodman","given":"David C."},{"family":"Mor","given":"Vincent"}],"issued":{"date-parts":[["2013",2,6]]}}}],"schema":"https://github.com/citation-style-language/schema/raw/master/csl-citation.json"}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80</w:t>
      </w:r>
      <w:r w:rsidRPr="00725D15">
        <w:rPr>
          <w:rFonts w:cs="Arial"/>
          <w:szCs w:val="22"/>
        </w:rPr>
        <w:fldChar w:fldCharType="end"/>
      </w:r>
      <w:r w:rsidRPr="00725D15">
        <w:rPr>
          <w:rFonts w:cs="Arial"/>
          <w:szCs w:val="22"/>
        </w:rPr>
        <w:t xml:space="preserve"> In 2011, nearly one in three Medicare decedents experienced at least four health care transitions in the six months prior to death.</w:t>
      </w:r>
      <w:r w:rsidRPr="00725D15">
        <w:rPr>
          <w:rFonts w:cs="Arial"/>
          <w:szCs w:val="22"/>
        </w:rPr>
        <w:fldChar w:fldCharType="begin"/>
      </w:r>
      <w:r w:rsidR="00EC3644">
        <w:rPr>
          <w:rFonts w:cs="Arial"/>
          <w:szCs w:val="22"/>
        </w:rPr>
        <w:instrText xml:space="preserve"> ADDIN ZOTERO_ITEM CSL_CITATION {"citationID":"a2akr8ptdec","properties":{"formattedCitation":"\\super 132\\nosupersub{}","plainCitation":"132","noteIndex":0},"citationItems":[{"id":4061,"uris":["http://zotero.org/users/2597747/items/GR7VZF9S"],"uri":["http://zotero.org/users/2597747/items/GR7VZF9S"],"itemData":{"id":4061,"type":"article-journal","title":"End-of-Life Care Transition Patterns of Medicare Beneficiaries","container-title":"Journal of the American Geriatrics Society","page":"1406-1413","volume":"65","issue":"7","source":"Wiley Online Library","abstract":"Objectives\n\nTo characterize the patterns of transitions in care and factors associated with multiple transitions in the last 6 months of life of U.S. decedents (N = 660,132).\n\n\nDesign\n\nRetrospective study.\n\n\nSetting\n\nUnited States.\n\n\nParticipants\n\nMedicare beneficiaries aged 66 and older who died from July to December 2011.\n\n\nMeasurements\n\nTransitions between healthcare settings (e.g., hospital, skilled nursing facility, inpatient hospice, home hospice, home without hospice) in the last 6 months of life. A count variable for number of transitions was summarized, and Sankey diagrams were produced to illustrate the sequences of healthcare transitions. Multivariable analyses were used to identify factors associated with likelihood of having four or more transitions.\n\n\nResults\n\nMore than 80% decedents (n = 556,437) had at least one transition within the last 6 months of life; 218,731 had four or more transitions within the last 6 months of life. The most-frequent transition pattern (19.3% of all decedents; n = 127,435) was home to hospital, back to home or skilled nursing facility, to hospital again, and then to settings other than hospital, ending with four or more transitions. The average number of transitions in the last 6 months of life varied substantially across states, ranging from 1.8 in Alaska to 3.1 in New Jersey. Transitions became more intensive for decedents approaching death. In multivariable analyses, women, blacks, individuals younger than 85, and individuals without dementia were more likely to have four or more transitions (all P &lt; .05).\n\n\nConclusion\n\nApproximately one-third of the Medicare beneficiaries who died in 2011 had four or more transitions within their last 6 months of life. Identifying interventions that can facilitate care transitions consistent with beneficiaries’ preferences is warranted.","DOI":"10.1111/jgs.14891","ISSN":"1532-5415","journalAbbreviation":"J Am Geriatr Soc","language":"en","author":[{"family":"Wang","given":"Shi-Yi"},{"family":"Aldridge","given":"Melissa D."},{"family":"Gross","given":"Cary P."},{"family":"Canavan","given":"Maureen"},{"family":"Cherlin","given":"Emily"},{"family":"Bradley","given":"Elizabeth"}],"issued":{"date-parts":[["2017",7,1]]}}}],"schema":"https://github.com/citation-style-language/schema/raw/master/csl-citation.json"}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132</w:t>
      </w:r>
      <w:r w:rsidRPr="00725D15">
        <w:rPr>
          <w:rFonts w:cs="Arial"/>
          <w:szCs w:val="22"/>
        </w:rPr>
        <w:fldChar w:fldCharType="end"/>
      </w:r>
      <w:r w:rsidRPr="00725D15">
        <w:rPr>
          <w:rFonts w:cs="Arial"/>
          <w:szCs w:val="22"/>
        </w:rPr>
        <w:t xml:space="preserve"> </w:t>
      </w:r>
    </w:p>
    <w:p w14:paraId="278A39F1" w14:textId="22E975C5" w:rsidR="00E962D1" w:rsidRPr="00725D15" w:rsidRDefault="00E962D1" w:rsidP="00E962D1">
      <w:pPr>
        <w:ind w:firstLine="720"/>
        <w:rPr>
          <w:rFonts w:cs="Arial"/>
          <w:szCs w:val="22"/>
        </w:rPr>
      </w:pPr>
      <w:r w:rsidRPr="00725D15">
        <w:rPr>
          <w:rFonts w:cs="Arial"/>
          <w:szCs w:val="22"/>
        </w:rPr>
        <w:t>Hospice is generally associated with less aggressive end of life care than other care modalities for the terminally ill due to its emphasis on foregoing curative measures in favor of treatment focused on symptom and quality of life improvement.</w:t>
      </w:r>
      <w:r w:rsidRPr="00725D15">
        <w:rPr>
          <w:rFonts w:cs="Arial"/>
          <w:szCs w:val="22"/>
        </w:rPr>
        <w:fldChar w:fldCharType="begin"/>
      </w:r>
      <w:r w:rsidR="007107C5">
        <w:rPr>
          <w:rFonts w:cs="Arial"/>
          <w:szCs w:val="22"/>
        </w:rPr>
        <w:instrText xml:space="preserve"> ADDIN ZOTERO_ITEM CSL_CITATION {"citationID":"a26qpvj7e2k","properties":{"formattedCitation":"\\super 1\\nosupersub{}","plainCitation":"1","noteIndex":0},"citationItems":[{"id":1697,"uris":["http://zotero.org/users/2597747/items/VXR84WIV"],"uri":["http://zotero.org/users/2597747/items/VXR84WIV"],"itemData":{"id":1697,"type":"article-journal","title":"Development of hospice and palliative care in the United States","container-title":"Omega","page":"89-99","volume":"56","issue":"1","source":"PubMed","abstract":"More than 30 years have passed since palliative care was introduced in the United States, and what began as a small rebellion has evolved into a fairly large health care industry. Although the palliative care movement has considerably improved the care given to those at the end of life, many challenges remain for palliative care providers in the United States. This article discusses the history of hospice and palliative care in the United States, the Medicare Hospice Benefit, the growth of hospice and palliative care, and challenges such as the need for regulatory change, workforce issues, improving access to care, and improving the quality of palliative care.","ISSN":"0030-2228","note":"PMID: 18051022","journalAbbreviation":"Omega (Westport)","language":"eng","author":[{"family":"Connor","given":"Stephen R."}],"issued":{"date-parts":[["2007"]],"season":"2008"}}}],"schema":"https://github.com/citation-style-language/schema/raw/master/csl-citation.json"}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w:t>
      </w:r>
      <w:r w:rsidRPr="00725D15">
        <w:rPr>
          <w:rFonts w:cs="Arial"/>
          <w:szCs w:val="22"/>
        </w:rPr>
        <w:fldChar w:fldCharType="end"/>
      </w:r>
      <w:r w:rsidRPr="00725D15">
        <w:rPr>
          <w:rFonts w:cs="Arial"/>
          <w:szCs w:val="22"/>
        </w:rPr>
        <w:t xml:space="preserve"> Specifically, hospice has been associated with substantial reductions in hospital ad</w:t>
      </w:r>
      <w:r w:rsidR="00116443">
        <w:rPr>
          <w:rFonts w:cs="Arial"/>
          <w:szCs w:val="22"/>
        </w:rPr>
        <w:t>missions, ED</w:t>
      </w:r>
      <w:r w:rsidRPr="00725D15">
        <w:rPr>
          <w:rFonts w:cs="Arial"/>
          <w:szCs w:val="22"/>
        </w:rPr>
        <w:t xml:space="preserve"> visits, intensive-care unit stays, and overall health care costs.</w:t>
      </w:r>
      <w:r w:rsidRPr="00725D15">
        <w:rPr>
          <w:rFonts w:cs="Arial"/>
          <w:szCs w:val="22"/>
        </w:rPr>
        <w:fldChar w:fldCharType="begin"/>
      </w:r>
      <w:r w:rsidR="00EC3644">
        <w:rPr>
          <w:rFonts w:cs="Arial"/>
          <w:szCs w:val="22"/>
        </w:rPr>
        <w:instrText xml:space="preserve"> ADDIN ZOTERO_ITEM CSL_CITATION {"citationID":"BJH2oCcC","properties":{"formattedCitation":"\\super 10,133\\nosupersub{}","plainCitation":"10,133","noteIndex":0},"citationItems":[{"id":748,"uris":["http://zotero.org/users/2597747/items/6TR54HZI"],"uri":["http://zotero.org/users/2597747/items/6TR54HZI"],"itemData":{"id":748,"type":"article-journal","title":"Association Between the Medicare Hospice Benefit and Health Care Utilization and Costs for Patients With Poor-Prognosis Cancer","container-title":"JAMA","page":"1888-1896","volume":"312","issue":"18","source":"CrossRef","DOI":"10.1001/jama.2014.14950","ISSN":"0098-7484","language":"en","author":[{"family":"Obermeyer","given":"Ziad"},{"family":"Makar","given":"Maggie"},{"family":"Abujaber","given":"Samer"},{"family":"Dominici","given":"Francesca"},{"family":"Block","given":"Susan"},{"family":"Cutler","given":"David M."}],"issued":{"date-parts":[["2014",11,12]]}}},{"id":2163,"uris":["http://zotero.org/users/2597747/items/WZ9VT5QH"],"uri":["http://zotero.org/users/2597747/items/WZ9VT5QH"],"itemData":{"id":2163,"type":"article-journal","title":"Emergency Care Use and the Medicare Hospice Benefit for Individuals with Cancer with a Poor Prognosis","container-title":"Journal of the American Geriatrics Society","page":"323-329","volume":"64","issue":"2","source":"Wiley Online Library","abstract":"Objectives\n\nTo compare patterns of emergency department (ED) use and inpatient admission rates for elderly adults with cancer with a poor prognosis who enrolled in hospice to those of similar individuals who did not.\n\n\nDesign\n\nMatched case–control study.\n\n\nSetting\n\nNationally representative sample of Medicare fee-for-service beneficiaries with cancer with a poor prognosis who died in 2011.\n\n\nParticipants\n\nBeneficiaries in hospice matched to individuals not in hospice on time from diagnosis of cancer with a poor prognosis to death, region, age, and sex.\n\n\nMeasurements\n\nComparison of ED use and inpatient admission rates before and after hospice enrollment for beneficiaries in hospice and controls.\n\n\nResults\n\nOf 272,832 matched beneficiaries, 81% visited the ED in the last 6 months of life. At baseline, daily ED use and admission rates were not significantly different between beneficiaries in and not in hospice. By the week before death, nonhospice controls averaged 69.6 ED visits/1,000 beneficiary-days, versus 7.6 for beneficiaries in hospice (rate ratio (RR) = 9.7, 95% confidence interval (CI) = 9.3–10.0). Inpatient admission rates in the last week of life were 63% for nonhospice controls and 42% for beneficiaries in hospice (RR = 1.51, 95% CI = 1.45–1.57). Of all beneficiaries in hospice, 28% enrolled during inpatient stays originating in EDs; they accounted for 35.7% (95% CI = 35.4–36.0%) of all hospice stays of less than 1 month and 13.9% (95% CI = 13.6–14.2%) of stays longer than 1 month.\n\n\nConclusion\n\nMost Medicare beneficiaries with cancer with a poor prognosis visited EDs at the end of life. Hospice enrollment was associated with lower ED use and admission rates. Many individuals enrolled in hospice during inpatient stays that followed ED visits, a phenomenon linked to shorter hospice stays. These findings must be interpreted carefully given potential unmeasured confounders in matching.","DOI":"10.1111/jgs.13948","ISSN":"1532-5415","journalAbbreviation":"J Am Geriatr Soc","language":"en","author":[{"family":"Obermeyer","given":"Ziad"},{"family":"Clarke","given":"Alissa C."},{"family":"Makar","given":"Maggie"},{"family":"Schuur","given":"Jeremiah D."},{"family":"Cutler","given":"David M."}],"issued":{"date-parts":[["2016",2,1]]}}}],"schema":"https://github.com/citation-style-language/schema/raw/master/csl-citation.json"}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10,133</w:t>
      </w:r>
      <w:r w:rsidRPr="00725D15">
        <w:rPr>
          <w:rFonts w:cs="Arial"/>
          <w:szCs w:val="22"/>
        </w:rPr>
        <w:fldChar w:fldCharType="end"/>
      </w:r>
      <w:r w:rsidRPr="00725D15">
        <w:rPr>
          <w:rFonts w:cs="Arial"/>
          <w:szCs w:val="22"/>
        </w:rPr>
        <w:t xml:space="preserve"> Despite the palliative treatment philosophy, hospice patients still experience transitions between health care settings prior to death. Wang and </w:t>
      </w:r>
      <w:r w:rsidRPr="00725D15">
        <w:rPr>
          <w:rFonts w:cs="Arial"/>
          <w:szCs w:val="22"/>
        </w:rPr>
        <w:lastRenderedPageBreak/>
        <w:t>colleagues recently reported that 10% of older fee-for-service Medicare beneficiaries admitted to hospice experienced at least one transition to a non-hospice setting prior to death while 5% experienced a hospitalization after hospice enrollment.</w:t>
      </w:r>
      <w:r w:rsidRPr="00725D15">
        <w:rPr>
          <w:rFonts w:cs="Arial"/>
          <w:szCs w:val="22"/>
        </w:rPr>
        <w:fldChar w:fldCharType="begin"/>
      </w:r>
      <w:r w:rsidR="00EC3644">
        <w:rPr>
          <w:rFonts w:cs="Arial"/>
          <w:szCs w:val="22"/>
        </w:rPr>
        <w:instrText xml:space="preserve"> ADDIN ZOTERO_ITEM CSL_CITATION {"citationID":"ujn4l8gtc","properties":{"formattedCitation":"\\super 81\\nosupersub{}","plainCitation":"81","noteIndex":0},"citationItems":[{"id":1164,"uris":["http://zotero.org/users/2597747/items/6HP3BVET"],"uri":["http://zotero.org/users/2597747/items/6HP3BVET"],"itemData":{"id":1164,"type":"article-journal","title":"Transitions Between Healthcare Settings of Hospice Enrollees at the End of Life","container-title":"Journal of the American Geriatrics Society","page":"314-322","volume":"64","issue":"2","source":"Wiley Online Library","abstract":"Objectives\n\nTo characterize the number and types of care transitions in the last 6 months of life of individuals who used hospice and to examine factors associated with having multiple transitions in care.\n\n\nDesign\n\nRetrospective cohort study.\n\n\nSetting\n\nOne hundred percent fee-for-service Medicare decedent claims data.\n\n\nParticipants\n\nMedicare beneficiaries aged 66 and older who died between July 1, 2011, and December 31, 2011, and were enrolled in hospice at some time during the last 6 months of life.\n\n\nMeasurements\n\nHierarchical generalized linear modeling was used to identify individual, hospice, and regional factors associated with transitions. The sequence of transitions across healthcare settings was described. Healthcare transitions after hospice enrollment included from and to the hospital, skilled nursing facility, home health agency program, hospice, or home without receiving any service in these four healthcare settings.\n\n\nResults\n\nOf 311,090 hospice decedents, 31,675 (10.2%) had at least one transition after hospice enrollment, and this varied substantially across the United States; 6.6% of all decedents had more than one transition in care after hospice enrollment (range 2–19 transitions). Of hospice users with transitions, 53.4% were admitted to hospitals, 17.7% were admitted to skilled nursing facilities, 9.6% used home health agencies, and 25.8% had transitions to home without receiving the services from the healthcare settings examined. In adjusted analyses, decedents who were younger, nonwhite, enrolled in a for-profit or small hospice program, or had less access to hospital-based palliative care had significantly higher odds of having at least one transition.\n\n\nConclusion\n\nA notable proportion of hospice users experience at least one transition in care in the last 6 months of life, suggesting that further research on the effect of transitions on users and families is warranted.","DOI":"10.1111/jgs.13939","ISSN":"1532-5415","journalAbbreviation":"J Am Geriatr Soc","language":"en","author":[{"family":"Wang","given":"Shi-Yi"},{"family":"Aldridge","given":"Melissa D."},{"family":"Gross","given":"Cary P."},{"family":"Canavan","given":"Maureen"},{"family":"Cherlin","given":"Emily"},{"family":"Johnson-Hurzeler","given":"Rosemary"},{"family":"Bradley","given":"Elizabeth"}],"issued":{"date-parts":[["2016",2,1]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81</w:t>
      </w:r>
      <w:r w:rsidRPr="00725D15">
        <w:rPr>
          <w:rFonts w:cs="Arial"/>
          <w:szCs w:val="22"/>
        </w:rPr>
        <w:fldChar w:fldCharType="end"/>
      </w:r>
      <w:r w:rsidRPr="00725D15">
        <w:rPr>
          <w:rFonts w:cs="Arial"/>
          <w:szCs w:val="22"/>
        </w:rPr>
        <w:t xml:space="preserve"> Additionally, an estimated 16%-18% of hospice patients are discharged from hospice alive, with many receiving care in other settings and reenrolling in hospice shortly thereafter.</w:t>
      </w:r>
      <w:r w:rsidRPr="00725D15">
        <w:rPr>
          <w:rFonts w:cs="Arial"/>
          <w:szCs w:val="22"/>
        </w:rPr>
        <w:fldChar w:fldCharType="begin"/>
      </w:r>
      <w:r w:rsidR="00EC3644">
        <w:rPr>
          <w:rFonts w:cs="Arial"/>
          <w:szCs w:val="22"/>
        </w:rPr>
        <w:instrText xml:space="preserve"> ADDIN ZOTERO_ITEM CSL_CITATION {"citationID":"PuD7eH4T","properties":{"formattedCitation":"\\super 11,82,85\\nosupersub{}","plainCitation":"11,82,85","noteIndex":0},"citationItems":[{"id":742,"uris":["http://zotero.org/users/2597747/items/XGDAKNG4"],"uri":["http://zotero.org/users/2597747/items/XGDAKNG4"],"itemData":{"id":742,"type":"article-journal","title":"Home health care and discharged hospice care patients: United States, 2000 and 2007","container-title":"National Health Statistics Reports","page":"1-27","issue":"38","source":"PubMed","abstract":"OBJECTIVES: This report presents national estimates on home health care patients and discharged hospice care patients. Information on characteristics, length of service, medical diagnoses, functional limitations, service use, advance care planning, and emergent and hospital care use are presented for home health care patients and hospice care discharges. A comparison of selected characteristics for 2000 and 2007 is also provided to highlight changes.\nMETHODS: Estimates are based on data collected on agencies from the 2000 and 2007 National Home and Hospice Care Survey, conducted by the Centers for Disease Control and Prevention's National Center for Health Statistics. Estimates are derived from data collected during interviews with administrators and staff designated by the administrators.\nRESULTS: Each day in 2007, there were an estimated 1,459,900 home health care patients. They were predominantly aged 65 years or over, female, and white. Their mean length of service was 315 days, and their most common primary diagnosis at admission was diabetes mellitus. About one-fourth of them had advance care planning and one-fifth had at least one overnight hospital stay since admission to the home health care agency. In 2007, there were 1,045,100 discharged hospice care patients. The majority of discharged patients were aged 65 or over, female, and white, and most were discharged deceased. Their mean length of service was 65 days, and the most common primary diagnosis at admission was malignant neoplasm. Most of them had advance care planning, and about one-fourth had three or more types of advance care planning instruments.","ISSN":"2164-8344","note":"PMID: 21568135","shortTitle":"Home health care and discharged hospice care patients","journalAbbreviation":"Natl Health Stat Report","language":"eng","author":[{"family":"Caffrey","given":"Christine"},{"family":"Sengupta","given":"Manisha"},{"family":"Moss","given":"Abigail"},{"family":"Harris-Kojetin","given":"Lauren"},{"family":"Valverde","given":"Roberto"}],"issued":{"date-parts":[["2011",4,27]]}}},{"id":962,"uris":["http://zotero.org/users/2597747/items/EHH5TZ6K"],"uri":["http://zotero.org/users/2597747/items/EHH5TZ6K"],"itemData":{"id":962,"type":"article-journal","title":"Characteristics of Hospice Programs With Problematic Live Discharges","container-title":"Journal of Pain and Symptom Management","page":"548-552","volume":"50","issue":"4","source":"ScienceDirect","abstract":"Context\nLittle is known about how hospice live discharges vary by hospice providers' tax status and chain affiliation.\nObjectives\nTo characterize hospices with high rates of problematic patterns of live discharges.\nMethods\nThree hospice-level patterns of live discharges were defined as problematic when the facility rate was at the 90th percentile or higher. A hospice with a high rate of patients discharged, hospitalized, and readmitted to hospice was considered to have a problematic live discharge pattern, which we have referred to as burdensome transition. The two other problematic live discharge patterns examined were live discharge in the first seven days of a hospice stay and live discharge after 180 days in hospice. A multivariate logistic model examined variation in the hospice-level rate of each discharge pattern by the hospice's chain affiliation and profit status. This model also adjusted for facility rates of medical diagnoses, nonwhite patients, average age, and the state in which the hospice program is located.\nResults\nIn 2010, 3028 hospice programs had 996,208 discharges, with 18.0% being alive. Each proposed problematic pattern of live discharge varied by chain affiliation. For-profit providers without a chain affiliation had a higher rate of burdensome transitions than did for-profit providers in national chains (18.2% vs. 12.1%, P &amp;lt; 0.001), whereas not-for-profit providers had the lowest rate of burdensome transitions (1.4%). About one in three (33.8%) for-profit providers exhibited one or more of these discharge patterns compared with 9.0% of not-for-profit providers.\nConclusion\nProblematic patterns of live discharges are higher among for-profit providers, especially those not affiliated with a hospice chain.","DOI":"10.1016/j.jpainsymman.2015.05.001","ISSN":"0885-3924","journalAbbreviation":"Journal of Pain and Symptom Management","author":[{"family":"Teno","given":"Joan M."},{"family":"Bowman","given":"Jason"},{"family":"Plotzke","given":"Michael"},{"family":"Gozalo","given":"Pedro L."},{"family":"Christian","given":"Thomas"},{"family":"Miller","given":"Susan C."},{"family":"Williams","given":"Cindy"},{"family":"Mor","given":"Vincent"}],"issued":{"date-parts":[["2015",10]]}}},{"id":963,"uris":["http://zotero.org/users/2597747/items/ZKXJKVPU"],"uri":["http://zotero.org/users/2597747/items/ZKXJKVPU"],"itemData":{"id":963,"type":"article-journal","title":"Why Do Home Hospice Patients Return to the Hospital? A Study of Hospice Provider Perspectives","container-title":"Journal of Palliative Medicine","page":"51-56","volume":"19","issue":"1","source":"online.liebertpub.com (Atypon)","abstract":"Background: Hospice provides an opportunity for patients to receive care at home at the end of life (EOL); however, approximately 25% of patients who disenroll from hospice are hospitalized. Hospitalization can lead to poor care transitions and result in unwarranted care and adverse patient outcomes. Research examining reasons for hospitalization in this patient population is limited. Objective: The objective was to understand the reasons for hospitalization among home hospice patients through the perspectives of hospice interdisciplinary team (IDT) members. Methods: This was a qualitative study using a grounded theory approach. Seven semistructured focus group were conducted to solicit reasons for hospitalization among home hospice patients. Participants consisted of 73 home hospice IDT members from a not-for-profit hospice agency in New York City. Focus group recordings were transcribed and analyzed using content analysis. Results: Eight major themes were identified: (1) not fully understanding hospice, (2) lack of clarity about disease prognosis, (3) desire to continue receiving care from nonhospice physicians and hospital, (4) caregiver burden, (5) distressing/difficult-to-manage signs and symptoms, (6) caregivers' reluctance to administer morphine, (7) 911's faster response time compared to hospice, and (8) families' difficulty accepting patients' mortality. Conclusions: Reasons for hospitalization in home hospice patients are multifactorial and complex. Our study highlights barriers and challenges that patients, families, physicians, and hospices face around home hospice care and hospitalization. More research is needed to elucidate these issues and develop viable strategies to address them.","DOI":"10.1089/jpm.2015.0178","ISSN":"1096-6218","shortTitle":"Why Do Home Hospice Patients Return to the Hospital?","journalAbbreviation":"Journal of Palliative Medicine","author":[{"family":"Phongtankuel","given":"Veerawat"},{"family":"Scherban","given":"Benjamin A."},{"family":"Reid","given":"Manney C."},{"family":"Finley","given":"Amanda"},{"family":"Martin","given":"Angela"},{"family":"Dennis","given":"Jeanne"},{"family":"Adelman","given":"Ronald D."}],"issued":{"date-parts":[["2015",12,24]]}}}],"schema":"https://github.com/citation-style-language/schema/raw/master/csl-citation.json"}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11,82,85</w:t>
      </w:r>
      <w:r w:rsidRPr="00725D15">
        <w:rPr>
          <w:rFonts w:cs="Arial"/>
          <w:szCs w:val="22"/>
        </w:rPr>
        <w:fldChar w:fldCharType="end"/>
      </w:r>
      <w:r w:rsidRPr="00725D15">
        <w:rPr>
          <w:rFonts w:cs="Arial"/>
          <w:szCs w:val="22"/>
        </w:rPr>
        <w:t xml:space="preserve"> </w:t>
      </w:r>
    </w:p>
    <w:p w14:paraId="7BD485A4" w14:textId="3EAC14E0" w:rsidR="00E962D1" w:rsidRPr="00725D15" w:rsidRDefault="00E962D1" w:rsidP="00520436">
      <w:pPr>
        <w:ind w:firstLine="720"/>
        <w:rPr>
          <w:rFonts w:cs="Arial"/>
          <w:szCs w:val="22"/>
        </w:rPr>
      </w:pPr>
      <w:r w:rsidRPr="00725D15">
        <w:rPr>
          <w:rFonts w:cs="Arial"/>
          <w:szCs w:val="22"/>
        </w:rPr>
        <w:t>Given hospice’s orientation toward comfort care, most medications that no longer provide a symptomatic or quality of life benefit in the context of limited life expectancy may be discontinued upon hospice admission.</w:t>
      </w:r>
      <w:r w:rsidRPr="00725D15">
        <w:rPr>
          <w:rFonts w:cs="Arial"/>
          <w:szCs w:val="22"/>
        </w:rPr>
        <w:fldChar w:fldCharType="begin"/>
      </w:r>
      <w:r w:rsidR="00EC3644">
        <w:rPr>
          <w:rFonts w:cs="Arial"/>
          <w:szCs w:val="22"/>
        </w:rPr>
        <w:instrText xml:space="preserve"> ADDIN ZOTERO_ITEM CSL_CITATION {"citationID":"X6dIQ3n2","properties":{"formattedCitation":"\\super 87,134\\nosupersub{}","plainCitation":"87,134","noteIndex":0},"citationItems":[{"id":60,"uris":["http://zotero.org/users/2597747/items/7AMG4AKA"],"uri":["http://zotero.org/users/2597747/items/7AMG4AKA"],"itemData":{"id":60,"type":"article-journal","title":"Rational Prescribing for Patients With a Reduced Life Expectancy","container-title":"Clinical Pharmacology &amp; Therapeutics","page":"103-107","volume":"85","issue":"1","source":"Wiley Online Library","abstract":"Optimal prescribing for patients who are in late life and have multiple comorbid illnesses remains unclear despite the increasing recognition that chronic diseases should be managed differently in the setting of reduced life expectancy.1 As new diseases are diagnosed and chronic comorbidities worsen with advancing age, more and more medications are added in accordance with disease-specific clinical practice guidelines. The result is often a complex drug regimen that is difficult to manage.2 This occurs regardless of the appreciation that the ongoing benefits and risks of chronic treatments are uncertain as diseases become life-defining or life-limiting.3 Clinical Pharmacology &amp; Therapeutics (2008); 85, 1, 103–107 doi:10.1038/clpt.2008.211","DOI":"10.1038/clpt.2008.211","ISSN":"1532-6535","journalAbbreviation":"Clinical Pharmacology &amp; Therapeutics","language":"en","author":[{"family":"Holmes","given":"Hm"}],"issued":{"date-parts":[["2009",1,1]]}}},{"id":250,"uris":["http://zotero.org/users/2597747/items/WW5ZQUE4"],"uri":["http://zotero.org/users/2597747/items/WW5ZQUE4"],"itemData":{"id":250,"type":"article-journal","title":"“When Will it Help?” Incorporating Lagtime to Benefit into Prevention Decisions for Older Adults","container-title":"JAMA","page":"2609-2610","volume":"310","issue":"24","source":"PubMed Central","DOI":"10.1001/jama.2013.282612","ISSN":"0098-7484","note":"PMID: 24322396\nPMCID: PMC4049260","shortTitle":"“When Will it Help?","journalAbbreviation":"JAMA","author":[{"family":"Lee","given":"Sei J."},{"family":"Leipzig","given":"Rosanne M."},{"family":"Walter","given":"Louise C."}],"issued":{"date-parts":[["2013",12,25]]}}}],"schema":"https://github.com/citation-style-language/schema/raw/master/csl-citation.json"}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87,134</w:t>
      </w:r>
      <w:r w:rsidRPr="00725D15">
        <w:rPr>
          <w:rFonts w:cs="Arial"/>
          <w:szCs w:val="22"/>
        </w:rPr>
        <w:fldChar w:fldCharType="end"/>
      </w:r>
      <w:r w:rsidRPr="00725D15">
        <w:rPr>
          <w:rFonts w:cs="Arial"/>
          <w:szCs w:val="22"/>
        </w:rPr>
        <w:t xml:space="preserve"> However, studies have demonstrated that hospice patients continue to receive medications with potentially questionable benefit until death.</w:t>
      </w:r>
      <w:r w:rsidRPr="00725D15">
        <w:rPr>
          <w:rFonts w:cs="Arial"/>
          <w:szCs w:val="22"/>
        </w:rPr>
        <w:fldChar w:fldCharType="begin"/>
      </w:r>
      <w:r w:rsidR="00EC3644">
        <w:rPr>
          <w:rFonts w:cs="Arial"/>
          <w:szCs w:val="22"/>
        </w:rPr>
        <w:instrText xml:space="preserve"> ADDIN ZOTERO_ITEM CSL_CITATION {"citationID":"WM3uluZW","properties":{"formattedCitation":"\\super 21,23,135\\nosupersub{}","plainCitation":"21,23,135","noteIndex":0},"citationItems":[{"id":241,"uris":["http://zotero.org/users/2597747/items/J8JVATI3"],"uri":["http://zotero.org/users/2597747/items/J8JVATI3"],"itemData":{"id":241,"type":"article-journal","title":"Commonly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M."}],"issued":{"date-parts":[["2014",3]]}}},{"id":351,"uris":["http://zotero.org/users/2597747/items/8326S43N"],"uri":["http://zotero.org/users/2597747/items/8326S43N"],"itemData":{"id":351,"type":"article-journal","title":"Medications That Older Adults in Hospice Care in the United States Take, 2007","container-title":"Journal of the American Geriatrics Society","page":"2282-2289","volume":"63","issue":"11","source":"Wiley Online Library","abstract":"Objectives\n\nTo describe medications that older adults in hospice with cancer, dementia, debility, heart disease, and lung disease take during the last week of life.\n\n\nDesign\n\nRetrospective cross-sectional study.\n\n\nSetting\n\nNationally representative sample of 695 U.S. hospices in the 2007 National Home and Hospice Care Survey.\n\n\nParticipants\n\nIndividuals aged 65 and older with a primary diagnosis of cancer (49%), dementia (12%), debility (14%), heart disease (16%), or lung disease (10%) who received end-of-life care during their last week of life (N = 2,623).\n\n\nMeasurements\n\nMedication data were obtained from hospice staff, who were asked, “What are the names of all the medications and drugs the patient was taking 7 days prior to and on the day of his or her death while in hospice? Please include any standing, routine, or PRN medications.”\n\n\nResults\n\nThe unweighted survey response rate was 71%. The average number of medications taken was 10.2. The most common therapeutic classes were analgesics (98%); antiemetic and antivertigo medications (78%); anxiolytics, sedatives, and hypnotics (76%); anticonvulsants (71%); and laxatives (53%). Approximately one-quarter of the individuals took proton pump inhibitors, anticoagulants, and antidepressants, and fewer than 20% took antacids and antibiotics. A smaller percentage of individuals with dementia and debility than of those with cancer took opioid analgesics. Individuals with heart disease were more likely than individuals in the other clinical cohorts to take diuretics, and those with lung disease were more likely than those in the other clinical cohorts to take bronchodilators. A higher percentage of individuals with dementia and with debility than with cancer and lung disease took antidepressants.\n\n\nConclusion\n\nPeople continue to receive disease-focused therapies at the end of life rather than therapies exclusively for palliation of symptoms, suggesting that treatments may vary according to the person's primary diagnosis.","DOI":"10.1111/jgs.13795","ISSN":"1532-5415","journalAbbreviation":"J Am Geriatr Soc","language":"en","author":[{"family":"Dwyer","given":"Lisa L."},{"family":"Lau","given":"Denys T."},{"family":"Shega","given":"Joseph W."}],"issued":{"date-parts":[["2015",11,1]]}}},{"id":217,"uris":["http://zotero.org/users/2597747/items/HDPZXJP6"],"uri":["http://zotero.org/users/2597747/items/HDPZXJP6"],"itemData":{"id":217,"type":"article-journal","title":"Predictors of Anticoagulation in Hospice Patients With Lung Cancer","container-title":"Cancer","page":"4817-4824","volume":"116","issue":"20","source":"PubMed Central","abstract":"BACKGROUND\nGuidelines recommend lifelong anticoagulation in patients with cancer and a history of thromboembolism, but the use of anticoagulation in hospice has not been described. A retrospective study of medication data was conducted to determine patterns of anticoagulant use and predictors of type of anticoagulant prescribed for hospice patients with lung cancer.\n\nMETHODS\nMedication data were evaluated for 16,896 hospice patients with lung cancer in 2006 to determine patient and hospice characteristics that predicted anticoagulant prescription. Independent predictors of warfarin versus low molecular weight heparin (LMWH) prescription were identified using a logistic regression model.\n\nRESULTS\nOne of every 11 patients was prescribed an anticoagulant, most commonly warfarin. Compared with patients prescribed LMWH, patients prescribed warfarin were older (71.6 vs 65.8 years, P&lt;.001), were more likely white (81.2% vs 74.3%, P = .03), had a longer stay in hospice (median 21 days vs 17 days, P = .001), and were more likely to have ≥3 comorbid illnesses (37.5% vs 25.0%, P&lt;.001). The strongest independent predictor of type of anticoagulant prescribed was geographic region, with hospices in the Northeast more likely to prescribe LMWH.\n\nCONCLUSIONS\nAnticoagulant use is prevalent in patients with lung cancer enrolled in hospice. This study highlights the need to understand the benefits and risks of anticoagulation at the end of life.","DOI":"10.1002/cncr.25284","ISSN":"0008-543X","note":"PMID: 20572034\nPMCID: PMC3153417","journalAbbreviation":"Cancer","author":[{"family":"Holmes","given":"Holly M."},{"family":"Bain","given":"Kevin T."},{"family":"Zalpour","given":"Ali"},{"family":"Luo","given":"Ruili"},{"family":"Bruera","given":"Eduardo"},{"family":"Goodwin","given":"James S."}],"issued":{"date-parts":[["2010",10,15]]}}}],"schema":"https://github.com/citation-style-language/schema/raw/master/csl-citation.json"}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21,23,135</w:t>
      </w:r>
      <w:r w:rsidRPr="00725D15">
        <w:rPr>
          <w:rFonts w:cs="Arial"/>
          <w:szCs w:val="22"/>
        </w:rPr>
        <w:fldChar w:fldCharType="end"/>
      </w:r>
      <w:r w:rsidRPr="00725D15">
        <w:rPr>
          <w:rFonts w:cs="Arial"/>
          <w:szCs w:val="22"/>
        </w:rPr>
        <w:t xml:space="preserve"> While the exact cause for this is not well understood, poor coordination of care among providers and poor communication between providers and patients have been suggested as significant contributing factors.</w:t>
      </w:r>
      <w:r w:rsidRPr="00725D15">
        <w:rPr>
          <w:rFonts w:cs="Arial"/>
          <w:szCs w:val="22"/>
        </w:rPr>
        <w:fldChar w:fldCharType="begin"/>
      </w:r>
      <w:r w:rsidR="00EC3644">
        <w:rPr>
          <w:rFonts w:cs="Arial"/>
          <w:szCs w:val="22"/>
        </w:rPr>
        <w:instrText xml:space="preserve"> ADDIN ZOTERO_ITEM CSL_CITATION {"citationID":"a1bcvfdb7mf","properties":{"formattedCitation":"\\super 72,73,87\\nosupersub{}","plainCitation":"72,73,87","noteIndex":0},"citationItems":[{"id":1057,"uris":["http://zotero.org/users/2597747/items/ZTIA7XB8"],"uri":["http://zotero.org/users/2597747/items/ZTIA7XB8"],"itemData":{"id":1057,"type":"article-journal","title":"Statin use in cancer patients with brain metastases: a missed communication opportunity at the end of life","container-title":"Supportive Care in Cancer","page":"2643-2648","volume":"23","issue":"9","source":"link.springer.com.proxy.cc.uic.edu","abstract":"Purpose Preventive care, referring to medical interventions with anticipated long-term benefits, is often inappropriately continued near the end of life. We examined the use of statin medications in patients with brain metastases receiving whole brain radiation therapy to determine the effect of short life expectancy and regular interaction with oncology providers on statin discontinuation. We propose reasons for the unnecessary continuation of preventive care and suggest that it is a frequently missed communication opportunity to discuss prognosis in a concrete manner. Methods This is a retrospective study examining statin use in patients receiving whole brain radiotherapy for brain metastases. A total of 206 patients at two cancer centers were studied, and information on statin use and clinical characteristics was obtained from review of the medical record. Results Of the 206 patients, 53 (26 %) were on a statin at their initial radiation oncology consultation. Of these patients, 13 (25 %) had their statin discontinued by the time of their last follow-up visit, but 40 patients (75 %) were continued on their statin despite their limited life expectancy and low likelihood of benefit. Conclusions The majority of patients who were on statins prior to starting palliative whole brain radiation therapy remained on a statin after completing treatment despite an estimated survival of months and regular visits with an oncologist. This represents a missed opportunity for doctors and patients to discuss the appropriateness of continuing preventive care as part of an important conversation about prognosis.","DOI":"10.1007/s00520-015-2624-x","ISSN":"0941-4355, 1433-7339","shortTitle":"Statin use in cancer patients with brain metastases","journalAbbreviation":"Support Care Cancer","language":"en","author":[{"family":"Mullvain","given":"Jacqueline A."},{"family":"Kozak","given":"Kevin R."},{"family":"Moody","given":"John S."},{"family":"Campbell","given":"Toby C."}],"issued":{"date-parts":[["2015",2,7]]}}},{"id":60,"uris":["http://zotero.org/users/2597747/items/7AMG4AKA"],"uri":["http://zotero.org/users/2597747/items/7AMG4AKA"],"itemData":{"id":60,"type":"article-journal","title":"Rational Prescribing for Patients With a Reduced Life Expectancy","container-title":"Clinical Pharmacology &amp; Therapeutics","page":"103-107","volume":"85","issue":"1","source":"Wiley Online Library","abstract":"Optimal prescribing for patients who are in late life and have multiple comorbid illnesses remains unclear despite the increasing recognition that chronic diseases should be managed differently in the setting of reduced life expectancy.1 As new diseases are diagnosed and chronic comorbidities worsen with advancing age, more and more medications are added in accordance with disease-specific clinical practice guidelines. The result is often a complex drug regimen that is difficult to manage.2 This occurs regardless of the appreciation that the ongoing benefits and risks of chronic treatments are uncertain as diseases become life-defining or life-limiting.3 Clinical Pharmacology &amp; Therapeutics (2008); 85, 1, 103–107 doi:10.1038/clpt.2008.211","DOI":"10.1038/clpt.2008.211","ISSN":"1532-6535","journalAbbreviation":"Clinical Pharmacology &amp; Therapeutics","language":"en","author":[{"family":"Holmes","given":"Hm"}],"issued":{"date-parts":[["2009",1,1]]}}},{"id":43,"uris":["http://zotero.org/users/2597747/items/EGJGBNAW"],"uri":["http://zotero.org/users/2597747/items/EGJGBNAW"],"itemData":{"id":43,"type":"article-journal","title":"Discontinuing Medications: A Novel Approach for Revising the Prescribing Stage of the Medication-Use Process","container-title":"Journal of the American Geriatrics Society","page":"1946-1952","volume":"56","issue":"10","source":"PubMed Central","abstract":"Thousands of Americans are injured or die each year from adverse drug reactions, many of which are preventable. The burden of harm conveyed by the use of medications is a significant public health problem and, therefore, improving the medication-use process is a priority. Recent and ongoing efforts to improve the medication-use process focus primarily on improving medication prescribing, and not much emphasis has been put on improving medication discontinuation. A formalized approach for rationally discontinuing medications is a necessary antecedent to improving medication safety and improving the nation’s quality of care. This paper proposes a conceptual framework for revising the prescribing stage of the medication-use process to include discontinuing medications. This framework has substantial practice and research implications, especially for the clinical care of older persons, who are particularly susceptible to the adverse effects of medications.","DOI":"10.1111/j.1532-5415.2008.01916.x","ISSN":"0002-8614","note":"PMID: 18771457\nPMCID: PMC3119470","shortTitle":"Discontinuing Medications","journalAbbreviation":"J Am Geriatr Soc","author":[{"family":"Bain","given":"Kevin T."},{"family":"Holmes","given":"Holly M."},{"family":"Beers","given":"Mark H."},{"family":"Maio","given":"Vittorio"},{"family":"Handler","given":"Steven M."},{"family":"Pauker","given":"Stephen G."}],"issued":{"date-parts":[["2008",10]]}}}],"schema":"https://github.com/citation-style-language/schema/raw/master/csl-citation.json"}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72,73,87</w:t>
      </w:r>
      <w:r w:rsidRPr="00725D15">
        <w:rPr>
          <w:rFonts w:cs="Arial"/>
          <w:szCs w:val="22"/>
        </w:rPr>
        <w:fldChar w:fldCharType="end"/>
      </w:r>
      <w:r w:rsidRPr="00725D15">
        <w:rPr>
          <w:rFonts w:cs="Arial"/>
          <w:szCs w:val="22"/>
        </w:rPr>
        <w:t xml:space="preserve"> Transitions in care may exacerbate this problem. Medication reconciliation and documentation practices following care transfers in the general population have been shown to be poor, and may be further magnified in end of life populations as a result of complex and rapidly changing medication regimens.</w:t>
      </w:r>
      <w:r w:rsidRPr="00725D15">
        <w:rPr>
          <w:rFonts w:cs="Arial"/>
          <w:szCs w:val="22"/>
        </w:rPr>
        <w:fldChar w:fldCharType="begin"/>
      </w:r>
      <w:r w:rsidR="00EC3644">
        <w:rPr>
          <w:rFonts w:cs="Arial"/>
          <w:szCs w:val="22"/>
        </w:rPr>
        <w:instrText xml:space="preserve"> ADDIN ZOTERO_ITEM CSL_CITATION {"citationID":"AtVReUz4","properties":{"formattedCitation":"\\super 72,76,136,137\\nosupersub{}","plainCitation":"72,76,136,137","noteIndex":0},"citationItems":[{"id":43,"uris":["http://zotero.org/users/2597747/items/EGJGBNAW"],"uri":["http://zotero.org/users/2597747/items/EGJGBNAW"],"itemData":{"id":43,"type":"article-journal","title":"Discontinuing Medications: A Novel Approach for Revising the Prescribing Stage of the Medication-Use Process","container-title":"Journal of the American Geriatrics Society","page":"1946-1952","volume":"56","issue":"10","source":"PubMed Central","abstract":"Thousands of Americans are injured or die each year from adverse drug reactions, many of which are preventable. The burden of harm conveyed by the use of medications is a significant public health problem and, therefore, improving the medication-use process is a priority. Recent and ongoing efforts to improve the medication-use process focus primarily on improving medication prescribing, and not much emphasis has been put on improving medication discontinuation. A formalized approach for rationally discontinuing medications is a necessary antecedent to improving medication safety and improving the nation’s quality of care. This paper proposes a conceptual framework for revising the prescribing stage of the medication-use process to include discontinuing medications. This framework has substantial practice and research implications, especially for the clinical care of older persons, who are particularly susceptible to the adverse effects of medications.","DOI":"10.1111/j.1532-5415.2008.01916.x","ISSN":"0002-8614","note":"PMID: 18771457\nPMCID: PMC3119470","shortTitle":"Discontinuing Medications","journalAbbreviation":"J Am Geriatr Soc","author":[{"family":"Bain","given":"Kevin T."},{"family":"Holmes","given":"Holly M."},{"family":"Beers","given":"Mark H."},{"family":"Maio","given":"Vittorio"},{"family":"Handler","given":"Steven M."},{"family":"Pauker","given":"Stephen G."}],"issued":{"date-parts":[["2008",10]]}}},{"id":2498,"uris":["http://zotero.org/users/2597747/items/6HEPINUJ"],"uri":["http://zotero.org/users/2597747/items/6HEPINUJ"],"itemData":{"id":2498,"type":"article-journal","title":"Posthospital medication discrepancies: Prevalence and contributing factors","container-title":"Archives of Internal Medicine","page":"1842-1847","volume":"165","issue":"16","source":"Silverchair","abstract":"Background \nDespite the national attention being given to the problem of medication safety, little attention has been paid to the medication problems that are encountered by older patients who are receiving care across settings. The objective of this study was to determine the prevalence and contributing factors associated with posthospital medication discrepancies.Methods\nThe study population consisted of community-dwelling adults aged 65 years and older admitted to the hospital with 1 of 9 selected conditions (n = 375). A geriatric nurse practitioner performed a comprehensive medication assessment in the patient’s home within 24 to 72 hours after institutional discharge. The assessment focused on what older patients reported taking in comparison with the prehospital medication regimen and the posthospital medication regimen. Prevalence and types of medication discrepancies were categorized using the Medication Discrepancy Tool.Results\nA total of 14.1% of patients experienced 1 or more medication discrepancies. Using the Medication Discrepancy Tool, 50.8% of identified contributing factors for discrepancies were categorized as patient-associated, and 49.2% were categorized as system-associated. Five medication classes accounted for half of all medication discrepancies. Medication discrepancies were associated with the total number of medications taken and the presence of congestive heart failure. A total of 14.3% of the patients who experienced medication discrepancies were rehospitalized at 30 days compared with 6.1% of the patients who did not experience a discrepancy (P = .04).Conclusions\nA significant percentage of older patients experienced medication discrepancies after making the transition from hospital to home. Both patient-associated and system-associated solutions may be needed to ensure medication safety during this vulnerable period.","DOI":"10.1001/archinte.165.16.1842","ISSN":"0003-9926","shortTitle":"Posthospital medication discrepancies","journalAbbreviation":"Arch Intern Med","author":[{"literal":"Coleman EA"},{"literal":"Smith JD"},{"literal":"Raha D"},{"literal":"Min S"}],"issued":{"date-parts":[["2005",9,12]]}}},{"id":4081,"uris":["http://zotero.org/users/2597747/items/HCDH7M63"],"uri":["http://zotero.org/users/2597747/items/HCDH7M63"],"itemData":{"id":4081,"type":"article-journal","title":"Transitions of care for the geriatric patient in the emergency department","container-title":"Clinics in Geriatric Medicine","page":"49-69","volume":"29","issue":"1","source":"PubMed","abstract":"This article reviews and summarizes more than 200 studies regarding key issues surrounding the transition of elderly patients to or from the emergency department (ED), with particular attention paid to the relationship between the ED and nursing homes. Transfers of care often occur with incomplete information, which results in increased morbidity, recidivism, and cost. Transitions of elderly patients could be improved by standardizing hand-offs processes, improving discharge planning for elderly patients, developing metrics for transfers of care and geriatric care quality, and finding sustainable sources of research funding.","DOI":"10.1016/j.cger.2012.10.005","ISSN":"1879-8853","note":"PMID: 23177600","journalAbbreviation":"Clin. Geriatr. Med.","language":"eng","author":[{"family":"Kessler","given":"Chad"},{"family":"Williams","given":"Meredith C."},{"family":"Moustoukas","given":"John N."},{"family":"Pappas","given":"Cleo"}],"issued":{"date-parts":[["2013",2]]}}},{"id":4117,"uris":["http://zotero.org/users/2597747/items/F6GPIXDP"],"uri":["http://zotero.org/users/2597747/items/F6GPIXDP"],"itemData":{"id":4117,"type":"article-journal","title":"Improving Care Transitions: Current Practice and Future Opportunities for Pharmacists","container-title":"Pharmacotherapy","page":"e326-e337","volume":"32","issue":"11","source":"Wiley Online Library","abstract":"During the past decade, patient safety issues during care transitions have gained greater attention at both the local and national level. Readmission rates to U.S. hospitals are high, often because of poor care transitions. Serious adverse drug events (ADEs) caused by an incomplete understanding of changes in complex drug regimens can be an important factor contributing to readmission rates. This paper describes the roles and responsibilities of pharmacists in ensuring optimal outcomes from drug therapy during care transitions. Barriers to effective care transitions, including inadequate communication, poor care coordination, and the lack of one clinician ultimately responsible for these transitions, are discussed. This paper also identifies specific patient populations at high risk of ADEs during care transitions. Several national initiatives and newer care transition models are discussed, including multi- and interdisciplinary programs with pharmacists as key members. Among their potential roles, pharmacists should participate on medical rounds where available, perform medication reconciliation and admission drug histories, apply their knowledge of drug therapy to anticipate and resolve problems during transitions, communicate changes in drug regimens between providers and care settings, assess the appropriateness and patient understanding of drug regimens, promote adherence, and assess health literacy. In addition, this paper identifies barriers and ongoing challenges limiting greater involvement of pharmacists from different practice settings during care transitions. Professional degree programs and residency training programs should increase their emphasis on pharmacists' roles, especially as part of interdisciplinary teams, in improving patient safety during care transitions in diverse practice settings. This paper also recommends that Accreditation Council for Pharmacy Education (ACPE) standards include specific language regarding the exposure of students to issues regarding care transitions and that students have several opportunities to practice the skills needed for effective care transitions. Moreover, reimbursement mechanisms that permit greater pharmacist involvement in providing medication assistance to patients going through care transitions should be explored. Although health information technology offers the potential for safer care transitions, pharmacists' use of information technology must be integrated into the national initiatives for pharmacists to be effectively involved in care transitions. This paper concludes with a discussion about the importance of recognizing and addressing health literacy issues to promote patient empowerment during and after care transitions.","DOI":"10.1002/phar.1215","ISSN":"1875-9114","shortTitle":"Improving Care Transitions","journalAbbreviation":"Pharmacotherapy","language":"en","author":[{"literal":"American College of Clinical Pharmacy"},{"family":"Hume","given":"Anne L."},{"family":"Kirwin","given":"Jennifer"},{"family":"Bieber","given":"Heather L."},{"family":"Couchenour","given":"Rachel L."},{"family":"Hall","given":"Deanne L."},{"family":"Kennedy","given":"Amy K."},{"family":"LaPointe","given":"Nancy M. Allen"},{"family":"D.O. Burkhardt","given":"Crystal"},{"family":"Schilli","given":"Kathleen"},{"family":"Seaton","given":"Terry"},{"family":"Trujillo","given":"Jennifer"},{"family":"Wiggins","given":"Barbara"}],"issued":{"date-parts":[["2012",11,1]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72,76,136,137</w:t>
      </w:r>
      <w:r w:rsidRPr="00725D15">
        <w:rPr>
          <w:rFonts w:cs="Arial"/>
          <w:szCs w:val="22"/>
        </w:rPr>
        <w:fldChar w:fldCharType="end"/>
      </w:r>
      <w:r w:rsidRPr="00725D15">
        <w:rPr>
          <w:rFonts w:cs="Arial"/>
          <w:szCs w:val="22"/>
        </w:rPr>
        <w:t xml:space="preserve"> The goal of this study was to characterize the impact of burdensome health care transitions on subsequent receipt of </w:t>
      </w:r>
      <w:r w:rsidR="00116443">
        <w:rPr>
          <w:rFonts w:cs="Arial"/>
          <w:szCs w:val="22"/>
        </w:rPr>
        <w:t>LBMs</w:t>
      </w:r>
      <w:r w:rsidRPr="00725D15">
        <w:rPr>
          <w:rFonts w:cs="Arial"/>
          <w:szCs w:val="22"/>
        </w:rPr>
        <w:t xml:space="preserve"> among older Medicare beneficiaries admitted to hospice. </w:t>
      </w:r>
    </w:p>
    <w:p w14:paraId="5E2DA895" w14:textId="77777777" w:rsidR="004A3C4D" w:rsidRPr="00725D15" w:rsidRDefault="004A3C4D" w:rsidP="00DF3833">
      <w:pPr>
        <w:pStyle w:val="Style2"/>
        <w:spacing w:before="0" w:line="480" w:lineRule="auto"/>
      </w:pPr>
      <w:bookmarkStart w:id="128" w:name="_Toc507326067"/>
      <w:r w:rsidRPr="00725D15">
        <w:t>4.3 Methods</w:t>
      </w:r>
      <w:bookmarkEnd w:id="128"/>
    </w:p>
    <w:p w14:paraId="18A931D9" w14:textId="77777777" w:rsidR="004A3C4D" w:rsidRPr="00725D15" w:rsidRDefault="004A3C4D" w:rsidP="00DF3833">
      <w:pPr>
        <w:pStyle w:val="Style3"/>
      </w:pPr>
      <w:bookmarkStart w:id="129" w:name="_Toc507326068"/>
      <w:r w:rsidRPr="00725D15">
        <w:t>4.3.1 Data Source and Study Population</w:t>
      </w:r>
      <w:bookmarkEnd w:id="129"/>
    </w:p>
    <w:p w14:paraId="70E95D49" w14:textId="77777777" w:rsidR="00E962D1" w:rsidRPr="00725D15" w:rsidRDefault="00E962D1" w:rsidP="00E962D1">
      <w:pPr>
        <w:ind w:firstLine="720"/>
        <w:rPr>
          <w:rFonts w:cs="Arial"/>
          <w:szCs w:val="22"/>
        </w:rPr>
      </w:pPr>
      <w:r w:rsidRPr="00725D15">
        <w:rPr>
          <w:rFonts w:cs="Arial"/>
          <w:szCs w:val="22"/>
        </w:rPr>
        <w:t xml:space="preserve">We conducted a matched cohort study using the SEER-Medicare linked database. We included fee-for-service Medicare beneficiaries who entered hospice and died while under hospice care between January 1, 2008 and December 31, 2013. The SEER-Medicare data obtained for this study consisted of two populations: 1) Patients diagnosed with a first primary lung, colorectal, breast, pancreatic cancer or lymphoma and 2) a random 5% sample of </w:t>
      </w:r>
      <w:r w:rsidRPr="00725D15">
        <w:rPr>
          <w:rFonts w:cs="Arial"/>
          <w:szCs w:val="22"/>
        </w:rPr>
        <w:lastRenderedPageBreak/>
        <w:t>Medicare beneficiaries residing in the SEER registry regions and not diagnosed with cancer. De-identified data were available on patient demographics, Medicare enrollment, health care utilization measures, medical diagnoses, and Medicare Part D prescription dispensing.</w:t>
      </w:r>
    </w:p>
    <w:p w14:paraId="7DD8600A" w14:textId="5224998F" w:rsidR="00E962D1" w:rsidRPr="00725D15" w:rsidRDefault="00E962D1" w:rsidP="00E962D1">
      <w:pPr>
        <w:ind w:firstLine="720"/>
        <w:rPr>
          <w:rFonts w:cs="Arial"/>
          <w:szCs w:val="22"/>
        </w:rPr>
      </w:pPr>
      <w:r w:rsidRPr="00725D15">
        <w:rPr>
          <w:rFonts w:cs="Arial"/>
          <w:szCs w:val="22"/>
        </w:rPr>
        <w:t>We included patients aged at least 66 years at hospice admission who were continuously enrolled in Medicare Parts A, B and D starting one year prior to hospice admission (i.e., baseline) and continuing through the date of death. We excluded patients with any enrollment in a managed care plan, those without at least one Part D claim during the baseline period, and those who were discharged from hospice and subsequently died in a non-hospice care setting.</w:t>
      </w:r>
    </w:p>
    <w:p w14:paraId="2DEA23E1" w14:textId="77777777" w:rsidR="004A3C4D" w:rsidRPr="00725D15" w:rsidRDefault="004A3C4D" w:rsidP="00DF3833">
      <w:pPr>
        <w:pStyle w:val="Style3"/>
      </w:pPr>
      <w:bookmarkStart w:id="130" w:name="_Toc507326069"/>
      <w:r w:rsidRPr="00725D15">
        <w:t>4.3.2 Measures</w:t>
      </w:r>
      <w:bookmarkEnd w:id="130"/>
    </w:p>
    <w:p w14:paraId="25E69ABA" w14:textId="77777777" w:rsidR="00E962D1" w:rsidRPr="00725D15" w:rsidRDefault="00E962D1" w:rsidP="00E962D1">
      <w:pPr>
        <w:rPr>
          <w:rFonts w:cs="Arial"/>
          <w:szCs w:val="22"/>
        </w:rPr>
      </w:pPr>
      <w:r w:rsidRPr="00725D15">
        <w:rPr>
          <w:rFonts w:cs="Arial"/>
          <w:szCs w:val="22"/>
        </w:rPr>
        <w:tab/>
        <w:t>Burdensome health care transitions were defined as transitions between health care settings that were likely to result in discontinuity in the patient’s health care team, namely</w:t>
      </w:r>
      <w:r w:rsidRPr="00725D15">
        <w:rPr>
          <w:rFonts w:cs="Arial"/>
          <w:i/>
          <w:szCs w:val="22"/>
        </w:rPr>
        <w:t xml:space="preserve">, </w:t>
      </w:r>
      <w:r w:rsidRPr="00725D15">
        <w:rPr>
          <w:rFonts w:cs="Arial"/>
          <w:szCs w:val="22"/>
        </w:rPr>
        <w:t>transitions from a</w:t>
      </w:r>
      <w:r w:rsidRPr="00725D15">
        <w:rPr>
          <w:rFonts w:cs="Arial"/>
          <w:i/>
          <w:szCs w:val="22"/>
        </w:rPr>
        <w:t xml:space="preserve"> </w:t>
      </w:r>
      <w:r w:rsidRPr="00725D15">
        <w:rPr>
          <w:rFonts w:cs="Arial"/>
          <w:szCs w:val="22"/>
        </w:rPr>
        <w:t>hospice to non-hospice</w:t>
      </w:r>
      <w:r w:rsidRPr="00725D15">
        <w:rPr>
          <w:rFonts w:cs="Arial"/>
          <w:i/>
          <w:szCs w:val="22"/>
        </w:rPr>
        <w:t xml:space="preserve"> </w:t>
      </w:r>
      <w:r w:rsidRPr="00725D15">
        <w:rPr>
          <w:rFonts w:cs="Arial"/>
          <w:szCs w:val="22"/>
        </w:rPr>
        <w:t>care setting. This consisted of hospitalizations from hospice, ED visits from hospice without subsequent hospitalization (i.e., standalone ED visits), hospice discharges, and hospice discharges immediately followed (≤1 day) by a hospitalization or standalone ED visit. Transitions were excluded from the analysis if the patient did not have at least 1 day of valid post-transition follow-up (e.g., in-hospital death). For patients with multiple qualifying transitions after hospice admission, only the first transition was evaluated for this study. Transitions involving a hospice discharge were included only if the patient re-enrolled in hospice within 90 days of discharge. This was intended to limit hospice discharges that may have occurred due to disease remission.</w:t>
      </w:r>
    </w:p>
    <w:p w14:paraId="2D971AE0" w14:textId="5379DD13" w:rsidR="00E962D1" w:rsidRPr="00725D15" w:rsidRDefault="00E962D1" w:rsidP="00520436">
      <w:pPr>
        <w:ind w:firstLine="720"/>
        <w:rPr>
          <w:rFonts w:cs="Arial"/>
          <w:szCs w:val="22"/>
        </w:rPr>
      </w:pPr>
      <w:r w:rsidRPr="00725D15">
        <w:rPr>
          <w:rFonts w:cs="Arial"/>
          <w:szCs w:val="22"/>
        </w:rPr>
        <w:t>Medication classes that were consistently identified as being of questionable benefit in the context of limited life expectancy were selected based on a review of the literature. We specifically focused on medication classes which are primarily used to prevent or delay long-</w:t>
      </w:r>
      <w:r w:rsidRPr="00725D15">
        <w:rPr>
          <w:rFonts w:cs="Arial"/>
          <w:szCs w:val="22"/>
        </w:rPr>
        <w:lastRenderedPageBreak/>
        <w:t>term consequences of chronic conditions: anti-hyperlipidemics, antihypertensives (excluding loop diuretics), oral antidiabetics, anti-dementia and oral anti-osteoporotic agents, antiplatelets, and proton pump inhibitors. We also identified conditions in which these medications may positively impact quality of life or prevent serious adverse outcomes in the short-term. In these cases, the medications were excluded from the analysis at the patient level. Exclusions included: 1) Diuretics, beta-blockers, ACE inhibitors, angiotensin receptor blockers, and hydralazine (in combination with nitrates) in patients with congestive heart failure, 2) beta-blockers, ACE inhibitors, angiotensin receptor blockers, HMG-CoA reductase inhibitors (statins), and P2Y</w:t>
      </w:r>
      <w:r w:rsidRPr="00725D15">
        <w:rPr>
          <w:rFonts w:cs="Arial"/>
          <w:szCs w:val="22"/>
          <w:vertAlign w:val="subscript"/>
        </w:rPr>
        <w:t>12</w:t>
      </w:r>
      <w:r w:rsidRPr="00725D15">
        <w:rPr>
          <w:rFonts w:cs="Arial"/>
          <w:szCs w:val="22"/>
        </w:rPr>
        <w:t xml:space="preserve"> inhibitors in patients with a recent myocardial infarction, 3) statins, P2Y</w:t>
      </w:r>
      <w:r w:rsidRPr="00725D15">
        <w:rPr>
          <w:rFonts w:cs="Arial"/>
          <w:szCs w:val="22"/>
          <w:vertAlign w:val="subscript"/>
        </w:rPr>
        <w:t>12</w:t>
      </w:r>
      <w:r w:rsidRPr="00725D15">
        <w:rPr>
          <w:rFonts w:cs="Arial"/>
          <w:szCs w:val="22"/>
        </w:rPr>
        <w:t xml:space="preserve"> inhibitors, and combination antiplatelets in patients with a recent ischemic stroke, 4) beta-blockers and calcium channel blockers in patients with angina, and 5) non-dihydropyridine calcium channel blockers and beta blockers in patients with atrial fibrillation/flutter.  </w:t>
      </w:r>
    </w:p>
    <w:p w14:paraId="0A6F449C" w14:textId="13F748D9" w:rsidR="004A3C4D" w:rsidRPr="00725D15" w:rsidRDefault="004A3C4D" w:rsidP="00E962D1">
      <w:pPr>
        <w:pStyle w:val="Style3"/>
        <w:tabs>
          <w:tab w:val="left" w:pos="2400"/>
        </w:tabs>
      </w:pPr>
      <w:bookmarkStart w:id="131" w:name="_Toc507326070"/>
      <w:r w:rsidRPr="00725D15">
        <w:t>4.3.3 Study Cohort</w:t>
      </w:r>
      <w:bookmarkEnd w:id="131"/>
      <w:r w:rsidR="00E962D1" w:rsidRPr="00725D15">
        <w:tab/>
      </w:r>
    </w:p>
    <w:p w14:paraId="10B26A93" w14:textId="05E23822" w:rsidR="00E962D1" w:rsidRPr="00725D15" w:rsidRDefault="00E962D1" w:rsidP="00E962D1">
      <w:pPr>
        <w:ind w:firstLine="720"/>
        <w:rPr>
          <w:rFonts w:cs="Arial"/>
          <w:szCs w:val="22"/>
        </w:rPr>
      </w:pPr>
      <w:r w:rsidRPr="00725D15">
        <w:rPr>
          <w:rFonts w:cs="Arial"/>
          <w:szCs w:val="22"/>
        </w:rPr>
        <w:t>Patients with at least one valid health care transition after hospice admission were matched to up to five control patients (replacement) on age category (66-69 years, 70-74 years, 75-79 years, 80-84 years, 85-89 years, 90+ years), sex, hospice admission year and time from initial hospice enrollment to transition (i.e., index date). We used an incidence density sampling approach whereby pre-transition person-time from patients with a future transition was available for selection as follow-up time for matched controls (</w:t>
      </w:r>
      <w:r w:rsidR="00116443">
        <w:rPr>
          <w:rFonts w:cs="Arial"/>
          <w:b/>
          <w:szCs w:val="22"/>
        </w:rPr>
        <w:t>FIGURE 5</w:t>
      </w:r>
      <w:r w:rsidRPr="00725D15">
        <w:rPr>
          <w:rFonts w:cs="Arial"/>
          <w:szCs w:val="22"/>
        </w:rPr>
        <w:t xml:space="preserve">). </w:t>
      </w:r>
    </w:p>
    <w:p w14:paraId="69A7CE4A" w14:textId="77777777" w:rsidR="004A3C4D" w:rsidRPr="00725D15" w:rsidRDefault="004A3C4D" w:rsidP="00DF3833">
      <w:pPr>
        <w:pStyle w:val="Style3"/>
      </w:pPr>
      <w:bookmarkStart w:id="132" w:name="_Toc507326071"/>
      <w:r w:rsidRPr="00725D15">
        <w:t>4.3.4 Outcomes</w:t>
      </w:r>
      <w:bookmarkEnd w:id="132"/>
    </w:p>
    <w:p w14:paraId="2418840F" w14:textId="23A37413" w:rsidR="00B2256A" w:rsidRDefault="00E962D1" w:rsidP="00E962D1">
      <w:pPr>
        <w:ind w:firstLine="720"/>
        <w:rPr>
          <w:rFonts w:cs="Arial"/>
          <w:szCs w:val="22"/>
        </w:rPr>
        <w:sectPr w:rsidR="00B2256A" w:rsidSect="00D967DE">
          <w:pgSz w:w="12240" w:h="15840" w:code="1"/>
          <w:pgMar w:top="1440" w:right="1440" w:bottom="1440" w:left="1440" w:header="720" w:footer="432" w:gutter="0"/>
          <w:cols w:space="720"/>
          <w:docGrid w:linePitch="360"/>
        </w:sectPr>
      </w:pPr>
      <w:r w:rsidRPr="00725D15">
        <w:rPr>
          <w:rFonts w:cs="Arial"/>
          <w:szCs w:val="22"/>
        </w:rPr>
        <w:t>The primary outcome was the presence of a new dispensing for at least one LBM during follow-up. For hospitalizations and ED transitions, follow-up began on the day of the hospital or ED discharge. For hospice discharges not immediately followed by an ED visit or hospitalization, follow-up began the day after discharge. For b</w:t>
      </w:r>
      <w:r w:rsidR="00B2256A">
        <w:rPr>
          <w:rFonts w:cs="Arial"/>
          <w:szCs w:val="22"/>
        </w:rPr>
        <w:t>oth transitioners and controls,</w:t>
      </w:r>
    </w:p>
    <w:p w14:paraId="6930E777" w14:textId="18629803" w:rsidR="00116443" w:rsidRDefault="00116443" w:rsidP="00BA39EE">
      <w:pPr>
        <w:tabs>
          <w:tab w:val="left" w:pos="11520"/>
          <w:tab w:val="left" w:pos="12870"/>
        </w:tabs>
        <w:ind w:firstLine="720"/>
        <w:rPr>
          <w:rFonts w:cs="Arial"/>
          <w:szCs w:val="22"/>
        </w:rPr>
      </w:pPr>
      <w:r>
        <w:rPr>
          <w:noProof/>
        </w:rPr>
        <w:lastRenderedPageBreak/>
        <w:drawing>
          <wp:inline distT="0" distB="0" distL="0" distR="0" wp14:anchorId="196E5A39" wp14:editId="2E853E9D">
            <wp:extent cx="5943600" cy="4305300"/>
            <wp:effectExtent l="0" t="0" r="0" b="0"/>
            <wp:docPr id="6" name="Picture 6" descr="C:\Users\Patrick\Box Sync\UIC\Dissertation Research\STUDY DATA AND RESULTS\Paper #3\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Box Sync\UIC\Dissertation Research\STUDY DATA AND RESULTS\Paper #3\Figure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5FD80B2A" w14:textId="61C31952" w:rsidR="00116443" w:rsidRPr="00AE2269" w:rsidRDefault="00116443" w:rsidP="00AE2269">
      <w:pPr>
        <w:pStyle w:val="Caption"/>
        <w:jc w:val="left"/>
        <w:rPr>
          <w:rFonts w:cs="Arial"/>
          <w:caps w:val="0"/>
          <w:szCs w:val="22"/>
        </w:rPr>
      </w:pPr>
      <w:bookmarkStart w:id="133" w:name="_Toc507332052"/>
      <w:r w:rsidRPr="00AE2269">
        <w:rPr>
          <w:rFonts w:cs="Arial"/>
          <w:b/>
          <w:caps w:val="0"/>
          <w:szCs w:val="22"/>
        </w:rPr>
        <w:t>FIGURE 5.</w:t>
      </w:r>
      <w:r w:rsidR="003E7184">
        <w:rPr>
          <w:caps w:val="0"/>
        </w:rPr>
        <w:t xml:space="preserve"> </w:t>
      </w:r>
      <w:r w:rsidR="00AE2269">
        <w:rPr>
          <w:caps w:val="0"/>
        </w:rPr>
        <w:t>Matching diagram for transitioners and non-transitioning c</w:t>
      </w:r>
      <w:r w:rsidR="00AE2269" w:rsidRPr="00AE2269">
        <w:rPr>
          <w:caps w:val="0"/>
        </w:rPr>
        <w:t>ontrols</w:t>
      </w:r>
      <w:r w:rsidRPr="00AE2269">
        <w:rPr>
          <w:caps w:val="0"/>
          <w:szCs w:val="22"/>
        </w:rPr>
        <w:t>. Time point t</w:t>
      </w:r>
      <w:r w:rsidRPr="00AE2269">
        <w:rPr>
          <w:caps w:val="0"/>
          <w:szCs w:val="22"/>
          <w:vertAlign w:val="subscript"/>
        </w:rPr>
        <w:t>1</w:t>
      </w:r>
      <w:r w:rsidRPr="00AE2269">
        <w:rPr>
          <w:caps w:val="0"/>
          <w:szCs w:val="22"/>
        </w:rPr>
        <w:t xml:space="preserve"> for each patient is the index date representing the start of follow-up for receipt of LBMs. For transitioners, t</w:t>
      </w:r>
      <w:r w:rsidRPr="00AE2269">
        <w:rPr>
          <w:caps w:val="0"/>
          <w:szCs w:val="22"/>
          <w:vertAlign w:val="subscript"/>
        </w:rPr>
        <w:t>1</w:t>
      </w:r>
      <w:r w:rsidRPr="00AE2269">
        <w:rPr>
          <w:caps w:val="0"/>
          <w:szCs w:val="22"/>
        </w:rPr>
        <w:t xml:space="preserve"> is the day of hospital or ED discharge or day after hospice discharge, depending on first transition type. For controls, this is a time point matched to the elapsed time (in days) between the transitioning patient’s hospice admission date and transition date. Both transitioner and control patients were followed for 7 days (Transitioner; Controls 1, 2 and 5 in diagram), until the patient’s death (Control 3), or until a non-index burdensome transition (Control 4), whichever came first.</w:t>
      </w:r>
      <w:bookmarkEnd w:id="133"/>
    </w:p>
    <w:p w14:paraId="17AA9C54" w14:textId="77777777" w:rsidR="00B2256A" w:rsidRDefault="00B2256A" w:rsidP="00E962D1">
      <w:pPr>
        <w:ind w:firstLine="720"/>
        <w:rPr>
          <w:rFonts w:cs="Arial"/>
          <w:szCs w:val="22"/>
        </w:rPr>
        <w:sectPr w:rsidR="00B2256A" w:rsidSect="00B2256A">
          <w:pgSz w:w="15840" w:h="12240" w:orient="landscape" w:code="1"/>
          <w:pgMar w:top="1440" w:right="1440" w:bottom="1440" w:left="1440" w:header="720" w:footer="432" w:gutter="0"/>
          <w:cols w:space="720"/>
          <w:docGrid w:linePitch="360"/>
        </w:sectPr>
      </w:pPr>
    </w:p>
    <w:p w14:paraId="05A9F86A" w14:textId="297ADB04" w:rsidR="00E962D1" w:rsidRPr="00725D15" w:rsidRDefault="00E962D1" w:rsidP="00B2256A">
      <w:pPr>
        <w:rPr>
          <w:rFonts w:cs="Arial"/>
          <w:szCs w:val="22"/>
        </w:rPr>
      </w:pPr>
      <w:r w:rsidRPr="00725D15">
        <w:rPr>
          <w:rFonts w:cs="Arial"/>
          <w:szCs w:val="22"/>
        </w:rPr>
        <w:lastRenderedPageBreak/>
        <w:t>follow-up continued for seven days, until a subsequent transition, or until the patient’s death, whichever came first (</w:t>
      </w:r>
      <w:r w:rsidR="00116443">
        <w:rPr>
          <w:rFonts w:cs="Arial"/>
          <w:b/>
          <w:szCs w:val="22"/>
        </w:rPr>
        <w:t>FIGURE 5</w:t>
      </w:r>
      <w:r w:rsidRPr="00725D15">
        <w:rPr>
          <w:rFonts w:cs="Arial"/>
          <w:szCs w:val="22"/>
        </w:rPr>
        <w:t>). LBM dispensing during follow-up was assessed for the overall cohort and restricted to patients with active use of the medication class of interest in the six months prior to hospice admission. Active use was defined as two or more Part D claims (on separate days) for a drug class (e.g., ACE inhibitors) within the therapeutic class of interest (e.g., antihypertensives) or one Part D claim with a days’ supply of at least 90 days.</w:t>
      </w:r>
    </w:p>
    <w:p w14:paraId="65A1E0DF" w14:textId="77777777" w:rsidR="004A3C4D" w:rsidRPr="00725D15" w:rsidRDefault="004A3C4D" w:rsidP="00DF3833">
      <w:pPr>
        <w:pStyle w:val="Style3"/>
      </w:pPr>
      <w:bookmarkStart w:id="134" w:name="_Toc507326072"/>
      <w:r w:rsidRPr="00725D15">
        <w:t>4.3.5 Statistical Analysis</w:t>
      </w:r>
      <w:bookmarkEnd w:id="134"/>
    </w:p>
    <w:p w14:paraId="41D3E1D4" w14:textId="2E7A9FD0" w:rsidR="00E962D1" w:rsidRPr="00725D15" w:rsidRDefault="00E962D1" w:rsidP="00E962D1">
      <w:pPr>
        <w:ind w:firstLine="720"/>
        <w:rPr>
          <w:rFonts w:cs="Arial"/>
          <w:szCs w:val="22"/>
        </w:rPr>
      </w:pPr>
      <w:r w:rsidRPr="00725D15">
        <w:rPr>
          <w:rFonts w:cs="Arial"/>
          <w:szCs w:val="22"/>
        </w:rPr>
        <w:t>Baseline characteristics were described using means, medians and proportions, and were compared using t-tests, Mann-Whitney U tests and chi-square tests, as appropriate. The frequency of receiving LBMs during follow-up was calculated using</w:t>
      </w:r>
      <w:r w:rsidR="005153F6">
        <w:rPr>
          <w:rFonts w:cs="Arial"/>
          <w:szCs w:val="22"/>
        </w:rPr>
        <w:t xml:space="preserve"> proportions with 95% binomial CIs</w:t>
      </w:r>
      <w:r w:rsidRPr="00725D15">
        <w:rPr>
          <w:rFonts w:cs="Arial"/>
          <w:szCs w:val="22"/>
        </w:rPr>
        <w:t>. Conditional Poisson regression was used to generate adjusted incidence rate ratios</w:t>
      </w:r>
      <w:r w:rsidR="005153F6">
        <w:rPr>
          <w:rFonts w:cs="Arial"/>
          <w:szCs w:val="22"/>
        </w:rPr>
        <w:t xml:space="preserve"> (IRRs)</w:t>
      </w:r>
      <w:r w:rsidRPr="00725D15">
        <w:rPr>
          <w:rFonts w:cs="Arial"/>
          <w:szCs w:val="22"/>
        </w:rPr>
        <w:t xml:space="preserve"> and 95% CIs for the association between transitions and receipt of LBMs.</w:t>
      </w:r>
      <w:r w:rsidRPr="00725D15">
        <w:rPr>
          <w:rFonts w:cs="Arial"/>
          <w:szCs w:val="22"/>
        </w:rPr>
        <w:fldChar w:fldCharType="begin"/>
      </w:r>
      <w:r w:rsidR="00EC3644">
        <w:rPr>
          <w:rFonts w:cs="Arial"/>
          <w:szCs w:val="22"/>
        </w:rPr>
        <w:instrText xml:space="preserve"> ADDIN ZOTERO_ITEM CSL_CITATION {"citationID":"a2ihpqgds02","properties":{"formattedCitation":"\\super 138,139\\nosupersub{}","plainCitation":"138,139","noteIndex":0},"citationItems":[{"id":4152,"uris":["http://zotero.org/users/2597747/items/6FYQJDYJ"],"uri":["http://zotero.org/users/2597747/items/6FYQJDYJ"],"itemData":{"id":4152,"type":"article-journal","title":"Analysis of Matched Cohort Data","container-title":"The Stata Journal","page":"274-281","volume":"4","issue":"3","author":[{"family":"Cummings","given":"Peter"},{"family":"McKnight","given":"Barbara"}],"issued":{"date-parts":[["2004"]]}}},{"id":4032,"uris":["http://zotero.org/users/2597747/items/S2ZHENFH"],"uri":["http://zotero.org/users/2597747/items/S2ZHENFH"],"itemData":{"id":4032,"type":"article-journal","title":"Matched Cohort Methods for Injury Research","container-title":"Epidemiologic Reviews","page":"43-50","volume":"25","issue":"1","source":"academic.oup.com","abstract":"This article reviews the design and analysis of matched cohort studies of injuries where exposed study subjects are matched to others not exposed. We focus on the situation in which data are available for the matched groups with at least one member who had the study outcome, but data are absent or incomplete for matched groups that have no members with the outcome. When matching is done in a case-control study, those with the outcome are matched to those without the outcome on certain confounder measures; this distorts the exposure status of the controls to be like that of the cases in regard to the matching variables (and perhaps other variables as well) (1). As a consequence, the selected controls may not represent the exposure experience of the entire population from which the cases were derived. Therefore, matching is a source of selection bias in a case-control study....","DOI":"10.1093/epirev/mxg002","ISSN":"0193-936X","journalAbbreviation":"Epidemiol Rev","author":[{"family":"Cummings","given":"Peter"},{"family":"McKnight","given":"Barbara"},{"family":"Greenland","given":"Sander"}],"issued":{"date-parts":[["2003",8,1]]}}}],"schema":"https://github.com/citation-style-language/schema/raw/master/csl-citation.json"}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138,139</w:t>
      </w:r>
      <w:r w:rsidRPr="00725D15">
        <w:rPr>
          <w:rFonts w:cs="Arial"/>
          <w:szCs w:val="22"/>
        </w:rPr>
        <w:fldChar w:fldCharType="end"/>
      </w:r>
      <w:r w:rsidRPr="00725D15">
        <w:rPr>
          <w:rFonts w:cs="Arial"/>
          <w:szCs w:val="22"/>
        </w:rPr>
        <w:t xml:space="preserve"> Separate models were developed for each transition type (any transition, hospitalizations, hospice discharges) and for each LBM class within each transition type. A manual backwards selection approach was used to select potential confounders using a change in estimates criterion of 10%. Race and primary hospice admission diagnosis were treated as </w:t>
      </w:r>
      <w:r w:rsidRPr="00725D15">
        <w:rPr>
          <w:rFonts w:cs="Arial"/>
          <w:i/>
          <w:szCs w:val="22"/>
        </w:rPr>
        <w:t>a priori</w:t>
      </w:r>
      <w:r w:rsidRPr="00725D15">
        <w:rPr>
          <w:rFonts w:cs="Arial"/>
          <w:szCs w:val="22"/>
        </w:rPr>
        <w:t xml:space="preserve"> confounders and forced into all models. Results for receipt of any LBM were further stratified by time from hospice admission to index date. All statistical tests were two-sided with </w:t>
      </w:r>
      <w:r w:rsidRPr="00725D15">
        <w:rPr>
          <w:rFonts w:cs="Arial"/>
          <w:i/>
          <w:szCs w:val="22"/>
        </w:rPr>
        <w:t>p-</w:t>
      </w:r>
      <w:r w:rsidRPr="00725D15">
        <w:rPr>
          <w:rFonts w:cs="Arial"/>
          <w:szCs w:val="22"/>
        </w:rPr>
        <w:t>values &lt;0.05 considered statistically significant. Analyses were conducted using SAS version 9.4 (SAS Institute Inc., Cary, NC) and STATA 14.0 (StataCorp, College Station, TX).</w:t>
      </w:r>
    </w:p>
    <w:p w14:paraId="0E3CABBF" w14:textId="77777777" w:rsidR="004A3C4D" w:rsidRPr="00725D15" w:rsidRDefault="004A3C4D" w:rsidP="00DF3833">
      <w:pPr>
        <w:pStyle w:val="Style3"/>
      </w:pPr>
      <w:bookmarkStart w:id="135" w:name="_Toc507326073"/>
      <w:r w:rsidRPr="00725D15">
        <w:t>4.3.6 Sensitivity Analysis</w:t>
      </w:r>
      <w:bookmarkEnd w:id="135"/>
    </w:p>
    <w:p w14:paraId="2F133A22" w14:textId="77777777" w:rsidR="00705989" w:rsidRDefault="00E962D1" w:rsidP="00520436">
      <w:pPr>
        <w:ind w:firstLine="720"/>
        <w:rPr>
          <w:rFonts w:cs="Arial"/>
          <w:szCs w:val="22"/>
        </w:rPr>
      </w:pPr>
      <w:r w:rsidRPr="00725D15">
        <w:rPr>
          <w:rFonts w:cs="Arial"/>
          <w:szCs w:val="22"/>
        </w:rPr>
        <w:t xml:space="preserve">Two sensitivity analyses were conducted to evaluate elements of our study design. First, we varied the follow-up window after the index date between 3 and 14 days. Second, we </w:t>
      </w:r>
    </w:p>
    <w:p w14:paraId="1859A2B5" w14:textId="77777777" w:rsidR="00705989" w:rsidRDefault="00705989" w:rsidP="00705989">
      <w:pPr>
        <w:rPr>
          <w:rFonts w:cs="Arial"/>
          <w:szCs w:val="22"/>
        </w:rPr>
      </w:pPr>
    </w:p>
    <w:p w14:paraId="7C4C6C41" w14:textId="0FA9E46D" w:rsidR="00E962D1" w:rsidRPr="00725D15" w:rsidRDefault="00E962D1" w:rsidP="00705989">
      <w:pPr>
        <w:rPr>
          <w:rFonts w:cs="Arial"/>
          <w:szCs w:val="22"/>
        </w:rPr>
      </w:pPr>
      <w:r w:rsidRPr="00725D15">
        <w:rPr>
          <w:rFonts w:cs="Arial"/>
          <w:szCs w:val="22"/>
        </w:rPr>
        <w:lastRenderedPageBreak/>
        <w:t xml:space="preserve">conducted analyses where 1) patients with hospice discharges lasting as many as 180 days were included and 2) only patients with discharges lasting 30 days or fewer were included. </w:t>
      </w:r>
    </w:p>
    <w:p w14:paraId="489584F8" w14:textId="77777777" w:rsidR="004A3C4D" w:rsidRPr="00725D15" w:rsidRDefault="004A3C4D" w:rsidP="004A3C4D">
      <w:pPr>
        <w:pStyle w:val="Style2"/>
      </w:pPr>
      <w:bookmarkStart w:id="136" w:name="_Toc507326074"/>
      <w:r w:rsidRPr="00725D15">
        <w:t>4.4 Results</w:t>
      </w:r>
      <w:bookmarkEnd w:id="136"/>
    </w:p>
    <w:p w14:paraId="072D3233" w14:textId="0910C6D3" w:rsidR="00E962D1" w:rsidRPr="00725D15" w:rsidRDefault="00E962D1" w:rsidP="00E962D1">
      <w:pPr>
        <w:ind w:firstLine="720"/>
        <w:rPr>
          <w:rFonts w:cs="Arial"/>
          <w:b/>
          <w:szCs w:val="22"/>
        </w:rPr>
      </w:pPr>
      <w:r w:rsidRPr="00725D15">
        <w:rPr>
          <w:rFonts w:cs="Arial"/>
          <w:szCs w:val="22"/>
        </w:rPr>
        <w:t>A total of 89,269 patients met the study inclusion criteria; 7064 patients with at least one valid transition were matched to 35,189 controls. The most common transition type was a standalone ED visit from hospice (43.7%). Other transition types included hospice discharges (21.6%), hospitalization from hospice (16.4%), and hospice discharges followed immediately by a hospitalization (15.8%) or standalone ED visit (2.6%).</w:t>
      </w:r>
      <w:r w:rsidRPr="00725D15">
        <w:rPr>
          <w:rFonts w:cs="Arial"/>
          <w:b/>
          <w:szCs w:val="22"/>
        </w:rPr>
        <w:t xml:space="preserve"> </w:t>
      </w:r>
      <w:r w:rsidRPr="00725D15">
        <w:rPr>
          <w:rFonts w:cs="Arial"/>
          <w:szCs w:val="22"/>
        </w:rPr>
        <w:t>Transitioners and matched controls were a mean age of 81.2 years and primarily female and white (</w:t>
      </w:r>
      <w:r w:rsidR="003E2940">
        <w:rPr>
          <w:rFonts w:cs="Arial"/>
          <w:b/>
          <w:szCs w:val="22"/>
        </w:rPr>
        <w:t>TABLE XV</w:t>
      </w:r>
      <w:r w:rsidRPr="00725D15">
        <w:rPr>
          <w:rFonts w:cs="Arial"/>
          <w:szCs w:val="22"/>
        </w:rPr>
        <w:t>). Compared to matched controls, transitioners had shorter hospice stays (median: 102 days vs 117 days, p&lt;0.001) and were more likely to have received hospice care in an inpatient setting prior to index (18.7% vs 9.0%, p&lt;0.001)</w:t>
      </w:r>
      <w:r w:rsidRPr="00725D15">
        <w:rPr>
          <w:rFonts w:cs="Arial"/>
          <w:b/>
          <w:szCs w:val="22"/>
        </w:rPr>
        <w:t xml:space="preserve">. </w:t>
      </w:r>
      <w:r w:rsidRPr="00725D15">
        <w:rPr>
          <w:rFonts w:cs="Arial"/>
          <w:szCs w:val="22"/>
        </w:rPr>
        <w:t>The median time from hospice admission to burdensome transition was 37 days (IQR: 14-93 days).</w:t>
      </w:r>
    </w:p>
    <w:p w14:paraId="633E0567" w14:textId="4F4F6F2D" w:rsidR="00772F0D" w:rsidRDefault="00E962D1" w:rsidP="00E962D1">
      <w:pPr>
        <w:ind w:firstLine="720"/>
        <w:rPr>
          <w:rFonts w:cs="Arial"/>
          <w:szCs w:val="22"/>
        </w:rPr>
        <w:sectPr w:rsidR="00772F0D" w:rsidSect="00B2256A">
          <w:pgSz w:w="12240" w:h="15840" w:code="1"/>
          <w:pgMar w:top="1440" w:right="1440" w:bottom="1440" w:left="1440" w:header="720" w:footer="432" w:gutter="0"/>
          <w:cols w:space="720"/>
          <w:docGrid w:linePitch="360"/>
        </w:sectPr>
      </w:pPr>
      <w:r w:rsidRPr="00725D15">
        <w:rPr>
          <w:rFonts w:cs="Arial"/>
          <w:szCs w:val="22"/>
        </w:rPr>
        <w:t>Transitioners had a higher prevalence of receiving any LBM during the follow-up period compared to matched controls (17.9% vs. 13.9%; p&lt;0.001) (</w:t>
      </w:r>
      <w:r w:rsidR="003E2940">
        <w:rPr>
          <w:rFonts w:cs="Arial"/>
          <w:b/>
          <w:szCs w:val="22"/>
        </w:rPr>
        <w:t>TABLE XV</w:t>
      </w:r>
      <w:r w:rsidR="00705989">
        <w:rPr>
          <w:rFonts w:cs="Arial"/>
          <w:b/>
          <w:szCs w:val="22"/>
        </w:rPr>
        <w:t>I</w:t>
      </w:r>
      <w:r w:rsidRPr="00725D15">
        <w:rPr>
          <w:rFonts w:cs="Arial"/>
          <w:szCs w:val="22"/>
        </w:rPr>
        <w:t>). Prevalence was significantly greater among transitioners for all medication classes assessed except anti-osteoporotic medications (0.5% vs. 0.4%; p=0.42). When restricting the cohorts to patients with recent pre-hospice admission use of the LBM class of interest, a greater proportion of transitioners compared to controls received a dispensing for an antihyperlipidemic (7.0% vs. 5.2%; p&lt;0.001), antihypertensive (11.2% vs. 9.6%; p&lt;0.001), proton pump inhibitor (10.8% vs. 8.5%; p&lt;0.001), and any LBM (19.2% vs. 15.6%; p&lt;0.001) during follow-up (</w:t>
      </w:r>
      <w:r w:rsidR="003E2940">
        <w:rPr>
          <w:rFonts w:cs="Arial"/>
          <w:b/>
          <w:szCs w:val="22"/>
        </w:rPr>
        <w:t>TABLE XV</w:t>
      </w:r>
      <w:r w:rsidR="00705989">
        <w:rPr>
          <w:rFonts w:cs="Arial"/>
          <w:b/>
          <w:szCs w:val="22"/>
        </w:rPr>
        <w:t>I</w:t>
      </w:r>
      <w:r w:rsidRPr="00725D15">
        <w:rPr>
          <w:rFonts w:cs="Arial"/>
          <w:szCs w:val="22"/>
        </w:rPr>
        <w:t>).</w:t>
      </w:r>
    </w:p>
    <w:p w14:paraId="6BEB8526" w14:textId="203D1AE8" w:rsidR="00E962D1" w:rsidRDefault="00E962D1" w:rsidP="00E962D1">
      <w:pPr>
        <w:ind w:firstLine="720"/>
        <w:rPr>
          <w:rFonts w:cs="Arial"/>
          <w:szCs w:val="22"/>
        </w:rPr>
      </w:pPr>
    </w:p>
    <w:p w14:paraId="657075EE" w14:textId="77777777" w:rsidR="00E308DA" w:rsidRDefault="00E308DA" w:rsidP="00E962D1">
      <w:pPr>
        <w:ind w:firstLine="720"/>
        <w:rPr>
          <w:rFonts w:cs="Arial"/>
          <w:szCs w:val="22"/>
        </w:rPr>
      </w:pPr>
    </w:p>
    <w:p w14:paraId="26C66398" w14:textId="77777777" w:rsidR="00E308DA" w:rsidRDefault="00E308DA" w:rsidP="00772F0D">
      <w:pPr>
        <w:rPr>
          <w:rFonts w:cs="Arial"/>
          <w:szCs w:val="22"/>
        </w:rPr>
      </w:pPr>
    </w:p>
    <w:p w14:paraId="23E783AE" w14:textId="14A906E6" w:rsidR="00E308DA" w:rsidRDefault="003E2940" w:rsidP="00D942F8">
      <w:pPr>
        <w:spacing w:after="0" w:line="240" w:lineRule="auto"/>
        <w:ind w:left="630" w:right="630"/>
        <w:jc w:val="center"/>
        <w:rPr>
          <w:rFonts w:cs="Arial"/>
          <w:b/>
          <w:szCs w:val="22"/>
        </w:rPr>
      </w:pPr>
      <w:r>
        <w:rPr>
          <w:rFonts w:cs="Arial"/>
          <w:b/>
          <w:szCs w:val="22"/>
        </w:rPr>
        <w:lastRenderedPageBreak/>
        <w:t>TABLE XV</w:t>
      </w:r>
    </w:p>
    <w:p w14:paraId="164F37A2" w14:textId="77777777" w:rsidR="00E308DA" w:rsidRPr="00CF4179" w:rsidRDefault="00E308DA" w:rsidP="00D942F8">
      <w:pPr>
        <w:spacing w:after="0" w:line="240" w:lineRule="auto"/>
        <w:ind w:left="630" w:right="630"/>
        <w:jc w:val="center"/>
        <w:rPr>
          <w:rFonts w:cs="Arial"/>
          <w:b/>
          <w:szCs w:val="22"/>
        </w:rPr>
      </w:pPr>
    </w:p>
    <w:p w14:paraId="03B36C4D" w14:textId="0C3FFC08" w:rsidR="00E308DA" w:rsidRPr="00CF4179" w:rsidRDefault="00086B0C" w:rsidP="00086B0C">
      <w:pPr>
        <w:pStyle w:val="Caption"/>
        <w:ind w:left="630" w:right="540" w:hanging="180"/>
        <w:rPr>
          <w:rFonts w:cs="Arial"/>
          <w:caps w:val="0"/>
          <w:szCs w:val="22"/>
        </w:rPr>
      </w:pPr>
      <w:bookmarkStart w:id="137" w:name="_Toc507329284"/>
      <w:r w:rsidRPr="00EE41CA">
        <w:rPr>
          <w:noProof/>
        </w:rPr>
        <w:t>BASELINE CHARACTERISTICS OF HOSPICE PATIENTS EXPERIENCING ONE OR MORE HEALTHCARE TRANSITION AFTER HOSPICE ADMISSION AND MATCHED CONTROLS</w:t>
      </w:r>
      <w:bookmarkEnd w:id="137"/>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865"/>
        <w:gridCol w:w="1483"/>
        <w:gridCol w:w="1707"/>
        <w:gridCol w:w="1083"/>
      </w:tblGrid>
      <w:tr w:rsidR="00E308DA" w14:paraId="6727B042" w14:textId="77777777" w:rsidTr="0070364F">
        <w:tc>
          <w:tcPr>
            <w:tcW w:w="3865" w:type="dxa"/>
            <w:tcBorders>
              <w:top w:val="single" w:sz="4" w:space="0" w:color="auto"/>
              <w:left w:val="nil"/>
              <w:bottom w:val="single" w:sz="4" w:space="0" w:color="auto"/>
              <w:right w:val="nil"/>
            </w:tcBorders>
            <w:vAlign w:val="bottom"/>
          </w:tcPr>
          <w:p w14:paraId="3E46142D" w14:textId="77777777" w:rsidR="00E308DA" w:rsidRPr="00FE531B" w:rsidRDefault="00E308DA" w:rsidP="00FE531B">
            <w:pPr>
              <w:spacing w:after="0" w:line="240" w:lineRule="auto"/>
              <w:rPr>
                <w:rFonts w:cs="Arial"/>
                <w:b/>
                <w:sz w:val="20"/>
              </w:rPr>
            </w:pPr>
            <w:r w:rsidRPr="00FE531B">
              <w:rPr>
                <w:rFonts w:cs="Arial"/>
                <w:b/>
                <w:sz w:val="20"/>
              </w:rPr>
              <w:t>Characteristic</w:t>
            </w:r>
          </w:p>
        </w:tc>
        <w:tc>
          <w:tcPr>
            <w:tcW w:w="1483" w:type="dxa"/>
            <w:tcBorders>
              <w:top w:val="single" w:sz="4" w:space="0" w:color="auto"/>
              <w:left w:val="nil"/>
              <w:bottom w:val="single" w:sz="4" w:space="0" w:color="auto"/>
              <w:right w:val="nil"/>
            </w:tcBorders>
            <w:vAlign w:val="bottom"/>
          </w:tcPr>
          <w:p w14:paraId="119A185E" w14:textId="77777777" w:rsidR="00E308DA" w:rsidRDefault="00E308DA" w:rsidP="00E308DA">
            <w:pPr>
              <w:spacing w:after="0" w:line="240" w:lineRule="auto"/>
              <w:jc w:val="center"/>
              <w:rPr>
                <w:rFonts w:cs="Arial"/>
                <w:b/>
                <w:sz w:val="20"/>
              </w:rPr>
            </w:pPr>
            <w:r w:rsidRPr="00FE531B">
              <w:rPr>
                <w:rFonts w:cs="Arial"/>
                <w:b/>
                <w:sz w:val="20"/>
              </w:rPr>
              <w:t>Transitioners</w:t>
            </w:r>
          </w:p>
          <w:p w14:paraId="2180E4F5" w14:textId="5FA57842" w:rsidR="0070364F" w:rsidRPr="00FE531B" w:rsidRDefault="0070364F" w:rsidP="00E308DA">
            <w:pPr>
              <w:spacing w:after="0" w:line="240" w:lineRule="auto"/>
              <w:jc w:val="center"/>
              <w:rPr>
                <w:rFonts w:cs="Arial"/>
                <w:b/>
                <w:sz w:val="20"/>
              </w:rPr>
            </w:pPr>
            <w:r w:rsidRPr="00FE531B">
              <w:rPr>
                <w:rFonts w:cs="Arial"/>
                <w:b/>
                <w:sz w:val="20"/>
              </w:rPr>
              <w:t>No. (%)</w:t>
            </w:r>
          </w:p>
        </w:tc>
        <w:tc>
          <w:tcPr>
            <w:tcW w:w="1707" w:type="dxa"/>
            <w:tcBorders>
              <w:top w:val="single" w:sz="4" w:space="0" w:color="auto"/>
              <w:left w:val="nil"/>
              <w:bottom w:val="single" w:sz="4" w:space="0" w:color="auto"/>
              <w:right w:val="nil"/>
            </w:tcBorders>
            <w:vAlign w:val="bottom"/>
          </w:tcPr>
          <w:p w14:paraId="6A0358F6" w14:textId="77777777" w:rsidR="00E308DA" w:rsidRDefault="00E308DA" w:rsidP="00E308DA">
            <w:pPr>
              <w:spacing w:after="0" w:line="240" w:lineRule="auto"/>
              <w:jc w:val="center"/>
              <w:rPr>
                <w:rFonts w:cs="Arial"/>
                <w:b/>
                <w:sz w:val="20"/>
              </w:rPr>
            </w:pPr>
            <w:r w:rsidRPr="00FE531B">
              <w:rPr>
                <w:rFonts w:cs="Arial"/>
                <w:b/>
                <w:sz w:val="20"/>
              </w:rPr>
              <w:t>Controls</w:t>
            </w:r>
          </w:p>
          <w:p w14:paraId="68DC3FFA" w14:textId="1D78BF2B" w:rsidR="0070364F" w:rsidRPr="00FE531B" w:rsidRDefault="0070364F" w:rsidP="00E308DA">
            <w:pPr>
              <w:spacing w:after="0" w:line="240" w:lineRule="auto"/>
              <w:jc w:val="center"/>
              <w:rPr>
                <w:rFonts w:cs="Arial"/>
                <w:b/>
                <w:sz w:val="20"/>
              </w:rPr>
            </w:pPr>
            <w:r w:rsidRPr="00FE531B">
              <w:rPr>
                <w:rFonts w:cs="Arial"/>
                <w:b/>
                <w:sz w:val="20"/>
              </w:rPr>
              <w:t>No. (%)</w:t>
            </w:r>
          </w:p>
        </w:tc>
        <w:tc>
          <w:tcPr>
            <w:tcW w:w="1083" w:type="dxa"/>
            <w:tcBorders>
              <w:top w:val="single" w:sz="4" w:space="0" w:color="auto"/>
              <w:left w:val="nil"/>
              <w:bottom w:val="single" w:sz="4" w:space="0" w:color="auto"/>
              <w:right w:val="nil"/>
            </w:tcBorders>
            <w:vAlign w:val="bottom"/>
          </w:tcPr>
          <w:p w14:paraId="648F43C4" w14:textId="77777777" w:rsidR="00E308DA" w:rsidRPr="00FE531B" w:rsidRDefault="00E308DA" w:rsidP="00E308DA">
            <w:pPr>
              <w:spacing w:after="0" w:line="240" w:lineRule="auto"/>
              <w:jc w:val="center"/>
              <w:rPr>
                <w:rFonts w:cs="Arial"/>
                <w:b/>
                <w:sz w:val="20"/>
              </w:rPr>
            </w:pPr>
            <w:r w:rsidRPr="00FE531B">
              <w:rPr>
                <w:rFonts w:cs="Arial"/>
                <w:b/>
                <w:sz w:val="20"/>
              </w:rPr>
              <w:t>p-value</w:t>
            </w:r>
          </w:p>
        </w:tc>
      </w:tr>
      <w:tr w:rsidR="00E308DA" w14:paraId="274C0EB9" w14:textId="77777777" w:rsidTr="0070364F">
        <w:tc>
          <w:tcPr>
            <w:tcW w:w="3865" w:type="dxa"/>
            <w:tcBorders>
              <w:top w:val="single" w:sz="4" w:space="0" w:color="auto"/>
              <w:left w:val="nil"/>
              <w:bottom w:val="nil"/>
              <w:right w:val="nil"/>
            </w:tcBorders>
            <w:vAlign w:val="bottom"/>
          </w:tcPr>
          <w:p w14:paraId="78A1D00E" w14:textId="77777777" w:rsidR="00E308DA" w:rsidRDefault="00E308DA" w:rsidP="00E308DA">
            <w:pPr>
              <w:spacing w:after="0" w:line="240" w:lineRule="auto"/>
              <w:rPr>
                <w:rFonts w:cs="Arial"/>
                <w:sz w:val="20"/>
              </w:rPr>
            </w:pPr>
            <w:r>
              <w:rPr>
                <w:rFonts w:cs="Arial"/>
                <w:sz w:val="20"/>
              </w:rPr>
              <w:t>No. of patients</w:t>
            </w:r>
          </w:p>
        </w:tc>
        <w:tc>
          <w:tcPr>
            <w:tcW w:w="1483" w:type="dxa"/>
            <w:tcBorders>
              <w:top w:val="single" w:sz="4" w:space="0" w:color="auto"/>
              <w:left w:val="nil"/>
              <w:bottom w:val="nil"/>
              <w:right w:val="nil"/>
            </w:tcBorders>
            <w:vAlign w:val="bottom"/>
          </w:tcPr>
          <w:p w14:paraId="72B7A17E" w14:textId="77777777" w:rsidR="00E308DA" w:rsidRDefault="00E308DA" w:rsidP="00E308DA">
            <w:pPr>
              <w:spacing w:after="0" w:line="240" w:lineRule="auto"/>
              <w:jc w:val="center"/>
              <w:rPr>
                <w:rFonts w:cs="Arial"/>
                <w:sz w:val="20"/>
              </w:rPr>
            </w:pPr>
            <w:r>
              <w:rPr>
                <w:rFonts w:cs="Arial"/>
                <w:sz w:val="20"/>
              </w:rPr>
              <w:t>7064</w:t>
            </w:r>
          </w:p>
        </w:tc>
        <w:tc>
          <w:tcPr>
            <w:tcW w:w="1707" w:type="dxa"/>
            <w:tcBorders>
              <w:top w:val="single" w:sz="4" w:space="0" w:color="auto"/>
              <w:left w:val="nil"/>
              <w:bottom w:val="nil"/>
              <w:right w:val="nil"/>
            </w:tcBorders>
            <w:vAlign w:val="bottom"/>
          </w:tcPr>
          <w:p w14:paraId="09BB5B15" w14:textId="77777777" w:rsidR="00E308DA" w:rsidRDefault="00E308DA" w:rsidP="00E308DA">
            <w:pPr>
              <w:spacing w:after="0" w:line="240" w:lineRule="auto"/>
              <w:jc w:val="center"/>
              <w:rPr>
                <w:rFonts w:cs="Arial"/>
                <w:sz w:val="20"/>
              </w:rPr>
            </w:pPr>
            <w:r>
              <w:rPr>
                <w:rFonts w:cs="Arial"/>
                <w:sz w:val="20"/>
              </w:rPr>
              <w:t>35189</w:t>
            </w:r>
          </w:p>
        </w:tc>
        <w:tc>
          <w:tcPr>
            <w:tcW w:w="1083" w:type="dxa"/>
            <w:tcBorders>
              <w:top w:val="single" w:sz="4" w:space="0" w:color="auto"/>
              <w:left w:val="nil"/>
              <w:bottom w:val="nil"/>
              <w:right w:val="nil"/>
            </w:tcBorders>
            <w:vAlign w:val="bottom"/>
          </w:tcPr>
          <w:p w14:paraId="73A1F54A" w14:textId="77777777" w:rsidR="00E308DA" w:rsidRDefault="00E308DA" w:rsidP="00E308DA">
            <w:pPr>
              <w:spacing w:after="0" w:line="240" w:lineRule="auto"/>
              <w:jc w:val="center"/>
              <w:rPr>
                <w:rFonts w:cs="Arial"/>
                <w:sz w:val="20"/>
              </w:rPr>
            </w:pPr>
          </w:p>
        </w:tc>
      </w:tr>
      <w:tr w:rsidR="00E308DA" w14:paraId="48C84CAD" w14:textId="77777777" w:rsidTr="0070364F">
        <w:tc>
          <w:tcPr>
            <w:tcW w:w="3865" w:type="dxa"/>
            <w:tcBorders>
              <w:top w:val="nil"/>
              <w:left w:val="nil"/>
              <w:bottom w:val="nil"/>
              <w:right w:val="nil"/>
            </w:tcBorders>
            <w:vAlign w:val="bottom"/>
          </w:tcPr>
          <w:p w14:paraId="2BDD85FB" w14:textId="7B412193" w:rsidR="00E308DA" w:rsidRDefault="00E308DA" w:rsidP="00E308DA">
            <w:pPr>
              <w:spacing w:after="0" w:line="240" w:lineRule="auto"/>
              <w:rPr>
                <w:rFonts w:cs="Arial"/>
                <w:sz w:val="20"/>
              </w:rPr>
            </w:pPr>
            <w:r>
              <w:rPr>
                <w:rFonts w:cs="Arial"/>
                <w:sz w:val="20"/>
              </w:rPr>
              <w:t>Age (years)</w:t>
            </w:r>
            <w:r w:rsidR="00FE531B">
              <w:rPr>
                <w:rFonts w:cs="Arial"/>
                <w:sz w:val="20"/>
                <w:vertAlign w:val="superscript"/>
              </w:rPr>
              <w:t>a</w:t>
            </w:r>
          </w:p>
        </w:tc>
        <w:tc>
          <w:tcPr>
            <w:tcW w:w="1483" w:type="dxa"/>
            <w:tcBorders>
              <w:top w:val="nil"/>
              <w:left w:val="nil"/>
              <w:bottom w:val="nil"/>
              <w:right w:val="nil"/>
            </w:tcBorders>
            <w:vAlign w:val="bottom"/>
          </w:tcPr>
          <w:p w14:paraId="6C69BF8E" w14:textId="77777777" w:rsidR="00E308DA" w:rsidRDefault="00E308DA" w:rsidP="00E308DA">
            <w:pPr>
              <w:spacing w:after="0" w:line="240" w:lineRule="auto"/>
              <w:rPr>
                <w:rFonts w:cs="Arial"/>
                <w:sz w:val="20"/>
              </w:rPr>
            </w:pPr>
          </w:p>
        </w:tc>
        <w:tc>
          <w:tcPr>
            <w:tcW w:w="1707" w:type="dxa"/>
            <w:tcBorders>
              <w:top w:val="nil"/>
              <w:left w:val="nil"/>
              <w:bottom w:val="nil"/>
              <w:right w:val="nil"/>
            </w:tcBorders>
            <w:vAlign w:val="bottom"/>
          </w:tcPr>
          <w:p w14:paraId="2FE68E77" w14:textId="77777777" w:rsidR="00E308DA" w:rsidRDefault="00E308DA" w:rsidP="00E308DA">
            <w:pPr>
              <w:spacing w:after="0" w:line="240" w:lineRule="auto"/>
              <w:jc w:val="center"/>
              <w:rPr>
                <w:sz w:val="20"/>
              </w:rPr>
            </w:pPr>
          </w:p>
        </w:tc>
        <w:tc>
          <w:tcPr>
            <w:tcW w:w="1083" w:type="dxa"/>
            <w:tcBorders>
              <w:top w:val="nil"/>
              <w:left w:val="nil"/>
              <w:bottom w:val="nil"/>
              <w:right w:val="nil"/>
            </w:tcBorders>
            <w:vAlign w:val="bottom"/>
          </w:tcPr>
          <w:p w14:paraId="3AF44A04" w14:textId="77777777" w:rsidR="00E308DA" w:rsidRDefault="00E308DA" w:rsidP="00E308DA">
            <w:pPr>
              <w:spacing w:after="0" w:line="240" w:lineRule="auto"/>
              <w:jc w:val="center"/>
              <w:rPr>
                <w:sz w:val="20"/>
              </w:rPr>
            </w:pPr>
          </w:p>
        </w:tc>
      </w:tr>
      <w:tr w:rsidR="00E308DA" w14:paraId="5B82D111" w14:textId="77777777" w:rsidTr="0070364F">
        <w:tc>
          <w:tcPr>
            <w:tcW w:w="3865" w:type="dxa"/>
            <w:tcBorders>
              <w:top w:val="nil"/>
              <w:left w:val="nil"/>
              <w:bottom w:val="nil"/>
              <w:right w:val="nil"/>
            </w:tcBorders>
            <w:vAlign w:val="bottom"/>
          </w:tcPr>
          <w:p w14:paraId="47325ECA" w14:textId="77777777" w:rsidR="00E308DA" w:rsidRDefault="00E308DA" w:rsidP="00E308DA">
            <w:pPr>
              <w:spacing w:after="0" w:line="240" w:lineRule="auto"/>
              <w:ind w:firstLineChars="100" w:firstLine="200"/>
              <w:rPr>
                <w:rFonts w:cs="Arial"/>
                <w:sz w:val="20"/>
              </w:rPr>
            </w:pPr>
            <w:r>
              <w:rPr>
                <w:rFonts w:cs="Arial"/>
                <w:sz w:val="20"/>
              </w:rPr>
              <w:t>Mean (SD)</w:t>
            </w:r>
          </w:p>
        </w:tc>
        <w:tc>
          <w:tcPr>
            <w:tcW w:w="1483" w:type="dxa"/>
            <w:tcBorders>
              <w:top w:val="nil"/>
              <w:left w:val="nil"/>
              <w:bottom w:val="nil"/>
              <w:right w:val="nil"/>
            </w:tcBorders>
            <w:vAlign w:val="bottom"/>
          </w:tcPr>
          <w:p w14:paraId="726B5255" w14:textId="77777777" w:rsidR="00E308DA" w:rsidRDefault="00E308DA" w:rsidP="00E308DA">
            <w:pPr>
              <w:spacing w:after="0" w:line="240" w:lineRule="auto"/>
              <w:jc w:val="center"/>
              <w:rPr>
                <w:rFonts w:cs="Arial"/>
                <w:sz w:val="20"/>
              </w:rPr>
            </w:pPr>
            <w:r>
              <w:rPr>
                <w:rFonts w:cs="Arial"/>
                <w:sz w:val="20"/>
              </w:rPr>
              <w:t>81.2 (8.4)</w:t>
            </w:r>
          </w:p>
        </w:tc>
        <w:tc>
          <w:tcPr>
            <w:tcW w:w="1707" w:type="dxa"/>
            <w:tcBorders>
              <w:top w:val="nil"/>
              <w:left w:val="nil"/>
              <w:bottom w:val="nil"/>
              <w:right w:val="nil"/>
            </w:tcBorders>
            <w:vAlign w:val="bottom"/>
          </w:tcPr>
          <w:p w14:paraId="1A4276C0" w14:textId="77777777" w:rsidR="00E308DA" w:rsidRDefault="00E308DA" w:rsidP="00E308DA">
            <w:pPr>
              <w:spacing w:after="0" w:line="240" w:lineRule="auto"/>
              <w:jc w:val="center"/>
              <w:rPr>
                <w:rFonts w:cs="Arial"/>
                <w:sz w:val="20"/>
              </w:rPr>
            </w:pPr>
            <w:r>
              <w:rPr>
                <w:rFonts w:cs="Arial"/>
                <w:sz w:val="20"/>
              </w:rPr>
              <w:t>81.2 (8.4)</w:t>
            </w:r>
          </w:p>
        </w:tc>
        <w:tc>
          <w:tcPr>
            <w:tcW w:w="1083" w:type="dxa"/>
            <w:tcBorders>
              <w:top w:val="nil"/>
              <w:left w:val="nil"/>
              <w:bottom w:val="nil"/>
              <w:right w:val="nil"/>
            </w:tcBorders>
            <w:vAlign w:val="bottom"/>
          </w:tcPr>
          <w:p w14:paraId="02D25E93" w14:textId="77777777" w:rsidR="00E308DA" w:rsidRDefault="00E308DA" w:rsidP="00E308DA">
            <w:pPr>
              <w:spacing w:after="0" w:line="240" w:lineRule="auto"/>
              <w:jc w:val="center"/>
              <w:rPr>
                <w:rFonts w:cs="Arial"/>
                <w:sz w:val="20"/>
              </w:rPr>
            </w:pPr>
            <w:r>
              <w:rPr>
                <w:rFonts w:cs="Arial"/>
                <w:sz w:val="20"/>
              </w:rPr>
              <w:t>0.70</w:t>
            </w:r>
          </w:p>
        </w:tc>
      </w:tr>
      <w:tr w:rsidR="00E308DA" w14:paraId="74D46A4B" w14:textId="77777777" w:rsidTr="0070364F">
        <w:tc>
          <w:tcPr>
            <w:tcW w:w="3865" w:type="dxa"/>
            <w:tcBorders>
              <w:top w:val="nil"/>
              <w:left w:val="nil"/>
              <w:bottom w:val="nil"/>
              <w:right w:val="nil"/>
            </w:tcBorders>
            <w:vAlign w:val="center"/>
          </w:tcPr>
          <w:p w14:paraId="449B64B3" w14:textId="77777777" w:rsidR="00E308DA" w:rsidRDefault="00E308DA" w:rsidP="00E308DA">
            <w:pPr>
              <w:spacing w:after="0" w:line="240" w:lineRule="auto"/>
              <w:ind w:firstLineChars="100" w:firstLine="200"/>
              <w:rPr>
                <w:rFonts w:cs="Arial"/>
                <w:sz w:val="20"/>
              </w:rPr>
            </w:pPr>
            <w:r>
              <w:rPr>
                <w:rFonts w:cs="Arial"/>
                <w:sz w:val="20"/>
              </w:rPr>
              <w:t>66-69 years</w:t>
            </w:r>
          </w:p>
        </w:tc>
        <w:tc>
          <w:tcPr>
            <w:tcW w:w="1483" w:type="dxa"/>
            <w:tcBorders>
              <w:top w:val="nil"/>
              <w:left w:val="nil"/>
              <w:bottom w:val="nil"/>
              <w:right w:val="nil"/>
            </w:tcBorders>
            <w:vAlign w:val="bottom"/>
          </w:tcPr>
          <w:p w14:paraId="18730A9C" w14:textId="77777777" w:rsidR="00E308DA" w:rsidRDefault="00E308DA" w:rsidP="00E308DA">
            <w:pPr>
              <w:spacing w:after="0" w:line="240" w:lineRule="auto"/>
              <w:jc w:val="center"/>
              <w:rPr>
                <w:rFonts w:cs="Arial"/>
                <w:sz w:val="20"/>
              </w:rPr>
            </w:pPr>
            <w:r>
              <w:rPr>
                <w:rFonts w:cs="Arial"/>
                <w:sz w:val="20"/>
              </w:rPr>
              <w:t>693 (9.8%)</w:t>
            </w:r>
          </w:p>
        </w:tc>
        <w:tc>
          <w:tcPr>
            <w:tcW w:w="1707" w:type="dxa"/>
            <w:tcBorders>
              <w:top w:val="nil"/>
              <w:left w:val="nil"/>
              <w:bottom w:val="nil"/>
              <w:right w:val="nil"/>
            </w:tcBorders>
            <w:vAlign w:val="bottom"/>
          </w:tcPr>
          <w:p w14:paraId="106AC583" w14:textId="77777777" w:rsidR="00E308DA" w:rsidRDefault="00E308DA" w:rsidP="00E308DA">
            <w:pPr>
              <w:spacing w:after="0" w:line="240" w:lineRule="auto"/>
              <w:jc w:val="center"/>
              <w:rPr>
                <w:rFonts w:cs="Arial"/>
                <w:sz w:val="20"/>
              </w:rPr>
            </w:pPr>
            <w:r>
              <w:rPr>
                <w:rFonts w:cs="Arial"/>
                <w:sz w:val="20"/>
              </w:rPr>
              <w:t>3441 (9.8%)</w:t>
            </w:r>
          </w:p>
        </w:tc>
        <w:tc>
          <w:tcPr>
            <w:tcW w:w="1083" w:type="dxa"/>
            <w:vMerge w:val="restart"/>
            <w:tcBorders>
              <w:top w:val="nil"/>
              <w:left w:val="nil"/>
              <w:bottom w:val="nil"/>
              <w:right w:val="nil"/>
            </w:tcBorders>
            <w:vAlign w:val="center"/>
          </w:tcPr>
          <w:p w14:paraId="6B27E6F6" w14:textId="77777777" w:rsidR="00E308DA" w:rsidRDefault="00E308DA" w:rsidP="00E308DA">
            <w:pPr>
              <w:spacing w:after="0" w:line="240" w:lineRule="auto"/>
              <w:jc w:val="center"/>
              <w:rPr>
                <w:rFonts w:cs="Arial"/>
                <w:sz w:val="20"/>
              </w:rPr>
            </w:pPr>
            <w:r>
              <w:rPr>
                <w:rFonts w:cs="Arial"/>
                <w:sz w:val="20"/>
              </w:rPr>
              <w:t>1.00</w:t>
            </w:r>
          </w:p>
        </w:tc>
      </w:tr>
      <w:tr w:rsidR="00E308DA" w14:paraId="760250B2" w14:textId="77777777" w:rsidTr="0070364F">
        <w:tc>
          <w:tcPr>
            <w:tcW w:w="3865" w:type="dxa"/>
            <w:tcBorders>
              <w:top w:val="nil"/>
              <w:left w:val="nil"/>
              <w:bottom w:val="nil"/>
              <w:right w:val="nil"/>
            </w:tcBorders>
            <w:vAlign w:val="center"/>
          </w:tcPr>
          <w:p w14:paraId="13FEB410" w14:textId="77777777" w:rsidR="00E308DA" w:rsidRDefault="00E308DA" w:rsidP="00E308DA">
            <w:pPr>
              <w:spacing w:after="0" w:line="240" w:lineRule="auto"/>
              <w:ind w:firstLineChars="100" w:firstLine="200"/>
              <w:rPr>
                <w:rFonts w:cs="Arial"/>
                <w:sz w:val="20"/>
              </w:rPr>
            </w:pPr>
            <w:r>
              <w:rPr>
                <w:rFonts w:cs="Arial"/>
                <w:sz w:val="20"/>
              </w:rPr>
              <w:t>70-74 years</w:t>
            </w:r>
          </w:p>
        </w:tc>
        <w:tc>
          <w:tcPr>
            <w:tcW w:w="1483" w:type="dxa"/>
            <w:tcBorders>
              <w:top w:val="nil"/>
              <w:left w:val="nil"/>
              <w:bottom w:val="nil"/>
              <w:right w:val="nil"/>
            </w:tcBorders>
            <w:vAlign w:val="bottom"/>
          </w:tcPr>
          <w:p w14:paraId="2D4E842F" w14:textId="77777777" w:rsidR="00E308DA" w:rsidRDefault="00E308DA" w:rsidP="00E308DA">
            <w:pPr>
              <w:spacing w:after="0" w:line="240" w:lineRule="auto"/>
              <w:jc w:val="center"/>
              <w:rPr>
                <w:rFonts w:cs="Arial"/>
                <w:sz w:val="20"/>
              </w:rPr>
            </w:pPr>
            <w:r>
              <w:rPr>
                <w:rFonts w:cs="Arial"/>
                <w:sz w:val="20"/>
              </w:rPr>
              <w:t>1093 (15.5%)</w:t>
            </w:r>
          </w:p>
        </w:tc>
        <w:tc>
          <w:tcPr>
            <w:tcW w:w="1707" w:type="dxa"/>
            <w:tcBorders>
              <w:top w:val="nil"/>
              <w:left w:val="nil"/>
              <w:bottom w:val="nil"/>
              <w:right w:val="nil"/>
            </w:tcBorders>
            <w:vAlign w:val="bottom"/>
          </w:tcPr>
          <w:p w14:paraId="3831C5A8" w14:textId="77777777" w:rsidR="00E308DA" w:rsidRDefault="00E308DA" w:rsidP="00E308DA">
            <w:pPr>
              <w:spacing w:after="0" w:line="240" w:lineRule="auto"/>
              <w:jc w:val="center"/>
              <w:rPr>
                <w:rFonts w:cs="Arial"/>
                <w:sz w:val="20"/>
              </w:rPr>
            </w:pPr>
            <w:r>
              <w:rPr>
                <w:rFonts w:cs="Arial"/>
                <w:sz w:val="20"/>
              </w:rPr>
              <w:t>5441 (15.5%)</w:t>
            </w:r>
          </w:p>
        </w:tc>
        <w:tc>
          <w:tcPr>
            <w:tcW w:w="1083" w:type="dxa"/>
            <w:vMerge/>
            <w:tcBorders>
              <w:top w:val="nil"/>
              <w:left w:val="nil"/>
              <w:bottom w:val="nil"/>
              <w:right w:val="nil"/>
            </w:tcBorders>
            <w:vAlign w:val="center"/>
          </w:tcPr>
          <w:p w14:paraId="68789BEA" w14:textId="77777777" w:rsidR="00E308DA" w:rsidRDefault="00E308DA" w:rsidP="00E308DA">
            <w:pPr>
              <w:spacing w:after="0" w:line="240" w:lineRule="auto"/>
              <w:rPr>
                <w:rFonts w:cs="Arial"/>
                <w:sz w:val="20"/>
              </w:rPr>
            </w:pPr>
          </w:p>
        </w:tc>
      </w:tr>
      <w:tr w:rsidR="00E308DA" w14:paraId="6F86E590" w14:textId="77777777" w:rsidTr="0070364F">
        <w:tc>
          <w:tcPr>
            <w:tcW w:w="3865" w:type="dxa"/>
            <w:tcBorders>
              <w:top w:val="nil"/>
              <w:left w:val="nil"/>
              <w:bottom w:val="nil"/>
              <w:right w:val="nil"/>
            </w:tcBorders>
            <w:vAlign w:val="center"/>
          </w:tcPr>
          <w:p w14:paraId="51DEC40F" w14:textId="77777777" w:rsidR="00E308DA" w:rsidRDefault="00E308DA" w:rsidP="00E308DA">
            <w:pPr>
              <w:spacing w:after="0" w:line="240" w:lineRule="auto"/>
              <w:ind w:firstLineChars="100" w:firstLine="200"/>
              <w:rPr>
                <w:rFonts w:cs="Arial"/>
                <w:sz w:val="20"/>
              </w:rPr>
            </w:pPr>
            <w:r>
              <w:rPr>
                <w:rFonts w:cs="Arial"/>
                <w:sz w:val="20"/>
              </w:rPr>
              <w:t>75-79 years</w:t>
            </w:r>
          </w:p>
        </w:tc>
        <w:tc>
          <w:tcPr>
            <w:tcW w:w="1483" w:type="dxa"/>
            <w:tcBorders>
              <w:top w:val="nil"/>
              <w:left w:val="nil"/>
              <w:bottom w:val="nil"/>
              <w:right w:val="nil"/>
            </w:tcBorders>
            <w:vAlign w:val="bottom"/>
          </w:tcPr>
          <w:p w14:paraId="6A1455FA" w14:textId="77777777" w:rsidR="00E308DA" w:rsidRDefault="00E308DA" w:rsidP="00E308DA">
            <w:pPr>
              <w:spacing w:after="0" w:line="240" w:lineRule="auto"/>
              <w:jc w:val="center"/>
              <w:rPr>
                <w:rFonts w:cs="Arial"/>
                <w:sz w:val="20"/>
              </w:rPr>
            </w:pPr>
            <w:r>
              <w:rPr>
                <w:rFonts w:cs="Arial"/>
                <w:sz w:val="20"/>
              </w:rPr>
              <w:t>1255 (17.8%)</w:t>
            </w:r>
          </w:p>
        </w:tc>
        <w:tc>
          <w:tcPr>
            <w:tcW w:w="1707" w:type="dxa"/>
            <w:tcBorders>
              <w:top w:val="nil"/>
              <w:left w:val="nil"/>
              <w:bottom w:val="nil"/>
              <w:right w:val="nil"/>
            </w:tcBorders>
            <w:vAlign w:val="bottom"/>
          </w:tcPr>
          <w:p w14:paraId="2933528E" w14:textId="77777777" w:rsidR="00E308DA" w:rsidRDefault="00E308DA" w:rsidP="00E308DA">
            <w:pPr>
              <w:spacing w:after="0" w:line="240" w:lineRule="auto"/>
              <w:jc w:val="center"/>
              <w:rPr>
                <w:rFonts w:cs="Arial"/>
                <w:sz w:val="20"/>
              </w:rPr>
            </w:pPr>
            <w:r>
              <w:rPr>
                <w:rFonts w:cs="Arial"/>
                <w:sz w:val="20"/>
              </w:rPr>
              <w:t>6247 (17.8%)</w:t>
            </w:r>
          </w:p>
        </w:tc>
        <w:tc>
          <w:tcPr>
            <w:tcW w:w="1083" w:type="dxa"/>
            <w:vMerge/>
            <w:tcBorders>
              <w:top w:val="nil"/>
              <w:left w:val="nil"/>
              <w:bottom w:val="nil"/>
              <w:right w:val="nil"/>
            </w:tcBorders>
            <w:vAlign w:val="center"/>
          </w:tcPr>
          <w:p w14:paraId="30F2D94B" w14:textId="77777777" w:rsidR="00E308DA" w:rsidRDefault="00E308DA" w:rsidP="00E308DA">
            <w:pPr>
              <w:spacing w:after="0" w:line="240" w:lineRule="auto"/>
              <w:rPr>
                <w:rFonts w:cs="Arial"/>
                <w:sz w:val="20"/>
              </w:rPr>
            </w:pPr>
          </w:p>
        </w:tc>
      </w:tr>
      <w:tr w:rsidR="00E308DA" w14:paraId="282440CA" w14:textId="77777777" w:rsidTr="0070364F">
        <w:tc>
          <w:tcPr>
            <w:tcW w:w="3865" w:type="dxa"/>
            <w:tcBorders>
              <w:top w:val="nil"/>
              <w:left w:val="nil"/>
              <w:bottom w:val="nil"/>
              <w:right w:val="nil"/>
            </w:tcBorders>
            <w:vAlign w:val="center"/>
          </w:tcPr>
          <w:p w14:paraId="2521C4EB" w14:textId="77777777" w:rsidR="00E308DA" w:rsidRDefault="00E308DA" w:rsidP="00E308DA">
            <w:pPr>
              <w:spacing w:after="0" w:line="240" w:lineRule="auto"/>
              <w:ind w:firstLineChars="100" w:firstLine="200"/>
              <w:rPr>
                <w:rFonts w:cs="Arial"/>
                <w:sz w:val="20"/>
              </w:rPr>
            </w:pPr>
            <w:r>
              <w:rPr>
                <w:rFonts w:cs="Arial"/>
                <w:sz w:val="20"/>
              </w:rPr>
              <w:t>80-84 years</w:t>
            </w:r>
          </w:p>
        </w:tc>
        <w:tc>
          <w:tcPr>
            <w:tcW w:w="1483" w:type="dxa"/>
            <w:tcBorders>
              <w:top w:val="nil"/>
              <w:left w:val="nil"/>
              <w:bottom w:val="nil"/>
              <w:right w:val="nil"/>
            </w:tcBorders>
            <w:vAlign w:val="bottom"/>
          </w:tcPr>
          <w:p w14:paraId="1B8C2BBD" w14:textId="77777777" w:rsidR="00E308DA" w:rsidRDefault="00E308DA" w:rsidP="00E308DA">
            <w:pPr>
              <w:spacing w:after="0" w:line="240" w:lineRule="auto"/>
              <w:jc w:val="center"/>
              <w:rPr>
                <w:rFonts w:cs="Arial"/>
                <w:sz w:val="20"/>
              </w:rPr>
            </w:pPr>
            <w:r>
              <w:rPr>
                <w:rFonts w:cs="Arial"/>
                <w:sz w:val="20"/>
              </w:rPr>
              <w:t>1432 (20.3%)</w:t>
            </w:r>
          </w:p>
        </w:tc>
        <w:tc>
          <w:tcPr>
            <w:tcW w:w="1707" w:type="dxa"/>
            <w:tcBorders>
              <w:top w:val="nil"/>
              <w:left w:val="nil"/>
              <w:bottom w:val="nil"/>
              <w:right w:val="nil"/>
            </w:tcBorders>
            <w:vAlign w:val="bottom"/>
          </w:tcPr>
          <w:p w14:paraId="6B76A642" w14:textId="77777777" w:rsidR="00E308DA" w:rsidRDefault="00E308DA" w:rsidP="00E308DA">
            <w:pPr>
              <w:spacing w:after="0" w:line="240" w:lineRule="auto"/>
              <w:jc w:val="center"/>
              <w:rPr>
                <w:rFonts w:cs="Arial"/>
                <w:sz w:val="20"/>
              </w:rPr>
            </w:pPr>
            <w:r>
              <w:rPr>
                <w:rFonts w:cs="Arial"/>
                <w:sz w:val="20"/>
              </w:rPr>
              <w:t>7134 (20.3%)</w:t>
            </w:r>
          </w:p>
        </w:tc>
        <w:tc>
          <w:tcPr>
            <w:tcW w:w="1083" w:type="dxa"/>
            <w:vMerge/>
            <w:tcBorders>
              <w:top w:val="nil"/>
              <w:left w:val="nil"/>
              <w:bottom w:val="nil"/>
              <w:right w:val="nil"/>
            </w:tcBorders>
            <w:vAlign w:val="center"/>
          </w:tcPr>
          <w:p w14:paraId="41D51F72" w14:textId="77777777" w:rsidR="00E308DA" w:rsidRDefault="00E308DA" w:rsidP="00E308DA">
            <w:pPr>
              <w:spacing w:after="0" w:line="240" w:lineRule="auto"/>
              <w:rPr>
                <w:rFonts w:cs="Arial"/>
                <w:sz w:val="20"/>
              </w:rPr>
            </w:pPr>
          </w:p>
        </w:tc>
      </w:tr>
      <w:tr w:rsidR="00E308DA" w14:paraId="2272EB08" w14:textId="77777777" w:rsidTr="0070364F">
        <w:tc>
          <w:tcPr>
            <w:tcW w:w="3865" w:type="dxa"/>
            <w:tcBorders>
              <w:top w:val="nil"/>
              <w:left w:val="nil"/>
              <w:bottom w:val="nil"/>
              <w:right w:val="nil"/>
            </w:tcBorders>
            <w:vAlign w:val="center"/>
          </w:tcPr>
          <w:p w14:paraId="11D66033" w14:textId="77777777" w:rsidR="00E308DA" w:rsidRDefault="00E308DA" w:rsidP="00E308DA">
            <w:pPr>
              <w:spacing w:after="0" w:line="240" w:lineRule="auto"/>
              <w:ind w:firstLineChars="100" w:firstLine="200"/>
              <w:rPr>
                <w:rFonts w:cs="Arial"/>
                <w:sz w:val="20"/>
              </w:rPr>
            </w:pPr>
            <w:r>
              <w:rPr>
                <w:rFonts w:cs="Arial"/>
                <w:sz w:val="20"/>
              </w:rPr>
              <w:t>85-89 years</w:t>
            </w:r>
          </w:p>
        </w:tc>
        <w:tc>
          <w:tcPr>
            <w:tcW w:w="1483" w:type="dxa"/>
            <w:tcBorders>
              <w:top w:val="nil"/>
              <w:left w:val="nil"/>
              <w:bottom w:val="nil"/>
              <w:right w:val="nil"/>
            </w:tcBorders>
            <w:vAlign w:val="bottom"/>
          </w:tcPr>
          <w:p w14:paraId="68353DB2" w14:textId="77777777" w:rsidR="00E308DA" w:rsidRDefault="00E308DA" w:rsidP="00E308DA">
            <w:pPr>
              <w:spacing w:after="0" w:line="240" w:lineRule="auto"/>
              <w:jc w:val="center"/>
              <w:rPr>
                <w:rFonts w:cs="Arial"/>
                <w:sz w:val="20"/>
              </w:rPr>
            </w:pPr>
            <w:r>
              <w:rPr>
                <w:rFonts w:cs="Arial"/>
                <w:sz w:val="20"/>
              </w:rPr>
              <w:t>1353 (19.2%)</w:t>
            </w:r>
          </w:p>
        </w:tc>
        <w:tc>
          <w:tcPr>
            <w:tcW w:w="1707" w:type="dxa"/>
            <w:tcBorders>
              <w:top w:val="nil"/>
              <w:left w:val="nil"/>
              <w:bottom w:val="nil"/>
              <w:right w:val="nil"/>
            </w:tcBorders>
            <w:vAlign w:val="bottom"/>
          </w:tcPr>
          <w:p w14:paraId="5D8CC634" w14:textId="77777777" w:rsidR="00E308DA" w:rsidRDefault="00E308DA" w:rsidP="00E308DA">
            <w:pPr>
              <w:spacing w:after="0" w:line="240" w:lineRule="auto"/>
              <w:jc w:val="center"/>
              <w:rPr>
                <w:rFonts w:cs="Arial"/>
                <w:sz w:val="20"/>
              </w:rPr>
            </w:pPr>
            <w:r>
              <w:rPr>
                <w:rFonts w:cs="Arial"/>
                <w:sz w:val="20"/>
              </w:rPr>
              <w:t>6748 (19.2%)</w:t>
            </w:r>
          </w:p>
        </w:tc>
        <w:tc>
          <w:tcPr>
            <w:tcW w:w="1083" w:type="dxa"/>
            <w:vMerge/>
            <w:tcBorders>
              <w:top w:val="nil"/>
              <w:left w:val="nil"/>
              <w:bottom w:val="nil"/>
              <w:right w:val="nil"/>
            </w:tcBorders>
            <w:vAlign w:val="center"/>
          </w:tcPr>
          <w:p w14:paraId="7C9CB259" w14:textId="77777777" w:rsidR="00E308DA" w:rsidRDefault="00E308DA" w:rsidP="00E308DA">
            <w:pPr>
              <w:spacing w:after="0" w:line="240" w:lineRule="auto"/>
              <w:rPr>
                <w:rFonts w:cs="Arial"/>
                <w:sz w:val="20"/>
              </w:rPr>
            </w:pPr>
          </w:p>
        </w:tc>
      </w:tr>
      <w:tr w:rsidR="00E308DA" w14:paraId="31B10DB0" w14:textId="77777777" w:rsidTr="0070364F">
        <w:tc>
          <w:tcPr>
            <w:tcW w:w="3865" w:type="dxa"/>
            <w:tcBorders>
              <w:top w:val="nil"/>
              <w:left w:val="nil"/>
              <w:bottom w:val="nil"/>
              <w:right w:val="nil"/>
            </w:tcBorders>
            <w:vAlign w:val="center"/>
          </w:tcPr>
          <w:p w14:paraId="2DAF5E8F" w14:textId="77777777" w:rsidR="00E308DA" w:rsidRDefault="00E308DA" w:rsidP="00E308DA">
            <w:pPr>
              <w:spacing w:after="0" w:line="240" w:lineRule="auto"/>
              <w:ind w:firstLineChars="100" w:firstLine="200"/>
              <w:rPr>
                <w:rFonts w:cs="Arial"/>
                <w:sz w:val="20"/>
              </w:rPr>
            </w:pPr>
            <w:r>
              <w:rPr>
                <w:rFonts w:cs="Arial"/>
                <w:sz w:val="20"/>
              </w:rPr>
              <w:t>90+ years</w:t>
            </w:r>
          </w:p>
        </w:tc>
        <w:tc>
          <w:tcPr>
            <w:tcW w:w="1483" w:type="dxa"/>
            <w:tcBorders>
              <w:top w:val="nil"/>
              <w:left w:val="nil"/>
              <w:bottom w:val="nil"/>
              <w:right w:val="nil"/>
            </w:tcBorders>
            <w:vAlign w:val="bottom"/>
          </w:tcPr>
          <w:p w14:paraId="3BCB66D2" w14:textId="77777777" w:rsidR="00E308DA" w:rsidRDefault="00E308DA" w:rsidP="00E308DA">
            <w:pPr>
              <w:spacing w:after="0" w:line="240" w:lineRule="auto"/>
              <w:jc w:val="center"/>
              <w:rPr>
                <w:rFonts w:cs="Arial"/>
                <w:sz w:val="20"/>
              </w:rPr>
            </w:pPr>
            <w:r>
              <w:rPr>
                <w:rFonts w:cs="Arial"/>
                <w:sz w:val="20"/>
              </w:rPr>
              <w:t>1238 (17.5%)</w:t>
            </w:r>
          </w:p>
        </w:tc>
        <w:tc>
          <w:tcPr>
            <w:tcW w:w="1707" w:type="dxa"/>
            <w:tcBorders>
              <w:top w:val="nil"/>
              <w:left w:val="nil"/>
              <w:bottom w:val="nil"/>
              <w:right w:val="nil"/>
            </w:tcBorders>
            <w:vAlign w:val="bottom"/>
          </w:tcPr>
          <w:p w14:paraId="05345C16" w14:textId="77777777" w:rsidR="00E308DA" w:rsidRDefault="00E308DA" w:rsidP="00E308DA">
            <w:pPr>
              <w:spacing w:after="0" w:line="240" w:lineRule="auto"/>
              <w:jc w:val="center"/>
              <w:rPr>
                <w:rFonts w:cs="Arial"/>
                <w:sz w:val="20"/>
              </w:rPr>
            </w:pPr>
            <w:r>
              <w:rPr>
                <w:rFonts w:cs="Arial"/>
                <w:sz w:val="20"/>
              </w:rPr>
              <w:t>6178 (17.6%)</w:t>
            </w:r>
          </w:p>
        </w:tc>
        <w:tc>
          <w:tcPr>
            <w:tcW w:w="1083" w:type="dxa"/>
            <w:vMerge/>
            <w:tcBorders>
              <w:top w:val="nil"/>
              <w:left w:val="nil"/>
              <w:bottom w:val="nil"/>
              <w:right w:val="nil"/>
            </w:tcBorders>
            <w:vAlign w:val="center"/>
          </w:tcPr>
          <w:p w14:paraId="44BD6AA5" w14:textId="77777777" w:rsidR="00E308DA" w:rsidRDefault="00E308DA" w:rsidP="00E308DA">
            <w:pPr>
              <w:spacing w:after="0" w:line="240" w:lineRule="auto"/>
              <w:rPr>
                <w:rFonts w:cs="Arial"/>
                <w:sz w:val="20"/>
              </w:rPr>
            </w:pPr>
          </w:p>
        </w:tc>
      </w:tr>
      <w:tr w:rsidR="00E308DA" w14:paraId="635E2F27" w14:textId="77777777" w:rsidTr="0070364F">
        <w:tc>
          <w:tcPr>
            <w:tcW w:w="3865" w:type="dxa"/>
            <w:tcBorders>
              <w:top w:val="nil"/>
              <w:left w:val="nil"/>
              <w:bottom w:val="nil"/>
              <w:right w:val="nil"/>
            </w:tcBorders>
            <w:vAlign w:val="center"/>
          </w:tcPr>
          <w:p w14:paraId="7066F94B" w14:textId="77777777" w:rsidR="00E308DA" w:rsidRDefault="00E308DA" w:rsidP="00E308DA">
            <w:pPr>
              <w:spacing w:after="0" w:line="240" w:lineRule="auto"/>
              <w:rPr>
                <w:rFonts w:cs="Arial"/>
                <w:sz w:val="20"/>
              </w:rPr>
            </w:pPr>
            <w:r>
              <w:rPr>
                <w:rFonts w:cs="Arial"/>
                <w:sz w:val="20"/>
              </w:rPr>
              <w:t>Hospice Length of Stay (days)</w:t>
            </w:r>
          </w:p>
        </w:tc>
        <w:tc>
          <w:tcPr>
            <w:tcW w:w="1483" w:type="dxa"/>
            <w:tcBorders>
              <w:top w:val="nil"/>
              <w:left w:val="nil"/>
              <w:bottom w:val="nil"/>
              <w:right w:val="nil"/>
            </w:tcBorders>
            <w:vAlign w:val="bottom"/>
          </w:tcPr>
          <w:p w14:paraId="3976A2B7" w14:textId="77777777" w:rsidR="00E308DA" w:rsidRDefault="00E308DA" w:rsidP="00E308DA">
            <w:pPr>
              <w:spacing w:after="0" w:line="240" w:lineRule="auto"/>
              <w:rPr>
                <w:rFonts w:cs="Arial"/>
                <w:sz w:val="20"/>
              </w:rPr>
            </w:pPr>
          </w:p>
        </w:tc>
        <w:tc>
          <w:tcPr>
            <w:tcW w:w="1707" w:type="dxa"/>
            <w:tcBorders>
              <w:top w:val="nil"/>
              <w:left w:val="nil"/>
              <w:bottom w:val="nil"/>
              <w:right w:val="nil"/>
            </w:tcBorders>
            <w:vAlign w:val="bottom"/>
          </w:tcPr>
          <w:p w14:paraId="174D12AF" w14:textId="77777777" w:rsidR="00E308DA" w:rsidRDefault="00E308DA" w:rsidP="00E308DA">
            <w:pPr>
              <w:spacing w:after="0" w:line="240" w:lineRule="auto"/>
              <w:jc w:val="center"/>
              <w:rPr>
                <w:sz w:val="20"/>
              </w:rPr>
            </w:pPr>
          </w:p>
        </w:tc>
        <w:tc>
          <w:tcPr>
            <w:tcW w:w="1083" w:type="dxa"/>
            <w:tcBorders>
              <w:top w:val="nil"/>
              <w:left w:val="nil"/>
              <w:bottom w:val="nil"/>
              <w:right w:val="nil"/>
            </w:tcBorders>
            <w:vAlign w:val="bottom"/>
          </w:tcPr>
          <w:p w14:paraId="02D29301" w14:textId="77777777" w:rsidR="00E308DA" w:rsidRDefault="00E308DA" w:rsidP="00E308DA">
            <w:pPr>
              <w:spacing w:after="0" w:line="240" w:lineRule="auto"/>
              <w:jc w:val="center"/>
              <w:rPr>
                <w:sz w:val="20"/>
              </w:rPr>
            </w:pPr>
          </w:p>
        </w:tc>
      </w:tr>
      <w:tr w:rsidR="00E308DA" w14:paraId="729C6060" w14:textId="77777777" w:rsidTr="0070364F">
        <w:tc>
          <w:tcPr>
            <w:tcW w:w="3865" w:type="dxa"/>
            <w:tcBorders>
              <w:top w:val="nil"/>
              <w:left w:val="nil"/>
              <w:bottom w:val="nil"/>
              <w:right w:val="nil"/>
            </w:tcBorders>
            <w:vAlign w:val="bottom"/>
          </w:tcPr>
          <w:p w14:paraId="2F43E84D" w14:textId="77777777" w:rsidR="00E308DA" w:rsidRDefault="00E308DA" w:rsidP="00E308DA">
            <w:pPr>
              <w:spacing w:after="0" w:line="240" w:lineRule="auto"/>
              <w:ind w:firstLineChars="100" w:firstLine="200"/>
              <w:rPr>
                <w:rFonts w:cs="Arial"/>
                <w:sz w:val="20"/>
              </w:rPr>
            </w:pPr>
            <w:r>
              <w:rPr>
                <w:rFonts w:cs="Arial"/>
                <w:sz w:val="20"/>
              </w:rPr>
              <w:t>Median (IQR)</w:t>
            </w:r>
          </w:p>
        </w:tc>
        <w:tc>
          <w:tcPr>
            <w:tcW w:w="1483" w:type="dxa"/>
            <w:tcBorders>
              <w:top w:val="nil"/>
              <w:left w:val="nil"/>
              <w:bottom w:val="nil"/>
              <w:right w:val="nil"/>
            </w:tcBorders>
            <w:vAlign w:val="bottom"/>
          </w:tcPr>
          <w:p w14:paraId="5B33A97D" w14:textId="77777777" w:rsidR="00E308DA" w:rsidRDefault="00E308DA" w:rsidP="00E308DA">
            <w:pPr>
              <w:spacing w:after="0" w:line="240" w:lineRule="auto"/>
              <w:jc w:val="center"/>
              <w:rPr>
                <w:rFonts w:cs="Arial"/>
                <w:sz w:val="20"/>
              </w:rPr>
            </w:pPr>
            <w:r>
              <w:rPr>
                <w:rFonts w:cs="Arial"/>
                <w:sz w:val="20"/>
              </w:rPr>
              <w:t>102 (45-242)</w:t>
            </w:r>
          </w:p>
        </w:tc>
        <w:tc>
          <w:tcPr>
            <w:tcW w:w="1707" w:type="dxa"/>
            <w:tcBorders>
              <w:top w:val="nil"/>
              <w:left w:val="nil"/>
              <w:bottom w:val="nil"/>
              <w:right w:val="nil"/>
            </w:tcBorders>
            <w:vAlign w:val="bottom"/>
          </w:tcPr>
          <w:p w14:paraId="67FA003E" w14:textId="77777777" w:rsidR="00E308DA" w:rsidRDefault="00E308DA" w:rsidP="00E308DA">
            <w:pPr>
              <w:spacing w:after="0" w:line="240" w:lineRule="auto"/>
              <w:jc w:val="center"/>
              <w:rPr>
                <w:rFonts w:cs="Arial"/>
                <w:sz w:val="20"/>
              </w:rPr>
            </w:pPr>
            <w:r>
              <w:rPr>
                <w:rFonts w:cs="Arial"/>
                <w:sz w:val="20"/>
              </w:rPr>
              <w:t>117 (47-275)</w:t>
            </w:r>
          </w:p>
        </w:tc>
        <w:tc>
          <w:tcPr>
            <w:tcW w:w="1083" w:type="dxa"/>
            <w:tcBorders>
              <w:top w:val="nil"/>
              <w:left w:val="nil"/>
              <w:bottom w:val="nil"/>
              <w:right w:val="nil"/>
            </w:tcBorders>
            <w:vAlign w:val="bottom"/>
          </w:tcPr>
          <w:p w14:paraId="7CE83093" w14:textId="77777777" w:rsidR="00E308DA" w:rsidRDefault="00E308DA" w:rsidP="00E308DA">
            <w:pPr>
              <w:spacing w:after="0" w:line="240" w:lineRule="auto"/>
              <w:jc w:val="center"/>
              <w:rPr>
                <w:rFonts w:cs="Arial"/>
                <w:sz w:val="20"/>
              </w:rPr>
            </w:pPr>
            <w:r>
              <w:rPr>
                <w:rFonts w:cs="Arial"/>
                <w:sz w:val="20"/>
              </w:rPr>
              <w:t>&lt;0.001</w:t>
            </w:r>
          </w:p>
        </w:tc>
      </w:tr>
      <w:tr w:rsidR="00E308DA" w14:paraId="52C50FF7" w14:textId="77777777" w:rsidTr="0070364F">
        <w:tc>
          <w:tcPr>
            <w:tcW w:w="3865" w:type="dxa"/>
            <w:tcBorders>
              <w:top w:val="nil"/>
              <w:left w:val="nil"/>
              <w:bottom w:val="nil"/>
              <w:right w:val="nil"/>
            </w:tcBorders>
            <w:vAlign w:val="center"/>
          </w:tcPr>
          <w:p w14:paraId="742A2F25" w14:textId="77777777" w:rsidR="00E308DA" w:rsidRDefault="00E308DA" w:rsidP="00E308DA">
            <w:pPr>
              <w:spacing w:after="0" w:line="240" w:lineRule="auto"/>
              <w:ind w:firstLineChars="100" w:firstLine="200"/>
              <w:rPr>
                <w:rFonts w:cs="Arial"/>
                <w:sz w:val="20"/>
              </w:rPr>
            </w:pPr>
            <w:r>
              <w:rPr>
                <w:rFonts w:cs="Arial"/>
                <w:sz w:val="20"/>
              </w:rPr>
              <w:t>≤14</w:t>
            </w:r>
          </w:p>
        </w:tc>
        <w:tc>
          <w:tcPr>
            <w:tcW w:w="1483" w:type="dxa"/>
            <w:tcBorders>
              <w:top w:val="nil"/>
              <w:left w:val="nil"/>
              <w:bottom w:val="nil"/>
              <w:right w:val="nil"/>
            </w:tcBorders>
            <w:vAlign w:val="bottom"/>
          </w:tcPr>
          <w:p w14:paraId="115F8A6B" w14:textId="77777777" w:rsidR="00E308DA" w:rsidRDefault="00E308DA" w:rsidP="00E308DA">
            <w:pPr>
              <w:spacing w:after="0" w:line="240" w:lineRule="auto"/>
              <w:jc w:val="center"/>
              <w:rPr>
                <w:rFonts w:cs="Arial"/>
                <w:sz w:val="20"/>
              </w:rPr>
            </w:pPr>
            <w:r>
              <w:rPr>
                <w:rFonts w:cs="Arial"/>
                <w:sz w:val="20"/>
              </w:rPr>
              <w:t>374 (5.3%)</w:t>
            </w:r>
          </w:p>
        </w:tc>
        <w:tc>
          <w:tcPr>
            <w:tcW w:w="1707" w:type="dxa"/>
            <w:tcBorders>
              <w:top w:val="nil"/>
              <w:left w:val="nil"/>
              <w:bottom w:val="nil"/>
              <w:right w:val="nil"/>
            </w:tcBorders>
            <w:vAlign w:val="bottom"/>
          </w:tcPr>
          <w:p w14:paraId="194DD49C" w14:textId="77777777" w:rsidR="00E308DA" w:rsidRDefault="00E308DA" w:rsidP="00E308DA">
            <w:pPr>
              <w:spacing w:after="0" w:line="240" w:lineRule="auto"/>
              <w:jc w:val="center"/>
              <w:rPr>
                <w:rFonts w:cs="Arial"/>
                <w:sz w:val="20"/>
              </w:rPr>
            </w:pPr>
            <w:r>
              <w:rPr>
                <w:rFonts w:cs="Arial"/>
                <w:sz w:val="20"/>
              </w:rPr>
              <w:t>2298 (6.5%)</w:t>
            </w:r>
          </w:p>
        </w:tc>
        <w:tc>
          <w:tcPr>
            <w:tcW w:w="1083" w:type="dxa"/>
            <w:vMerge w:val="restart"/>
            <w:tcBorders>
              <w:top w:val="nil"/>
              <w:left w:val="nil"/>
              <w:bottom w:val="nil"/>
              <w:right w:val="nil"/>
            </w:tcBorders>
            <w:vAlign w:val="center"/>
          </w:tcPr>
          <w:p w14:paraId="59E21ED1" w14:textId="77777777" w:rsidR="00E308DA" w:rsidRDefault="00E308DA" w:rsidP="00E308DA">
            <w:pPr>
              <w:spacing w:after="0" w:line="240" w:lineRule="auto"/>
              <w:jc w:val="center"/>
              <w:rPr>
                <w:rFonts w:cs="Arial"/>
                <w:sz w:val="20"/>
              </w:rPr>
            </w:pPr>
            <w:r>
              <w:rPr>
                <w:rFonts w:cs="Arial"/>
                <w:sz w:val="20"/>
              </w:rPr>
              <w:t>&lt;0.001</w:t>
            </w:r>
          </w:p>
        </w:tc>
      </w:tr>
      <w:tr w:rsidR="00E308DA" w14:paraId="32C17B98" w14:textId="77777777" w:rsidTr="0070364F">
        <w:tc>
          <w:tcPr>
            <w:tcW w:w="3865" w:type="dxa"/>
            <w:tcBorders>
              <w:top w:val="nil"/>
              <w:left w:val="nil"/>
              <w:bottom w:val="nil"/>
              <w:right w:val="nil"/>
            </w:tcBorders>
            <w:vAlign w:val="center"/>
          </w:tcPr>
          <w:p w14:paraId="6D0260FA" w14:textId="77777777" w:rsidR="00E308DA" w:rsidRDefault="00E308DA" w:rsidP="00E308DA">
            <w:pPr>
              <w:spacing w:after="0" w:line="240" w:lineRule="auto"/>
              <w:ind w:firstLineChars="100" w:firstLine="200"/>
              <w:rPr>
                <w:rFonts w:cs="Arial"/>
                <w:sz w:val="20"/>
              </w:rPr>
            </w:pPr>
            <w:r>
              <w:rPr>
                <w:rFonts w:cs="Arial"/>
                <w:sz w:val="20"/>
              </w:rPr>
              <w:t xml:space="preserve">15-29 </w:t>
            </w:r>
          </w:p>
        </w:tc>
        <w:tc>
          <w:tcPr>
            <w:tcW w:w="1483" w:type="dxa"/>
            <w:tcBorders>
              <w:top w:val="nil"/>
              <w:left w:val="nil"/>
              <w:bottom w:val="nil"/>
              <w:right w:val="nil"/>
            </w:tcBorders>
            <w:vAlign w:val="bottom"/>
          </w:tcPr>
          <w:p w14:paraId="0F4F4664" w14:textId="77777777" w:rsidR="00E308DA" w:rsidRDefault="00E308DA" w:rsidP="00E308DA">
            <w:pPr>
              <w:spacing w:after="0" w:line="240" w:lineRule="auto"/>
              <w:jc w:val="center"/>
              <w:rPr>
                <w:rFonts w:cs="Arial"/>
                <w:sz w:val="20"/>
              </w:rPr>
            </w:pPr>
            <w:r>
              <w:rPr>
                <w:rFonts w:cs="Arial"/>
                <w:sz w:val="20"/>
              </w:rPr>
              <w:t>704 (10.0%)</w:t>
            </w:r>
          </w:p>
        </w:tc>
        <w:tc>
          <w:tcPr>
            <w:tcW w:w="1707" w:type="dxa"/>
            <w:tcBorders>
              <w:top w:val="nil"/>
              <w:left w:val="nil"/>
              <w:bottom w:val="nil"/>
              <w:right w:val="nil"/>
            </w:tcBorders>
            <w:vAlign w:val="bottom"/>
          </w:tcPr>
          <w:p w14:paraId="6F4C2FA2" w14:textId="77777777" w:rsidR="00E308DA" w:rsidRDefault="00E308DA" w:rsidP="00E308DA">
            <w:pPr>
              <w:spacing w:after="0" w:line="240" w:lineRule="auto"/>
              <w:jc w:val="center"/>
              <w:rPr>
                <w:rFonts w:cs="Arial"/>
                <w:sz w:val="20"/>
              </w:rPr>
            </w:pPr>
            <w:r>
              <w:rPr>
                <w:rFonts w:cs="Arial"/>
                <w:sz w:val="20"/>
              </w:rPr>
              <w:t>3131 (8.9%)</w:t>
            </w:r>
          </w:p>
        </w:tc>
        <w:tc>
          <w:tcPr>
            <w:tcW w:w="1083" w:type="dxa"/>
            <w:vMerge/>
            <w:tcBorders>
              <w:top w:val="nil"/>
              <w:left w:val="nil"/>
              <w:bottom w:val="nil"/>
              <w:right w:val="nil"/>
            </w:tcBorders>
            <w:vAlign w:val="center"/>
          </w:tcPr>
          <w:p w14:paraId="58CC5ABA" w14:textId="77777777" w:rsidR="00E308DA" w:rsidRDefault="00E308DA" w:rsidP="00E308DA">
            <w:pPr>
              <w:spacing w:after="0" w:line="240" w:lineRule="auto"/>
              <w:rPr>
                <w:rFonts w:cs="Arial"/>
                <w:sz w:val="20"/>
              </w:rPr>
            </w:pPr>
          </w:p>
        </w:tc>
      </w:tr>
      <w:tr w:rsidR="00E308DA" w14:paraId="25F3F501" w14:textId="77777777" w:rsidTr="0070364F">
        <w:tc>
          <w:tcPr>
            <w:tcW w:w="3865" w:type="dxa"/>
            <w:tcBorders>
              <w:top w:val="nil"/>
              <w:left w:val="nil"/>
              <w:bottom w:val="nil"/>
              <w:right w:val="nil"/>
            </w:tcBorders>
            <w:vAlign w:val="center"/>
          </w:tcPr>
          <w:p w14:paraId="43AF50E2" w14:textId="77777777" w:rsidR="00E308DA" w:rsidRDefault="00E308DA" w:rsidP="00E308DA">
            <w:pPr>
              <w:spacing w:after="0" w:line="240" w:lineRule="auto"/>
              <w:ind w:firstLineChars="100" w:firstLine="200"/>
              <w:rPr>
                <w:rFonts w:cs="Arial"/>
                <w:sz w:val="20"/>
              </w:rPr>
            </w:pPr>
            <w:r>
              <w:rPr>
                <w:rFonts w:cs="Arial"/>
                <w:sz w:val="20"/>
              </w:rPr>
              <w:t xml:space="preserve">30-89 </w:t>
            </w:r>
          </w:p>
        </w:tc>
        <w:tc>
          <w:tcPr>
            <w:tcW w:w="1483" w:type="dxa"/>
            <w:tcBorders>
              <w:top w:val="nil"/>
              <w:left w:val="nil"/>
              <w:bottom w:val="nil"/>
              <w:right w:val="nil"/>
            </w:tcBorders>
            <w:vAlign w:val="bottom"/>
          </w:tcPr>
          <w:p w14:paraId="37BEBFB3" w14:textId="77777777" w:rsidR="00E308DA" w:rsidRDefault="00E308DA" w:rsidP="00E308DA">
            <w:pPr>
              <w:spacing w:after="0" w:line="240" w:lineRule="auto"/>
              <w:jc w:val="center"/>
              <w:rPr>
                <w:rFonts w:cs="Arial"/>
                <w:sz w:val="20"/>
              </w:rPr>
            </w:pPr>
            <w:r>
              <w:rPr>
                <w:rFonts w:cs="Arial"/>
                <w:sz w:val="20"/>
              </w:rPr>
              <w:t>2159 (30.6%)</w:t>
            </w:r>
          </w:p>
        </w:tc>
        <w:tc>
          <w:tcPr>
            <w:tcW w:w="1707" w:type="dxa"/>
            <w:tcBorders>
              <w:top w:val="nil"/>
              <w:left w:val="nil"/>
              <w:bottom w:val="nil"/>
              <w:right w:val="nil"/>
            </w:tcBorders>
            <w:vAlign w:val="bottom"/>
          </w:tcPr>
          <w:p w14:paraId="2BCD0873" w14:textId="77777777" w:rsidR="00E308DA" w:rsidRDefault="00E308DA" w:rsidP="00E308DA">
            <w:pPr>
              <w:spacing w:after="0" w:line="240" w:lineRule="auto"/>
              <w:jc w:val="center"/>
              <w:rPr>
                <w:rFonts w:cs="Arial"/>
                <w:sz w:val="20"/>
              </w:rPr>
            </w:pPr>
            <w:r>
              <w:rPr>
                <w:rFonts w:cs="Arial"/>
                <w:sz w:val="20"/>
              </w:rPr>
              <w:t>9351 (26.6%)</w:t>
            </w:r>
          </w:p>
        </w:tc>
        <w:tc>
          <w:tcPr>
            <w:tcW w:w="1083" w:type="dxa"/>
            <w:vMerge/>
            <w:tcBorders>
              <w:top w:val="nil"/>
              <w:left w:val="nil"/>
              <w:bottom w:val="nil"/>
              <w:right w:val="nil"/>
            </w:tcBorders>
            <w:vAlign w:val="center"/>
          </w:tcPr>
          <w:p w14:paraId="73C9F61F" w14:textId="77777777" w:rsidR="00E308DA" w:rsidRDefault="00E308DA" w:rsidP="00E308DA">
            <w:pPr>
              <w:spacing w:after="0" w:line="240" w:lineRule="auto"/>
              <w:rPr>
                <w:rFonts w:cs="Arial"/>
                <w:sz w:val="20"/>
              </w:rPr>
            </w:pPr>
          </w:p>
        </w:tc>
      </w:tr>
      <w:tr w:rsidR="00E308DA" w14:paraId="3CD9CBF8" w14:textId="77777777" w:rsidTr="0070364F">
        <w:tc>
          <w:tcPr>
            <w:tcW w:w="3865" w:type="dxa"/>
            <w:tcBorders>
              <w:top w:val="nil"/>
              <w:left w:val="nil"/>
              <w:bottom w:val="nil"/>
              <w:right w:val="nil"/>
            </w:tcBorders>
            <w:vAlign w:val="center"/>
          </w:tcPr>
          <w:p w14:paraId="1B0AF704" w14:textId="77777777" w:rsidR="00E308DA" w:rsidRDefault="00E308DA" w:rsidP="00E308DA">
            <w:pPr>
              <w:spacing w:after="0" w:line="240" w:lineRule="auto"/>
              <w:ind w:firstLineChars="100" w:firstLine="200"/>
              <w:rPr>
                <w:rFonts w:cs="Arial"/>
                <w:sz w:val="20"/>
              </w:rPr>
            </w:pPr>
            <w:r>
              <w:rPr>
                <w:rFonts w:cs="Arial"/>
                <w:sz w:val="20"/>
              </w:rPr>
              <w:t xml:space="preserve">90-179 </w:t>
            </w:r>
          </w:p>
        </w:tc>
        <w:tc>
          <w:tcPr>
            <w:tcW w:w="1483" w:type="dxa"/>
            <w:tcBorders>
              <w:top w:val="nil"/>
              <w:left w:val="nil"/>
              <w:bottom w:val="nil"/>
              <w:right w:val="nil"/>
            </w:tcBorders>
            <w:vAlign w:val="bottom"/>
          </w:tcPr>
          <w:p w14:paraId="0EB30B27" w14:textId="77777777" w:rsidR="00E308DA" w:rsidRDefault="00E308DA" w:rsidP="00E308DA">
            <w:pPr>
              <w:spacing w:after="0" w:line="240" w:lineRule="auto"/>
              <w:jc w:val="center"/>
              <w:rPr>
                <w:rFonts w:cs="Arial"/>
                <w:sz w:val="20"/>
              </w:rPr>
            </w:pPr>
            <w:r>
              <w:rPr>
                <w:rFonts w:cs="Arial"/>
                <w:sz w:val="20"/>
              </w:rPr>
              <w:t>1497 (21.2%)</w:t>
            </w:r>
          </w:p>
        </w:tc>
        <w:tc>
          <w:tcPr>
            <w:tcW w:w="1707" w:type="dxa"/>
            <w:tcBorders>
              <w:top w:val="nil"/>
              <w:left w:val="nil"/>
              <w:bottom w:val="nil"/>
              <w:right w:val="nil"/>
            </w:tcBorders>
            <w:vAlign w:val="bottom"/>
          </w:tcPr>
          <w:p w14:paraId="05BFA193" w14:textId="77777777" w:rsidR="00E308DA" w:rsidRDefault="00E308DA" w:rsidP="00E308DA">
            <w:pPr>
              <w:spacing w:after="0" w:line="240" w:lineRule="auto"/>
              <w:jc w:val="center"/>
              <w:rPr>
                <w:rFonts w:cs="Arial"/>
                <w:sz w:val="20"/>
              </w:rPr>
            </w:pPr>
            <w:r>
              <w:rPr>
                <w:rFonts w:cs="Arial"/>
                <w:sz w:val="20"/>
              </w:rPr>
              <w:t>7344 (20.9%)</w:t>
            </w:r>
          </w:p>
        </w:tc>
        <w:tc>
          <w:tcPr>
            <w:tcW w:w="1083" w:type="dxa"/>
            <w:vMerge/>
            <w:tcBorders>
              <w:top w:val="nil"/>
              <w:left w:val="nil"/>
              <w:bottom w:val="nil"/>
              <w:right w:val="nil"/>
            </w:tcBorders>
            <w:vAlign w:val="center"/>
          </w:tcPr>
          <w:p w14:paraId="23A6460B" w14:textId="77777777" w:rsidR="00E308DA" w:rsidRDefault="00E308DA" w:rsidP="00E308DA">
            <w:pPr>
              <w:spacing w:after="0" w:line="240" w:lineRule="auto"/>
              <w:rPr>
                <w:rFonts w:cs="Arial"/>
                <w:sz w:val="20"/>
              </w:rPr>
            </w:pPr>
          </w:p>
        </w:tc>
      </w:tr>
      <w:tr w:rsidR="00E308DA" w14:paraId="66AC2A69" w14:textId="77777777" w:rsidTr="0070364F">
        <w:tc>
          <w:tcPr>
            <w:tcW w:w="3865" w:type="dxa"/>
            <w:tcBorders>
              <w:top w:val="nil"/>
              <w:left w:val="nil"/>
              <w:bottom w:val="nil"/>
              <w:right w:val="nil"/>
            </w:tcBorders>
            <w:vAlign w:val="center"/>
          </w:tcPr>
          <w:p w14:paraId="0A72B6DF" w14:textId="77777777" w:rsidR="00E308DA" w:rsidRDefault="00E308DA" w:rsidP="00E308DA">
            <w:pPr>
              <w:spacing w:after="0" w:line="240" w:lineRule="auto"/>
              <w:ind w:firstLineChars="100" w:firstLine="200"/>
              <w:rPr>
                <w:rFonts w:cs="Arial"/>
                <w:sz w:val="20"/>
              </w:rPr>
            </w:pPr>
            <w:r>
              <w:rPr>
                <w:rFonts w:cs="Arial"/>
                <w:sz w:val="20"/>
              </w:rPr>
              <w:t xml:space="preserve">180+ </w:t>
            </w:r>
          </w:p>
        </w:tc>
        <w:tc>
          <w:tcPr>
            <w:tcW w:w="1483" w:type="dxa"/>
            <w:tcBorders>
              <w:top w:val="nil"/>
              <w:left w:val="nil"/>
              <w:bottom w:val="nil"/>
              <w:right w:val="nil"/>
            </w:tcBorders>
            <w:vAlign w:val="bottom"/>
          </w:tcPr>
          <w:p w14:paraId="6DDE5151" w14:textId="77777777" w:rsidR="00E308DA" w:rsidRDefault="00E308DA" w:rsidP="00E308DA">
            <w:pPr>
              <w:spacing w:after="0" w:line="240" w:lineRule="auto"/>
              <w:jc w:val="center"/>
              <w:rPr>
                <w:rFonts w:cs="Arial"/>
                <w:sz w:val="20"/>
              </w:rPr>
            </w:pPr>
            <w:r>
              <w:rPr>
                <w:rFonts w:cs="Arial"/>
                <w:sz w:val="20"/>
              </w:rPr>
              <w:t>2330 (33.0%)</w:t>
            </w:r>
          </w:p>
        </w:tc>
        <w:tc>
          <w:tcPr>
            <w:tcW w:w="1707" w:type="dxa"/>
            <w:tcBorders>
              <w:top w:val="nil"/>
              <w:left w:val="nil"/>
              <w:bottom w:val="nil"/>
              <w:right w:val="nil"/>
            </w:tcBorders>
            <w:vAlign w:val="bottom"/>
          </w:tcPr>
          <w:p w14:paraId="04E27522" w14:textId="77777777" w:rsidR="00E308DA" w:rsidRDefault="00E308DA" w:rsidP="00E308DA">
            <w:pPr>
              <w:spacing w:after="0" w:line="240" w:lineRule="auto"/>
              <w:jc w:val="center"/>
              <w:rPr>
                <w:rFonts w:cs="Arial"/>
                <w:sz w:val="20"/>
              </w:rPr>
            </w:pPr>
            <w:r>
              <w:rPr>
                <w:rFonts w:cs="Arial"/>
                <w:sz w:val="20"/>
              </w:rPr>
              <w:t>13065 (37.1%)</w:t>
            </w:r>
          </w:p>
        </w:tc>
        <w:tc>
          <w:tcPr>
            <w:tcW w:w="1083" w:type="dxa"/>
            <w:vMerge/>
            <w:tcBorders>
              <w:top w:val="nil"/>
              <w:left w:val="nil"/>
              <w:bottom w:val="nil"/>
              <w:right w:val="nil"/>
            </w:tcBorders>
            <w:vAlign w:val="center"/>
          </w:tcPr>
          <w:p w14:paraId="7EB4519F" w14:textId="77777777" w:rsidR="00E308DA" w:rsidRDefault="00E308DA" w:rsidP="00E308DA">
            <w:pPr>
              <w:spacing w:after="0" w:line="240" w:lineRule="auto"/>
              <w:rPr>
                <w:rFonts w:cs="Arial"/>
                <w:sz w:val="20"/>
              </w:rPr>
            </w:pPr>
          </w:p>
        </w:tc>
      </w:tr>
      <w:tr w:rsidR="00E308DA" w14:paraId="12FD555B" w14:textId="77777777" w:rsidTr="0070364F">
        <w:tc>
          <w:tcPr>
            <w:tcW w:w="3865" w:type="dxa"/>
            <w:tcBorders>
              <w:top w:val="nil"/>
              <w:left w:val="nil"/>
              <w:bottom w:val="nil"/>
              <w:right w:val="nil"/>
            </w:tcBorders>
            <w:vAlign w:val="bottom"/>
          </w:tcPr>
          <w:p w14:paraId="75E3DC7A" w14:textId="583D8641" w:rsidR="00E308DA" w:rsidRDefault="00E308DA" w:rsidP="00E308DA">
            <w:pPr>
              <w:spacing w:after="0" w:line="240" w:lineRule="auto"/>
              <w:rPr>
                <w:rFonts w:cs="Arial"/>
                <w:sz w:val="20"/>
              </w:rPr>
            </w:pPr>
            <w:r>
              <w:rPr>
                <w:rFonts w:cs="Arial"/>
                <w:sz w:val="20"/>
              </w:rPr>
              <w:t>Sex</w:t>
            </w:r>
            <w:r w:rsidR="00FE531B">
              <w:rPr>
                <w:rFonts w:cs="Arial"/>
                <w:sz w:val="20"/>
                <w:vertAlign w:val="superscript"/>
              </w:rPr>
              <w:t>a</w:t>
            </w:r>
          </w:p>
        </w:tc>
        <w:tc>
          <w:tcPr>
            <w:tcW w:w="1483" w:type="dxa"/>
            <w:tcBorders>
              <w:top w:val="nil"/>
              <w:left w:val="nil"/>
              <w:bottom w:val="nil"/>
              <w:right w:val="nil"/>
            </w:tcBorders>
            <w:vAlign w:val="bottom"/>
          </w:tcPr>
          <w:p w14:paraId="418E2876" w14:textId="77777777" w:rsidR="00E308DA" w:rsidRDefault="00E308DA" w:rsidP="00E308DA">
            <w:pPr>
              <w:spacing w:after="0" w:line="240" w:lineRule="auto"/>
              <w:rPr>
                <w:rFonts w:cs="Arial"/>
                <w:sz w:val="20"/>
              </w:rPr>
            </w:pPr>
          </w:p>
        </w:tc>
        <w:tc>
          <w:tcPr>
            <w:tcW w:w="1707" w:type="dxa"/>
            <w:tcBorders>
              <w:top w:val="nil"/>
              <w:left w:val="nil"/>
              <w:bottom w:val="nil"/>
              <w:right w:val="nil"/>
            </w:tcBorders>
            <w:vAlign w:val="bottom"/>
          </w:tcPr>
          <w:p w14:paraId="05B2FF54" w14:textId="77777777" w:rsidR="00E308DA" w:rsidRDefault="00E308DA" w:rsidP="00E308DA">
            <w:pPr>
              <w:spacing w:after="0" w:line="240" w:lineRule="auto"/>
              <w:jc w:val="center"/>
              <w:rPr>
                <w:sz w:val="20"/>
              </w:rPr>
            </w:pPr>
          </w:p>
        </w:tc>
        <w:tc>
          <w:tcPr>
            <w:tcW w:w="1083" w:type="dxa"/>
            <w:tcBorders>
              <w:top w:val="nil"/>
              <w:left w:val="nil"/>
              <w:bottom w:val="nil"/>
              <w:right w:val="nil"/>
            </w:tcBorders>
            <w:vAlign w:val="bottom"/>
          </w:tcPr>
          <w:p w14:paraId="3EF9DF6E" w14:textId="77777777" w:rsidR="00E308DA" w:rsidRDefault="00E308DA" w:rsidP="00E308DA">
            <w:pPr>
              <w:spacing w:after="0" w:line="240" w:lineRule="auto"/>
              <w:jc w:val="center"/>
              <w:rPr>
                <w:sz w:val="20"/>
              </w:rPr>
            </w:pPr>
          </w:p>
        </w:tc>
      </w:tr>
      <w:tr w:rsidR="00E308DA" w14:paraId="6513B117" w14:textId="77777777" w:rsidTr="0070364F">
        <w:tc>
          <w:tcPr>
            <w:tcW w:w="3865" w:type="dxa"/>
            <w:tcBorders>
              <w:top w:val="nil"/>
              <w:left w:val="nil"/>
              <w:bottom w:val="nil"/>
              <w:right w:val="nil"/>
            </w:tcBorders>
            <w:vAlign w:val="center"/>
          </w:tcPr>
          <w:p w14:paraId="1BC04819" w14:textId="77777777" w:rsidR="00E308DA" w:rsidRDefault="00E308DA" w:rsidP="00E308DA">
            <w:pPr>
              <w:spacing w:after="0" w:line="240" w:lineRule="auto"/>
              <w:ind w:firstLineChars="100" w:firstLine="200"/>
              <w:rPr>
                <w:rFonts w:cs="Arial"/>
                <w:sz w:val="20"/>
              </w:rPr>
            </w:pPr>
            <w:r>
              <w:rPr>
                <w:rFonts w:cs="Arial"/>
                <w:sz w:val="20"/>
              </w:rPr>
              <w:t>Male</w:t>
            </w:r>
          </w:p>
        </w:tc>
        <w:tc>
          <w:tcPr>
            <w:tcW w:w="1483" w:type="dxa"/>
            <w:tcBorders>
              <w:top w:val="nil"/>
              <w:left w:val="nil"/>
              <w:bottom w:val="nil"/>
              <w:right w:val="nil"/>
            </w:tcBorders>
            <w:vAlign w:val="bottom"/>
          </w:tcPr>
          <w:p w14:paraId="3A9A97DC" w14:textId="77777777" w:rsidR="00E308DA" w:rsidRDefault="00E308DA" w:rsidP="00E308DA">
            <w:pPr>
              <w:spacing w:after="0" w:line="240" w:lineRule="auto"/>
              <w:jc w:val="center"/>
              <w:rPr>
                <w:rFonts w:cs="Arial"/>
                <w:sz w:val="20"/>
              </w:rPr>
            </w:pPr>
            <w:r>
              <w:rPr>
                <w:rFonts w:cs="Arial"/>
                <w:sz w:val="20"/>
              </w:rPr>
              <w:t>2327 (32.9%)</w:t>
            </w:r>
          </w:p>
        </w:tc>
        <w:tc>
          <w:tcPr>
            <w:tcW w:w="1707" w:type="dxa"/>
            <w:tcBorders>
              <w:top w:val="nil"/>
              <w:left w:val="nil"/>
              <w:bottom w:val="nil"/>
              <w:right w:val="nil"/>
            </w:tcBorders>
            <w:vAlign w:val="bottom"/>
          </w:tcPr>
          <w:p w14:paraId="57C0B647" w14:textId="77777777" w:rsidR="00E308DA" w:rsidRDefault="00E308DA" w:rsidP="00E308DA">
            <w:pPr>
              <w:spacing w:after="0" w:line="240" w:lineRule="auto"/>
              <w:jc w:val="center"/>
              <w:rPr>
                <w:rFonts w:cs="Arial"/>
                <w:sz w:val="20"/>
              </w:rPr>
            </w:pPr>
            <w:r>
              <w:rPr>
                <w:rFonts w:cs="Arial"/>
                <w:sz w:val="20"/>
              </w:rPr>
              <w:t>11568 (32.9%)</w:t>
            </w:r>
          </w:p>
        </w:tc>
        <w:tc>
          <w:tcPr>
            <w:tcW w:w="1083" w:type="dxa"/>
            <w:vMerge w:val="restart"/>
            <w:tcBorders>
              <w:top w:val="nil"/>
              <w:left w:val="nil"/>
              <w:bottom w:val="nil"/>
              <w:right w:val="nil"/>
            </w:tcBorders>
            <w:vAlign w:val="center"/>
          </w:tcPr>
          <w:p w14:paraId="171D9617" w14:textId="77777777" w:rsidR="00E308DA" w:rsidRDefault="00E308DA" w:rsidP="00E308DA">
            <w:pPr>
              <w:spacing w:after="0" w:line="240" w:lineRule="auto"/>
              <w:jc w:val="center"/>
              <w:rPr>
                <w:rFonts w:cs="Arial"/>
                <w:sz w:val="20"/>
              </w:rPr>
            </w:pPr>
            <w:r>
              <w:rPr>
                <w:rFonts w:cs="Arial"/>
                <w:sz w:val="20"/>
              </w:rPr>
              <w:t>0.91</w:t>
            </w:r>
          </w:p>
        </w:tc>
      </w:tr>
      <w:tr w:rsidR="00E308DA" w14:paraId="5B554FA2" w14:textId="77777777" w:rsidTr="0070364F">
        <w:tc>
          <w:tcPr>
            <w:tcW w:w="3865" w:type="dxa"/>
            <w:tcBorders>
              <w:top w:val="nil"/>
              <w:left w:val="nil"/>
              <w:bottom w:val="nil"/>
              <w:right w:val="nil"/>
            </w:tcBorders>
            <w:vAlign w:val="bottom"/>
          </w:tcPr>
          <w:p w14:paraId="3F7DBD29" w14:textId="77777777" w:rsidR="00E308DA" w:rsidRDefault="00E308DA" w:rsidP="00E308DA">
            <w:pPr>
              <w:spacing w:after="0" w:line="240" w:lineRule="auto"/>
              <w:ind w:firstLineChars="100" w:firstLine="200"/>
              <w:rPr>
                <w:rFonts w:cs="Arial"/>
                <w:sz w:val="20"/>
              </w:rPr>
            </w:pPr>
            <w:r>
              <w:rPr>
                <w:rFonts w:cs="Arial"/>
                <w:sz w:val="20"/>
              </w:rPr>
              <w:t>Female</w:t>
            </w:r>
          </w:p>
        </w:tc>
        <w:tc>
          <w:tcPr>
            <w:tcW w:w="1483" w:type="dxa"/>
            <w:tcBorders>
              <w:top w:val="nil"/>
              <w:left w:val="nil"/>
              <w:bottom w:val="nil"/>
              <w:right w:val="nil"/>
            </w:tcBorders>
            <w:vAlign w:val="bottom"/>
          </w:tcPr>
          <w:p w14:paraId="55CEA6C2" w14:textId="77777777" w:rsidR="00E308DA" w:rsidRDefault="00E308DA" w:rsidP="00E308DA">
            <w:pPr>
              <w:spacing w:after="0" w:line="240" w:lineRule="auto"/>
              <w:jc w:val="center"/>
              <w:rPr>
                <w:rFonts w:cs="Arial"/>
                <w:sz w:val="20"/>
              </w:rPr>
            </w:pPr>
            <w:r>
              <w:rPr>
                <w:rFonts w:cs="Arial"/>
                <w:sz w:val="20"/>
              </w:rPr>
              <w:t>4737 (67.1%)</w:t>
            </w:r>
          </w:p>
        </w:tc>
        <w:tc>
          <w:tcPr>
            <w:tcW w:w="1707" w:type="dxa"/>
            <w:tcBorders>
              <w:top w:val="nil"/>
              <w:left w:val="nil"/>
              <w:bottom w:val="nil"/>
              <w:right w:val="nil"/>
            </w:tcBorders>
            <w:vAlign w:val="bottom"/>
          </w:tcPr>
          <w:p w14:paraId="73E04AA6" w14:textId="77777777" w:rsidR="00E308DA" w:rsidRDefault="00E308DA" w:rsidP="00E308DA">
            <w:pPr>
              <w:spacing w:after="0" w:line="240" w:lineRule="auto"/>
              <w:jc w:val="center"/>
              <w:rPr>
                <w:rFonts w:cs="Arial"/>
                <w:sz w:val="20"/>
              </w:rPr>
            </w:pPr>
            <w:r>
              <w:rPr>
                <w:rFonts w:cs="Arial"/>
                <w:sz w:val="20"/>
              </w:rPr>
              <w:t>23621 (67.1%)</w:t>
            </w:r>
          </w:p>
        </w:tc>
        <w:tc>
          <w:tcPr>
            <w:tcW w:w="1083" w:type="dxa"/>
            <w:vMerge/>
            <w:tcBorders>
              <w:top w:val="nil"/>
              <w:left w:val="nil"/>
              <w:bottom w:val="nil"/>
              <w:right w:val="nil"/>
            </w:tcBorders>
            <w:vAlign w:val="center"/>
          </w:tcPr>
          <w:p w14:paraId="7E9CAAE7" w14:textId="77777777" w:rsidR="00E308DA" w:rsidRDefault="00E308DA" w:rsidP="00E308DA">
            <w:pPr>
              <w:spacing w:after="0" w:line="240" w:lineRule="auto"/>
              <w:rPr>
                <w:rFonts w:cs="Arial"/>
                <w:sz w:val="20"/>
              </w:rPr>
            </w:pPr>
          </w:p>
        </w:tc>
      </w:tr>
      <w:tr w:rsidR="00E308DA" w14:paraId="7D5AE16F" w14:textId="77777777" w:rsidTr="0070364F">
        <w:tc>
          <w:tcPr>
            <w:tcW w:w="3865" w:type="dxa"/>
            <w:tcBorders>
              <w:top w:val="nil"/>
              <w:left w:val="nil"/>
              <w:bottom w:val="nil"/>
              <w:right w:val="nil"/>
            </w:tcBorders>
            <w:vAlign w:val="bottom"/>
          </w:tcPr>
          <w:p w14:paraId="72DCF375" w14:textId="77777777" w:rsidR="00E308DA" w:rsidRDefault="00E308DA" w:rsidP="00E308DA">
            <w:pPr>
              <w:spacing w:after="0" w:line="240" w:lineRule="auto"/>
              <w:rPr>
                <w:rFonts w:cs="Arial"/>
                <w:sz w:val="20"/>
              </w:rPr>
            </w:pPr>
            <w:r>
              <w:rPr>
                <w:rFonts w:cs="Arial"/>
                <w:sz w:val="20"/>
              </w:rPr>
              <w:t>Race</w:t>
            </w:r>
          </w:p>
        </w:tc>
        <w:tc>
          <w:tcPr>
            <w:tcW w:w="1483" w:type="dxa"/>
            <w:tcBorders>
              <w:top w:val="nil"/>
              <w:left w:val="nil"/>
              <w:bottom w:val="nil"/>
              <w:right w:val="nil"/>
            </w:tcBorders>
            <w:vAlign w:val="bottom"/>
          </w:tcPr>
          <w:p w14:paraId="2174C824" w14:textId="77777777" w:rsidR="00E308DA" w:rsidRDefault="00E308DA" w:rsidP="00E308DA">
            <w:pPr>
              <w:spacing w:after="0" w:line="240" w:lineRule="auto"/>
              <w:rPr>
                <w:rFonts w:cs="Arial"/>
                <w:sz w:val="20"/>
              </w:rPr>
            </w:pPr>
          </w:p>
        </w:tc>
        <w:tc>
          <w:tcPr>
            <w:tcW w:w="1707" w:type="dxa"/>
            <w:tcBorders>
              <w:top w:val="nil"/>
              <w:left w:val="nil"/>
              <w:bottom w:val="nil"/>
              <w:right w:val="nil"/>
            </w:tcBorders>
            <w:vAlign w:val="bottom"/>
          </w:tcPr>
          <w:p w14:paraId="182ED1A4" w14:textId="77777777" w:rsidR="00E308DA" w:rsidRDefault="00E308DA" w:rsidP="00E308DA">
            <w:pPr>
              <w:spacing w:after="0" w:line="240" w:lineRule="auto"/>
              <w:jc w:val="center"/>
              <w:rPr>
                <w:sz w:val="20"/>
              </w:rPr>
            </w:pPr>
          </w:p>
        </w:tc>
        <w:tc>
          <w:tcPr>
            <w:tcW w:w="1083" w:type="dxa"/>
            <w:tcBorders>
              <w:top w:val="nil"/>
              <w:left w:val="nil"/>
              <w:bottom w:val="nil"/>
              <w:right w:val="nil"/>
            </w:tcBorders>
            <w:vAlign w:val="bottom"/>
          </w:tcPr>
          <w:p w14:paraId="572D3BC5" w14:textId="77777777" w:rsidR="00E308DA" w:rsidRDefault="00E308DA" w:rsidP="00E308DA">
            <w:pPr>
              <w:spacing w:after="0" w:line="240" w:lineRule="auto"/>
              <w:jc w:val="center"/>
              <w:rPr>
                <w:sz w:val="20"/>
              </w:rPr>
            </w:pPr>
          </w:p>
        </w:tc>
      </w:tr>
      <w:tr w:rsidR="00E308DA" w14:paraId="2227CD99" w14:textId="77777777" w:rsidTr="0070364F">
        <w:tc>
          <w:tcPr>
            <w:tcW w:w="3865" w:type="dxa"/>
            <w:tcBorders>
              <w:top w:val="nil"/>
              <w:left w:val="nil"/>
              <w:bottom w:val="nil"/>
              <w:right w:val="nil"/>
            </w:tcBorders>
            <w:vAlign w:val="center"/>
          </w:tcPr>
          <w:p w14:paraId="22875C9B" w14:textId="77777777" w:rsidR="00E308DA" w:rsidRDefault="00E308DA" w:rsidP="00E308DA">
            <w:pPr>
              <w:spacing w:after="0" w:line="240" w:lineRule="auto"/>
              <w:ind w:firstLineChars="100" w:firstLine="200"/>
              <w:rPr>
                <w:rFonts w:cs="Arial"/>
                <w:sz w:val="20"/>
              </w:rPr>
            </w:pPr>
            <w:r>
              <w:rPr>
                <w:rFonts w:cs="Arial"/>
                <w:sz w:val="20"/>
              </w:rPr>
              <w:t>White</w:t>
            </w:r>
          </w:p>
        </w:tc>
        <w:tc>
          <w:tcPr>
            <w:tcW w:w="1483" w:type="dxa"/>
            <w:tcBorders>
              <w:top w:val="nil"/>
              <w:left w:val="nil"/>
              <w:bottom w:val="nil"/>
              <w:right w:val="nil"/>
            </w:tcBorders>
            <w:vAlign w:val="bottom"/>
          </w:tcPr>
          <w:p w14:paraId="3DF874C2" w14:textId="77777777" w:rsidR="00E308DA" w:rsidRDefault="00E308DA" w:rsidP="00E308DA">
            <w:pPr>
              <w:spacing w:after="0" w:line="240" w:lineRule="auto"/>
              <w:jc w:val="center"/>
              <w:rPr>
                <w:rFonts w:cs="Arial"/>
                <w:sz w:val="20"/>
              </w:rPr>
            </w:pPr>
            <w:r>
              <w:rPr>
                <w:rFonts w:cs="Arial"/>
                <w:sz w:val="20"/>
              </w:rPr>
              <w:t>5753 (81.4%)</w:t>
            </w:r>
          </w:p>
        </w:tc>
        <w:tc>
          <w:tcPr>
            <w:tcW w:w="1707" w:type="dxa"/>
            <w:tcBorders>
              <w:top w:val="nil"/>
              <w:left w:val="nil"/>
              <w:bottom w:val="nil"/>
              <w:right w:val="nil"/>
            </w:tcBorders>
            <w:vAlign w:val="bottom"/>
          </w:tcPr>
          <w:p w14:paraId="7FA41721" w14:textId="77777777" w:rsidR="00E308DA" w:rsidRDefault="00E308DA" w:rsidP="00E308DA">
            <w:pPr>
              <w:spacing w:after="0" w:line="240" w:lineRule="auto"/>
              <w:jc w:val="center"/>
              <w:rPr>
                <w:rFonts w:cs="Arial"/>
                <w:sz w:val="20"/>
              </w:rPr>
            </w:pPr>
            <w:r>
              <w:rPr>
                <w:rFonts w:cs="Arial"/>
                <w:sz w:val="20"/>
              </w:rPr>
              <w:t>30094 (85.5%)</w:t>
            </w:r>
          </w:p>
        </w:tc>
        <w:tc>
          <w:tcPr>
            <w:tcW w:w="1083" w:type="dxa"/>
            <w:vMerge w:val="restart"/>
            <w:tcBorders>
              <w:top w:val="nil"/>
              <w:left w:val="nil"/>
              <w:bottom w:val="nil"/>
              <w:right w:val="nil"/>
            </w:tcBorders>
            <w:vAlign w:val="center"/>
          </w:tcPr>
          <w:p w14:paraId="55185954" w14:textId="77777777" w:rsidR="00E308DA" w:rsidRDefault="00E308DA" w:rsidP="00E308DA">
            <w:pPr>
              <w:spacing w:after="0" w:line="240" w:lineRule="auto"/>
              <w:jc w:val="center"/>
              <w:rPr>
                <w:rFonts w:cs="Arial"/>
                <w:sz w:val="20"/>
              </w:rPr>
            </w:pPr>
            <w:r>
              <w:rPr>
                <w:rFonts w:cs="Arial"/>
                <w:sz w:val="20"/>
              </w:rPr>
              <w:t>&lt;0.001</w:t>
            </w:r>
          </w:p>
        </w:tc>
      </w:tr>
      <w:tr w:rsidR="00E308DA" w14:paraId="7A3087CB" w14:textId="77777777" w:rsidTr="0070364F">
        <w:tc>
          <w:tcPr>
            <w:tcW w:w="3865" w:type="dxa"/>
            <w:tcBorders>
              <w:top w:val="nil"/>
              <w:left w:val="nil"/>
              <w:bottom w:val="nil"/>
              <w:right w:val="nil"/>
            </w:tcBorders>
            <w:vAlign w:val="center"/>
          </w:tcPr>
          <w:p w14:paraId="6C073781" w14:textId="77777777" w:rsidR="00E308DA" w:rsidRDefault="00E308DA" w:rsidP="00E308DA">
            <w:pPr>
              <w:spacing w:after="0" w:line="240" w:lineRule="auto"/>
              <w:ind w:firstLineChars="100" w:firstLine="200"/>
              <w:rPr>
                <w:rFonts w:cs="Arial"/>
                <w:sz w:val="20"/>
              </w:rPr>
            </w:pPr>
            <w:r>
              <w:rPr>
                <w:rFonts w:cs="Arial"/>
                <w:sz w:val="20"/>
              </w:rPr>
              <w:t>Black</w:t>
            </w:r>
          </w:p>
        </w:tc>
        <w:tc>
          <w:tcPr>
            <w:tcW w:w="1483" w:type="dxa"/>
            <w:tcBorders>
              <w:top w:val="nil"/>
              <w:left w:val="nil"/>
              <w:bottom w:val="nil"/>
              <w:right w:val="nil"/>
            </w:tcBorders>
            <w:vAlign w:val="bottom"/>
          </w:tcPr>
          <w:p w14:paraId="6BE9304B" w14:textId="77777777" w:rsidR="00E308DA" w:rsidRDefault="00E308DA" w:rsidP="00E308DA">
            <w:pPr>
              <w:spacing w:after="0" w:line="240" w:lineRule="auto"/>
              <w:jc w:val="center"/>
              <w:rPr>
                <w:rFonts w:cs="Arial"/>
                <w:sz w:val="20"/>
              </w:rPr>
            </w:pPr>
            <w:r>
              <w:rPr>
                <w:rFonts w:cs="Arial"/>
                <w:sz w:val="20"/>
              </w:rPr>
              <w:t>847 (12.0%)</w:t>
            </w:r>
          </w:p>
        </w:tc>
        <w:tc>
          <w:tcPr>
            <w:tcW w:w="1707" w:type="dxa"/>
            <w:tcBorders>
              <w:top w:val="nil"/>
              <w:left w:val="nil"/>
              <w:bottom w:val="nil"/>
              <w:right w:val="nil"/>
            </w:tcBorders>
            <w:vAlign w:val="bottom"/>
          </w:tcPr>
          <w:p w14:paraId="6BEEA4C1" w14:textId="77777777" w:rsidR="00E308DA" w:rsidRDefault="00E308DA" w:rsidP="00E308DA">
            <w:pPr>
              <w:spacing w:after="0" w:line="240" w:lineRule="auto"/>
              <w:jc w:val="center"/>
              <w:rPr>
                <w:rFonts w:cs="Arial"/>
                <w:sz w:val="20"/>
              </w:rPr>
            </w:pPr>
            <w:r>
              <w:rPr>
                <w:rFonts w:cs="Arial"/>
                <w:sz w:val="20"/>
              </w:rPr>
              <w:t>3008 (8.5%)</w:t>
            </w:r>
          </w:p>
        </w:tc>
        <w:tc>
          <w:tcPr>
            <w:tcW w:w="1083" w:type="dxa"/>
            <w:vMerge/>
            <w:tcBorders>
              <w:top w:val="nil"/>
              <w:left w:val="nil"/>
              <w:bottom w:val="nil"/>
              <w:right w:val="nil"/>
            </w:tcBorders>
            <w:vAlign w:val="center"/>
          </w:tcPr>
          <w:p w14:paraId="3D337587" w14:textId="77777777" w:rsidR="00E308DA" w:rsidRDefault="00E308DA" w:rsidP="00E308DA">
            <w:pPr>
              <w:spacing w:after="0" w:line="240" w:lineRule="auto"/>
              <w:rPr>
                <w:rFonts w:cs="Arial"/>
                <w:sz w:val="20"/>
              </w:rPr>
            </w:pPr>
          </w:p>
        </w:tc>
      </w:tr>
      <w:tr w:rsidR="00E308DA" w14:paraId="47842D3A" w14:textId="77777777" w:rsidTr="0070364F">
        <w:tc>
          <w:tcPr>
            <w:tcW w:w="3865" w:type="dxa"/>
            <w:tcBorders>
              <w:top w:val="nil"/>
              <w:left w:val="nil"/>
              <w:bottom w:val="nil"/>
              <w:right w:val="nil"/>
            </w:tcBorders>
            <w:vAlign w:val="center"/>
          </w:tcPr>
          <w:p w14:paraId="32D66916" w14:textId="77777777" w:rsidR="00E308DA" w:rsidRDefault="00E308DA" w:rsidP="00E308DA">
            <w:pPr>
              <w:spacing w:after="0" w:line="240" w:lineRule="auto"/>
              <w:ind w:firstLineChars="100" w:firstLine="200"/>
              <w:rPr>
                <w:rFonts w:cs="Arial"/>
                <w:sz w:val="20"/>
              </w:rPr>
            </w:pPr>
            <w:r>
              <w:rPr>
                <w:rFonts w:cs="Arial"/>
                <w:sz w:val="20"/>
              </w:rPr>
              <w:t>Hispanic</w:t>
            </w:r>
          </w:p>
        </w:tc>
        <w:tc>
          <w:tcPr>
            <w:tcW w:w="1483" w:type="dxa"/>
            <w:tcBorders>
              <w:top w:val="nil"/>
              <w:left w:val="nil"/>
              <w:bottom w:val="nil"/>
              <w:right w:val="nil"/>
            </w:tcBorders>
            <w:vAlign w:val="bottom"/>
          </w:tcPr>
          <w:p w14:paraId="668A5206" w14:textId="77777777" w:rsidR="00E308DA" w:rsidRDefault="00E308DA" w:rsidP="00E308DA">
            <w:pPr>
              <w:spacing w:after="0" w:line="240" w:lineRule="auto"/>
              <w:jc w:val="center"/>
              <w:rPr>
                <w:rFonts w:cs="Arial"/>
                <w:sz w:val="20"/>
              </w:rPr>
            </w:pPr>
            <w:r>
              <w:rPr>
                <w:rFonts w:cs="Arial"/>
                <w:sz w:val="20"/>
              </w:rPr>
              <w:t>210 (3.0%)</w:t>
            </w:r>
          </w:p>
        </w:tc>
        <w:tc>
          <w:tcPr>
            <w:tcW w:w="1707" w:type="dxa"/>
            <w:tcBorders>
              <w:top w:val="nil"/>
              <w:left w:val="nil"/>
              <w:bottom w:val="nil"/>
              <w:right w:val="nil"/>
            </w:tcBorders>
            <w:vAlign w:val="bottom"/>
          </w:tcPr>
          <w:p w14:paraId="637992A2" w14:textId="77777777" w:rsidR="00E308DA" w:rsidRDefault="00E308DA" w:rsidP="00E308DA">
            <w:pPr>
              <w:spacing w:after="0" w:line="240" w:lineRule="auto"/>
              <w:jc w:val="center"/>
              <w:rPr>
                <w:rFonts w:cs="Arial"/>
                <w:sz w:val="20"/>
              </w:rPr>
            </w:pPr>
            <w:r>
              <w:rPr>
                <w:rFonts w:cs="Arial"/>
                <w:sz w:val="20"/>
              </w:rPr>
              <w:t>935 (2.7%)</w:t>
            </w:r>
          </w:p>
        </w:tc>
        <w:tc>
          <w:tcPr>
            <w:tcW w:w="1083" w:type="dxa"/>
            <w:vMerge/>
            <w:tcBorders>
              <w:top w:val="nil"/>
              <w:left w:val="nil"/>
              <w:bottom w:val="nil"/>
              <w:right w:val="nil"/>
            </w:tcBorders>
            <w:vAlign w:val="center"/>
          </w:tcPr>
          <w:p w14:paraId="49FB449E" w14:textId="77777777" w:rsidR="00E308DA" w:rsidRDefault="00E308DA" w:rsidP="00E308DA">
            <w:pPr>
              <w:spacing w:after="0" w:line="240" w:lineRule="auto"/>
              <w:rPr>
                <w:rFonts w:cs="Arial"/>
                <w:sz w:val="20"/>
              </w:rPr>
            </w:pPr>
          </w:p>
        </w:tc>
      </w:tr>
      <w:tr w:rsidR="00E308DA" w14:paraId="0C0D98D9" w14:textId="77777777" w:rsidTr="0070364F">
        <w:tc>
          <w:tcPr>
            <w:tcW w:w="3865" w:type="dxa"/>
            <w:tcBorders>
              <w:top w:val="nil"/>
              <w:left w:val="nil"/>
              <w:bottom w:val="nil"/>
              <w:right w:val="nil"/>
            </w:tcBorders>
            <w:vAlign w:val="center"/>
          </w:tcPr>
          <w:p w14:paraId="34C7DD04" w14:textId="77777777" w:rsidR="00E308DA" w:rsidRDefault="00E308DA" w:rsidP="00E308DA">
            <w:pPr>
              <w:spacing w:after="0" w:line="240" w:lineRule="auto"/>
              <w:ind w:firstLineChars="100" w:firstLine="200"/>
              <w:rPr>
                <w:rFonts w:cs="Arial"/>
                <w:sz w:val="20"/>
              </w:rPr>
            </w:pPr>
            <w:r>
              <w:rPr>
                <w:rFonts w:cs="Arial"/>
                <w:sz w:val="20"/>
              </w:rPr>
              <w:t>Asian</w:t>
            </w:r>
          </w:p>
        </w:tc>
        <w:tc>
          <w:tcPr>
            <w:tcW w:w="1483" w:type="dxa"/>
            <w:tcBorders>
              <w:top w:val="nil"/>
              <w:left w:val="nil"/>
              <w:bottom w:val="nil"/>
              <w:right w:val="nil"/>
            </w:tcBorders>
            <w:vAlign w:val="bottom"/>
          </w:tcPr>
          <w:p w14:paraId="7276BF36" w14:textId="77777777" w:rsidR="00E308DA" w:rsidRDefault="00E308DA" w:rsidP="00E308DA">
            <w:pPr>
              <w:spacing w:after="0" w:line="240" w:lineRule="auto"/>
              <w:jc w:val="center"/>
              <w:rPr>
                <w:rFonts w:cs="Arial"/>
                <w:sz w:val="20"/>
              </w:rPr>
            </w:pPr>
            <w:r>
              <w:rPr>
                <w:rFonts w:cs="Arial"/>
                <w:sz w:val="20"/>
              </w:rPr>
              <w:t>150 (2.1%)</w:t>
            </w:r>
          </w:p>
        </w:tc>
        <w:tc>
          <w:tcPr>
            <w:tcW w:w="1707" w:type="dxa"/>
            <w:tcBorders>
              <w:top w:val="nil"/>
              <w:left w:val="nil"/>
              <w:bottom w:val="nil"/>
              <w:right w:val="nil"/>
            </w:tcBorders>
            <w:vAlign w:val="bottom"/>
          </w:tcPr>
          <w:p w14:paraId="509275E0" w14:textId="77777777" w:rsidR="00E308DA" w:rsidRDefault="00E308DA" w:rsidP="00E308DA">
            <w:pPr>
              <w:spacing w:after="0" w:line="240" w:lineRule="auto"/>
              <w:jc w:val="center"/>
              <w:rPr>
                <w:rFonts w:cs="Arial"/>
                <w:sz w:val="20"/>
              </w:rPr>
            </w:pPr>
            <w:r>
              <w:rPr>
                <w:rFonts w:cs="Arial"/>
                <w:sz w:val="20"/>
              </w:rPr>
              <w:t>567 (1.6%)</w:t>
            </w:r>
          </w:p>
        </w:tc>
        <w:tc>
          <w:tcPr>
            <w:tcW w:w="1083" w:type="dxa"/>
            <w:vMerge/>
            <w:tcBorders>
              <w:top w:val="nil"/>
              <w:left w:val="nil"/>
              <w:bottom w:val="nil"/>
              <w:right w:val="nil"/>
            </w:tcBorders>
            <w:vAlign w:val="center"/>
          </w:tcPr>
          <w:p w14:paraId="1DC0E493" w14:textId="77777777" w:rsidR="00E308DA" w:rsidRDefault="00E308DA" w:rsidP="00E308DA">
            <w:pPr>
              <w:spacing w:after="0" w:line="240" w:lineRule="auto"/>
              <w:rPr>
                <w:rFonts w:cs="Arial"/>
                <w:sz w:val="20"/>
              </w:rPr>
            </w:pPr>
          </w:p>
        </w:tc>
      </w:tr>
      <w:tr w:rsidR="00E308DA" w14:paraId="579E7602" w14:textId="77777777" w:rsidTr="0070364F">
        <w:tc>
          <w:tcPr>
            <w:tcW w:w="3865" w:type="dxa"/>
            <w:tcBorders>
              <w:top w:val="nil"/>
              <w:left w:val="nil"/>
              <w:bottom w:val="nil"/>
              <w:right w:val="nil"/>
            </w:tcBorders>
            <w:vAlign w:val="bottom"/>
          </w:tcPr>
          <w:p w14:paraId="00AD6E37" w14:textId="77777777" w:rsidR="00E308DA" w:rsidRDefault="00E308DA" w:rsidP="00E308DA">
            <w:pPr>
              <w:spacing w:after="0" w:line="240" w:lineRule="auto"/>
              <w:ind w:firstLineChars="100" w:firstLine="200"/>
              <w:rPr>
                <w:rFonts w:cs="Arial"/>
                <w:sz w:val="20"/>
              </w:rPr>
            </w:pPr>
            <w:r>
              <w:rPr>
                <w:rFonts w:cs="Arial"/>
                <w:sz w:val="20"/>
              </w:rPr>
              <w:t>Other/Unknown</w:t>
            </w:r>
          </w:p>
        </w:tc>
        <w:tc>
          <w:tcPr>
            <w:tcW w:w="1483" w:type="dxa"/>
            <w:tcBorders>
              <w:top w:val="nil"/>
              <w:left w:val="nil"/>
              <w:bottom w:val="nil"/>
              <w:right w:val="nil"/>
            </w:tcBorders>
            <w:vAlign w:val="bottom"/>
          </w:tcPr>
          <w:p w14:paraId="1869DBFF" w14:textId="77777777" w:rsidR="00E308DA" w:rsidRDefault="00E308DA" w:rsidP="00E308DA">
            <w:pPr>
              <w:spacing w:after="0" w:line="240" w:lineRule="auto"/>
              <w:jc w:val="center"/>
              <w:rPr>
                <w:rFonts w:cs="Arial"/>
                <w:sz w:val="20"/>
              </w:rPr>
            </w:pPr>
            <w:r>
              <w:rPr>
                <w:rFonts w:cs="Arial"/>
                <w:sz w:val="20"/>
              </w:rPr>
              <w:t>104 (1.5%)</w:t>
            </w:r>
          </w:p>
        </w:tc>
        <w:tc>
          <w:tcPr>
            <w:tcW w:w="1707" w:type="dxa"/>
            <w:tcBorders>
              <w:top w:val="nil"/>
              <w:left w:val="nil"/>
              <w:bottom w:val="nil"/>
              <w:right w:val="nil"/>
            </w:tcBorders>
            <w:vAlign w:val="bottom"/>
          </w:tcPr>
          <w:p w14:paraId="302978F7" w14:textId="77777777" w:rsidR="00E308DA" w:rsidRDefault="00E308DA" w:rsidP="00E308DA">
            <w:pPr>
              <w:spacing w:after="0" w:line="240" w:lineRule="auto"/>
              <w:jc w:val="center"/>
              <w:rPr>
                <w:rFonts w:cs="Arial"/>
                <w:sz w:val="20"/>
              </w:rPr>
            </w:pPr>
            <w:r>
              <w:rPr>
                <w:rFonts w:cs="Arial"/>
                <w:sz w:val="20"/>
              </w:rPr>
              <w:t>585 (1.7%)</w:t>
            </w:r>
          </w:p>
        </w:tc>
        <w:tc>
          <w:tcPr>
            <w:tcW w:w="1083" w:type="dxa"/>
            <w:vMerge/>
            <w:tcBorders>
              <w:top w:val="nil"/>
              <w:left w:val="nil"/>
              <w:bottom w:val="nil"/>
              <w:right w:val="nil"/>
            </w:tcBorders>
            <w:vAlign w:val="center"/>
          </w:tcPr>
          <w:p w14:paraId="42126AF8" w14:textId="77777777" w:rsidR="00E308DA" w:rsidRDefault="00E308DA" w:rsidP="00E308DA">
            <w:pPr>
              <w:spacing w:after="0" w:line="240" w:lineRule="auto"/>
              <w:rPr>
                <w:rFonts w:cs="Arial"/>
                <w:sz w:val="20"/>
              </w:rPr>
            </w:pPr>
          </w:p>
        </w:tc>
      </w:tr>
      <w:tr w:rsidR="00E308DA" w14:paraId="759FC338" w14:textId="77777777" w:rsidTr="0070364F">
        <w:tc>
          <w:tcPr>
            <w:tcW w:w="3865" w:type="dxa"/>
            <w:tcBorders>
              <w:top w:val="nil"/>
              <w:left w:val="nil"/>
              <w:bottom w:val="nil"/>
              <w:right w:val="nil"/>
            </w:tcBorders>
            <w:vAlign w:val="bottom"/>
          </w:tcPr>
          <w:p w14:paraId="75221F03" w14:textId="4A5CC1FB" w:rsidR="00E308DA" w:rsidRDefault="00E308DA" w:rsidP="00E308DA">
            <w:pPr>
              <w:spacing w:after="0" w:line="240" w:lineRule="auto"/>
              <w:rPr>
                <w:rFonts w:cs="Arial"/>
                <w:sz w:val="20"/>
              </w:rPr>
            </w:pPr>
            <w:r>
              <w:rPr>
                <w:rFonts w:cs="Arial"/>
                <w:sz w:val="20"/>
              </w:rPr>
              <w:t>Hospice Admission Year</w:t>
            </w:r>
            <w:r w:rsidR="00FE531B">
              <w:rPr>
                <w:rFonts w:cs="Arial"/>
                <w:sz w:val="20"/>
                <w:vertAlign w:val="superscript"/>
              </w:rPr>
              <w:t>a</w:t>
            </w:r>
          </w:p>
        </w:tc>
        <w:tc>
          <w:tcPr>
            <w:tcW w:w="1483" w:type="dxa"/>
            <w:tcBorders>
              <w:top w:val="nil"/>
              <w:left w:val="nil"/>
              <w:bottom w:val="nil"/>
              <w:right w:val="nil"/>
            </w:tcBorders>
            <w:vAlign w:val="bottom"/>
          </w:tcPr>
          <w:p w14:paraId="390CB2B2" w14:textId="77777777" w:rsidR="00E308DA" w:rsidRDefault="00E308DA" w:rsidP="00E308DA">
            <w:pPr>
              <w:spacing w:after="0" w:line="240" w:lineRule="auto"/>
              <w:rPr>
                <w:rFonts w:cs="Arial"/>
                <w:sz w:val="20"/>
              </w:rPr>
            </w:pPr>
          </w:p>
        </w:tc>
        <w:tc>
          <w:tcPr>
            <w:tcW w:w="1707" w:type="dxa"/>
            <w:tcBorders>
              <w:top w:val="nil"/>
              <w:left w:val="nil"/>
              <w:bottom w:val="nil"/>
              <w:right w:val="nil"/>
            </w:tcBorders>
            <w:vAlign w:val="bottom"/>
          </w:tcPr>
          <w:p w14:paraId="37303334" w14:textId="77777777" w:rsidR="00E308DA" w:rsidRDefault="00E308DA" w:rsidP="00E308DA">
            <w:pPr>
              <w:spacing w:after="0" w:line="240" w:lineRule="auto"/>
              <w:jc w:val="center"/>
              <w:rPr>
                <w:sz w:val="20"/>
              </w:rPr>
            </w:pPr>
          </w:p>
        </w:tc>
        <w:tc>
          <w:tcPr>
            <w:tcW w:w="1083" w:type="dxa"/>
            <w:tcBorders>
              <w:top w:val="nil"/>
              <w:left w:val="nil"/>
              <w:bottom w:val="nil"/>
              <w:right w:val="nil"/>
            </w:tcBorders>
            <w:vAlign w:val="center"/>
          </w:tcPr>
          <w:p w14:paraId="4F2911E1" w14:textId="77777777" w:rsidR="00E308DA" w:rsidRDefault="00E308DA" w:rsidP="00E308DA">
            <w:pPr>
              <w:spacing w:after="0" w:line="240" w:lineRule="auto"/>
              <w:jc w:val="center"/>
              <w:rPr>
                <w:sz w:val="20"/>
              </w:rPr>
            </w:pPr>
          </w:p>
        </w:tc>
      </w:tr>
      <w:tr w:rsidR="00E308DA" w14:paraId="37904838" w14:textId="77777777" w:rsidTr="0070364F">
        <w:tc>
          <w:tcPr>
            <w:tcW w:w="3865" w:type="dxa"/>
            <w:tcBorders>
              <w:top w:val="nil"/>
              <w:left w:val="nil"/>
              <w:bottom w:val="nil"/>
              <w:right w:val="nil"/>
            </w:tcBorders>
            <w:vAlign w:val="bottom"/>
          </w:tcPr>
          <w:p w14:paraId="0D113D6C" w14:textId="77777777" w:rsidR="00E308DA" w:rsidRDefault="00E308DA" w:rsidP="00E308DA">
            <w:pPr>
              <w:spacing w:after="0" w:line="240" w:lineRule="auto"/>
              <w:ind w:firstLineChars="100" w:firstLine="200"/>
              <w:rPr>
                <w:rFonts w:cs="Arial"/>
                <w:sz w:val="20"/>
              </w:rPr>
            </w:pPr>
            <w:r>
              <w:rPr>
                <w:rFonts w:cs="Arial"/>
                <w:sz w:val="20"/>
              </w:rPr>
              <w:t>2008</w:t>
            </w:r>
          </w:p>
        </w:tc>
        <w:tc>
          <w:tcPr>
            <w:tcW w:w="1483" w:type="dxa"/>
            <w:tcBorders>
              <w:top w:val="nil"/>
              <w:left w:val="nil"/>
              <w:bottom w:val="nil"/>
              <w:right w:val="nil"/>
            </w:tcBorders>
            <w:vAlign w:val="bottom"/>
          </w:tcPr>
          <w:p w14:paraId="696E184C" w14:textId="77777777" w:rsidR="00E308DA" w:rsidRDefault="00E308DA" w:rsidP="00E308DA">
            <w:pPr>
              <w:spacing w:after="0" w:line="240" w:lineRule="auto"/>
              <w:jc w:val="center"/>
              <w:rPr>
                <w:rFonts w:cs="Arial"/>
                <w:sz w:val="20"/>
              </w:rPr>
            </w:pPr>
            <w:r>
              <w:rPr>
                <w:rFonts w:cs="Arial"/>
                <w:sz w:val="20"/>
              </w:rPr>
              <w:t>1264 (17.9%)</w:t>
            </w:r>
          </w:p>
        </w:tc>
        <w:tc>
          <w:tcPr>
            <w:tcW w:w="1707" w:type="dxa"/>
            <w:tcBorders>
              <w:top w:val="nil"/>
              <w:left w:val="nil"/>
              <w:bottom w:val="nil"/>
              <w:right w:val="nil"/>
            </w:tcBorders>
            <w:vAlign w:val="bottom"/>
          </w:tcPr>
          <w:p w14:paraId="3FA70110" w14:textId="77777777" w:rsidR="00E308DA" w:rsidRDefault="00E308DA" w:rsidP="00E308DA">
            <w:pPr>
              <w:spacing w:after="0" w:line="240" w:lineRule="auto"/>
              <w:jc w:val="center"/>
              <w:rPr>
                <w:rFonts w:cs="Arial"/>
                <w:sz w:val="20"/>
              </w:rPr>
            </w:pPr>
            <w:r>
              <w:rPr>
                <w:rFonts w:cs="Arial"/>
                <w:sz w:val="20"/>
              </w:rPr>
              <w:t>6280 (17.8%)</w:t>
            </w:r>
          </w:p>
        </w:tc>
        <w:tc>
          <w:tcPr>
            <w:tcW w:w="1083" w:type="dxa"/>
            <w:vMerge w:val="restart"/>
            <w:tcBorders>
              <w:top w:val="nil"/>
              <w:left w:val="nil"/>
              <w:bottom w:val="nil"/>
              <w:right w:val="nil"/>
            </w:tcBorders>
            <w:vAlign w:val="center"/>
          </w:tcPr>
          <w:p w14:paraId="04E09A68" w14:textId="77777777" w:rsidR="00E308DA" w:rsidRDefault="00E308DA" w:rsidP="00E308DA">
            <w:pPr>
              <w:spacing w:after="0" w:line="240" w:lineRule="auto"/>
              <w:jc w:val="center"/>
              <w:rPr>
                <w:rFonts w:cs="Arial"/>
                <w:sz w:val="20"/>
              </w:rPr>
            </w:pPr>
            <w:r>
              <w:rPr>
                <w:rFonts w:cs="Arial"/>
                <w:sz w:val="20"/>
              </w:rPr>
              <w:t>1.00</w:t>
            </w:r>
          </w:p>
        </w:tc>
      </w:tr>
      <w:tr w:rsidR="00E308DA" w14:paraId="2F615FCB" w14:textId="77777777" w:rsidTr="0070364F">
        <w:tc>
          <w:tcPr>
            <w:tcW w:w="3865" w:type="dxa"/>
            <w:tcBorders>
              <w:top w:val="nil"/>
              <w:left w:val="nil"/>
              <w:bottom w:val="nil"/>
              <w:right w:val="nil"/>
            </w:tcBorders>
            <w:vAlign w:val="bottom"/>
          </w:tcPr>
          <w:p w14:paraId="352F6E47" w14:textId="77777777" w:rsidR="00E308DA" w:rsidRDefault="00E308DA" w:rsidP="00E308DA">
            <w:pPr>
              <w:spacing w:after="0" w:line="240" w:lineRule="auto"/>
              <w:ind w:firstLineChars="100" w:firstLine="200"/>
              <w:rPr>
                <w:rFonts w:cs="Arial"/>
                <w:sz w:val="20"/>
              </w:rPr>
            </w:pPr>
            <w:r>
              <w:rPr>
                <w:rFonts w:cs="Arial"/>
                <w:sz w:val="20"/>
              </w:rPr>
              <w:t>2009</w:t>
            </w:r>
          </w:p>
        </w:tc>
        <w:tc>
          <w:tcPr>
            <w:tcW w:w="1483" w:type="dxa"/>
            <w:tcBorders>
              <w:top w:val="nil"/>
              <w:left w:val="nil"/>
              <w:bottom w:val="nil"/>
              <w:right w:val="nil"/>
            </w:tcBorders>
            <w:vAlign w:val="bottom"/>
          </w:tcPr>
          <w:p w14:paraId="77A65CC7" w14:textId="77777777" w:rsidR="00E308DA" w:rsidRDefault="00E308DA" w:rsidP="00E308DA">
            <w:pPr>
              <w:spacing w:after="0" w:line="240" w:lineRule="auto"/>
              <w:jc w:val="center"/>
              <w:rPr>
                <w:rFonts w:cs="Arial"/>
                <w:sz w:val="20"/>
              </w:rPr>
            </w:pPr>
            <w:r>
              <w:rPr>
                <w:rFonts w:cs="Arial"/>
                <w:sz w:val="20"/>
              </w:rPr>
              <w:t>1370 (19.4%)</w:t>
            </w:r>
          </w:p>
        </w:tc>
        <w:tc>
          <w:tcPr>
            <w:tcW w:w="1707" w:type="dxa"/>
            <w:tcBorders>
              <w:top w:val="nil"/>
              <w:left w:val="nil"/>
              <w:bottom w:val="nil"/>
              <w:right w:val="nil"/>
            </w:tcBorders>
            <w:vAlign w:val="bottom"/>
          </w:tcPr>
          <w:p w14:paraId="444226F8" w14:textId="77777777" w:rsidR="00E308DA" w:rsidRDefault="00E308DA" w:rsidP="00E308DA">
            <w:pPr>
              <w:spacing w:after="0" w:line="240" w:lineRule="auto"/>
              <w:jc w:val="center"/>
              <w:rPr>
                <w:rFonts w:cs="Arial"/>
                <w:sz w:val="20"/>
              </w:rPr>
            </w:pPr>
            <w:r>
              <w:rPr>
                <w:rFonts w:cs="Arial"/>
                <w:sz w:val="20"/>
              </w:rPr>
              <w:t>6824 (19.4%)</w:t>
            </w:r>
          </w:p>
        </w:tc>
        <w:tc>
          <w:tcPr>
            <w:tcW w:w="1083" w:type="dxa"/>
            <w:vMerge/>
            <w:tcBorders>
              <w:top w:val="nil"/>
              <w:left w:val="nil"/>
              <w:bottom w:val="nil"/>
              <w:right w:val="nil"/>
            </w:tcBorders>
            <w:vAlign w:val="center"/>
          </w:tcPr>
          <w:p w14:paraId="38DDC87E" w14:textId="77777777" w:rsidR="00E308DA" w:rsidRDefault="00E308DA" w:rsidP="00E308DA">
            <w:pPr>
              <w:spacing w:after="0" w:line="240" w:lineRule="auto"/>
              <w:rPr>
                <w:rFonts w:cs="Arial"/>
                <w:sz w:val="20"/>
              </w:rPr>
            </w:pPr>
          </w:p>
        </w:tc>
      </w:tr>
      <w:tr w:rsidR="00E308DA" w14:paraId="6503251F" w14:textId="77777777" w:rsidTr="0070364F">
        <w:tc>
          <w:tcPr>
            <w:tcW w:w="3865" w:type="dxa"/>
            <w:tcBorders>
              <w:top w:val="nil"/>
              <w:left w:val="nil"/>
              <w:bottom w:val="nil"/>
              <w:right w:val="nil"/>
            </w:tcBorders>
            <w:vAlign w:val="bottom"/>
          </w:tcPr>
          <w:p w14:paraId="45A4B64D" w14:textId="77777777" w:rsidR="00E308DA" w:rsidRDefault="00E308DA" w:rsidP="00E308DA">
            <w:pPr>
              <w:spacing w:after="0" w:line="240" w:lineRule="auto"/>
              <w:ind w:firstLineChars="100" w:firstLine="200"/>
              <w:rPr>
                <w:rFonts w:cs="Arial"/>
                <w:sz w:val="20"/>
              </w:rPr>
            </w:pPr>
            <w:r>
              <w:rPr>
                <w:rFonts w:cs="Arial"/>
                <w:sz w:val="20"/>
              </w:rPr>
              <w:t>2010</w:t>
            </w:r>
          </w:p>
        </w:tc>
        <w:tc>
          <w:tcPr>
            <w:tcW w:w="1483" w:type="dxa"/>
            <w:tcBorders>
              <w:top w:val="nil"/>
              <w:left w:val="nil"/>
              <w:bottom w:val="nil"/>
              <w:right w:val="nil"/>
            </w:tcBorders>
            <w:vAlign w:val="bottom"/>
          </w:tcPr>
          <w:p w14:paraId="5AF293B8" w14:textId="77777777" w:rsidR="00E308DA" w:rsidRDefault="00E308DA" w:rsidP="00E308DA">
            <w:pPr>
              <w:spacing w:after="0" w:line="240" w:lineRule="auto"/>
              <w:jc w:val="center"/>
              <w:rPr>
                <w:rFonts w:cs="Arial"/>
                <w:sz w:val="20"/>
              </w:rPr>
            </w:pPr>
            <w:r>
              <w:rPr>
                <w:rFonts w:cs="Arial"/>
                <w:sz w:val="20"/>
              </w:rPr>
              <w:t>1429 (20.2%)</w:t>
            </w:r>
          </w:p>
        </w:tc>
        <w:tc>
          <w:tcPr>
            <w:tcW w:w="1707" w:type="dxa"/>
            <w:tcBorders>
              <w:top w:val="nil"/>
              <w:left w:val="nil"/>
              <w:bottom w:val="nil"/>
              <w:right w:val="nil"/>
            </w:tcBorders>
            <w:vAlign w:val="bottom"/>
          </w:tcPr>
          <w:p w14:paraId="2719DB54" w14:textId="77777777" w:rsidR="00E308DA" w:rsidRDefault="00E308DA" w:rsidP="00E308DA">
            <w:pPr>
              <w:spacing w:after="0" w:line="240" w:lineRule="auto"/>
              <w:jc w:val="center"/>
              <w:rPr>
                <w:rFonts w:cs="Arial"/>
                <w:sz w:val="20"/>
              </w:rPr>
            </w:pPr>
            <w:r>
              <w:rPr>
                <w:rFonts w:cs="Arial"/>
                <w:sz w:val="20"/>
              </w:rPr>
              <w:t>7128 (20.3%)</w:t>
            </w:r>
          </w:p>
        </w:tc>
        <w:tc>
          <w:tcPr>
            <w:tcW w:w="1083" w:type="dxa"/>
            <w:vMerge/>
            <w:tcBorders>
              <w:top w:val="nil"/>
              <w:left w:val="nil"/>
              <w:bottom w:val="nil"/>
              <w:right w:val="nil"/>
            </w:tcBorders>
            <w:vAlign w:val="center"/>
          </w:tcPr>
          <w:p w14:paraId="25FFE50F" w14:textId="77777777" w:rsidR="00E308DA" w:rsidRDefault="00E308DA" w:rsidP="00E308DA">
            <w:pPr>
              <w:spacing w:after="0" w:line="240" w:lineRule="auto"/>
              <w:rPr>
                <w:rFonts w:cs="Arial"/>
                <w:sz w:val="20"/>
              </w:rPr>
            </w:pPr>
          </w:p>
        </w:tc>
      </w:tr>
      <w:tr w:rsidR="00E308DA" w14:paraId="4E2071EB" w14:textId="77777777" w:rsidTr="0070364F">
        <w:tc>
          <w:tcPr>
            <w:tcW w:w="3865" w:type="dxa"/>
            <w:tcBorders>
              <w:top w:val="nil"/>
              <w:left w:val="nil"/>
              <w:bottom w:val="nil"/>
              <w:right w:val="nil"/>
            </w:tcBorders>
            <w:vAlign w:val="bottom"/>
          </w:tcPr>
          <w:p w14:paraId="44B40AB3" w14:textId="77777777" w:rsidR="00E308DA" w:rsidRDefault="00E308DA" w:rsidP="00E308DA">
            <w:pPr>
              <w:spacing w:after="0" w:line="240" w:lineRule="auto"/>
              <w:ind w:firstLineChars="100" w:firstLine="200"/>
              <w:rPr>
                <w:rFonts w:cs="Arial"/>
                <w:sz w:val="20"/>
              </w:rPr>
            </w:pPr>
            <w:r>
              <w:rPr>
                <w:rFonts w:cs="Arial"/>
                <w:sz w:val="20"/>
              </w:rPr>
              <w:t>2011</w:t>
            </w:r>
          </w:p>
        </w:tc>
        <w:tc>
          <w:tcPr>
            <w:tcW w:w="1483" w:type="dxa"/>
            <w:tcBorders>
              <w:top w:val="nil"/>
              <w:left w:val="nil"/>
              <w:bottom w:val="nil"/>
              <w:right w:val="nil"/>
            </w:tcBorders>
            <w:vAlign w:val="bottom"/>
          </w:tcPr>
          <w:p w14:paraId="4A0B5935" w14:textId="77777777" w:rsidR="00E308DA" w:rsidRDefault="00E308DA" w:rsidP="00E308DA">
            <w:pPr>
              <w:spacing w:after="0" w:line="240" w:lineRule="auto"/>
              <w:jc w:val="center"/>
              <w:rPr>
                <w:rFonts w:cs="Arial"/>
                <w:sz w:val="20"/>
              </w:rPr>
            </w:pPr>
            <w:r>
              <w:rPr>
                <w:rFonts w:cs="Arial"/>
                <w:sz w:val="20"/>
              </w:rPr>
              <w:t>1432 (20.3%)</w:t>
            </w:r>
          </w:p>
        </w:tc>
        <w:tc>
          <w:tcPr>
            <w:tcW w:w="1707" w:type="dxa"/>
            <w:tcBorders>
              <w:top w:val="nil"/>
              <w:left w:val="nil"/>
              <w:bottom w:val="nil"/>
              <w:right w:val="nil"/>
            </w:tcBorders>
            <w:vAlign w:val="bottom"/>
          </w:tcPr>
          <w:p w14:paraId="306A1A79" w14:textId="77777777" w:rsidR="00E308DA" w:rsidRDefault="00E308DA" w:rsidP="00E308DA">
            <w:pPr>
              <w:spacing w:after="0" w:line="240" w:lineRule="auto"/>
              <w:jc w:val="center"/>
              <w:rPr>
                <w:rFonts w:cs="Arial"/>
                <w:sz w:val="20"/>
              </w:rPr>
            </w:pPr>
            <w:r>
              <w:rPr>
                <w:rFonts w:cs="Arial"/>
                <w:sz w:val="20"/>
              </w:rPr>
              <w:t>7142 (20.3%)</w:t>
            </w:r>
          </w:p>
        </w:tc>
        <w:tc>
          <w:tcPr>
            <w:tcW w:w="1083" w:type="dxa"/>
            <w:vMerge/>
            <w:tcBorders>
              <w:top w:val="nil"/>
              <w:left w:val="nil"/>
              <w:bottom w:val="nil"/>
              <w:right w:val="nil"/>
            </w:tcBorders>
            <w:vAlign w:val="center"/>
          </w:tcPr>
          <w:p w14:paraId="71867416" w14:textId="77777777" w:rsidR="00E308DA" w:rsidRDefault="00E308DA" w:rsidP="00E308DA">
            <w:pPr>
              <w:spacing w:after="0" w:line="240" w:lineRule="auto"/>
              <w:rPr>
                <w:rFonts w:cs="Arial"/>
                <w:sz w:val="20"/>
              </w:rPr>
            </w:pPr>
          </w:p>
        </w:tc>
      </w:tr>
      <w:tr w:rsidR="00E308DA" w14:paraId="06363CE2" w14:textId="77777777" w:rsidTr="0070364F">
        <w:tc>
          <w:tcPr>
            <w:tcW w:w="3865" w:type="dxa"/>
            <w:tcBorders>
              <w:top w:val="nil"/>
              <w:left w:val="nil"/>
              <w:bottom w:val="nil"/>
              <w:right w:val="nil"/>
            </w:tcBorders>
            <w:vAlign w:val="bottom"/>
          </w:tcPr>
          <w:p w14:paraId="4DBF1D03" w14:textId="77777777" w:rsidR="00E308DA" w:rsidRDefault="00E308DA" w:rsidP="00E308DA">
            <w:pPr>
              <w:spacing w:after="0" w:line="240" w:lineRule="auto"/>
              <w:ind w:firstLineChars="100" w:firstLine="200"/>
              <w:rPr>
                <w:rFonts w:cs="Arial"/>
                <w:sz w:val="20"/>
              </w:rPr>
            </w:pPr>
            <w:r>
              <w:rPr>
                <w:rFonts w:cs="Arial"/>
                <w:sz w:val="20"/>
              </w:rPr>
              <w:t>2012</w:t>
            </w:r>
          </w:p>
        </w:tc>
        <w:tc>
          <w:tcPr>
            <w:tcW w:w="1483" w:type="dxa"/>
            <w:tcBorders>
              <w:top w:val="nil"/>
              <w:left w:val="nil"/>
              <w:bottom w:val="nil"/>
              <w:right w:val="nil"/>
            </w:tcBorders>
            <w:vAlign w:val="bottom"/>
          </w:tcPr>
          <w:p w14:paraId="37C8D15C" w14:textId="77777777" w:rsidR="00E308DA" w:rsidRDefault="00E308DA" w:rsidP="00E308DA">
            <w:pPr>
              <w:spacing w:after="0" w:line="240" w:lineRule="auto"/>
              <w:jc w:val="center"/>
              <w:rPr>
                <w:rFonts w:cs="Arial"/>
                <w:sz w:val="20"/>
              </w:rPr>
            </w:pPr>
            <w:r>
              <w:rPr>
                <w:rFonts w:cs="Arial"/>
                <w:sz w:val="20"/>
              </w:rPr>
              <w:t>1026 (14.5%)</w:t>
            </w:r>
          </w:p>
        </w:tc>
        <w:tc>
          <w:tcPr>
            <w:tcW w:w="1707" w:type="dxa"/>
            <w:tcBorders>
              <w:top w:val="nil"/>
              <w:left w:val="nil"/>
              <w:bottom w:val="nil"/>
              <w:right w:val="nil"/>
            </w:tcBorders>
            <w:vAlign w:val="bottom"/>
          </w:tcPr>
          <w:p w14:paraId="2E148506" w14:textId="77777777" w:rsidR="00E308DA" w:rsidRDefault="00E308DA" w:rsidP="00E308DA">
            <w:pPr>
              <w:spacing w:after="0" w:line="240" w:lineRule="auto"/>
              <w:jc w:val="center"/>
              <w:rPr>
                <w:rFonts w:cs="Arial"/>
                <w:sz w:val="20"/>
              </w:rPr>
            </w:pPr>
            <w:r>
              <w:rPr>
                <w:rFonts w:cs="Arial"/>
                <w:sz w:val="20"/>
              </w:rPr>
              <w:t>5109 (14.5%)</w:t>
            </w:r>
          </w:p>
        </w:tc>
        <w:tc>
          <w:tcPr>
            <w:tcW w:w="1083" w:type="dxa"/>
            <w:vMerge/>
            <w:tcBorders>
              <w:top w:val="nil"/>
              <w:left w:val="nil"/>
              <w:bottom w:val="nil"/>
              <w:right w:val="nil"/>
            </w:tcBorders>
            <w:vAlign w:val="center"/>
          </w:tcPr>
          <w:p w14:paraId="643FFF69" w14:textId="77777777" w:rsidR="00E308DA" w:rsidRDefault="00E308DA" w:rsidP="00E308DA">
            <w:pPr>
              <w:spacing w:after="0" w:line="240" w:lineRule="auto"/>
              <w:rPr>
                <w:rFonts w:cs="Arial"/>
                <w:sz w:val="20"/>
              </w:rPr>
            </w:pPr>
          </w:p>
        </w:tc>
      </w:tr>
      <w:tr w:rsidR="00E308DA" w14:paraId="5B755D6F" w14:textId="77777777" w:rsidTr="0070364F">
        <w:tc>
          <w:tcPr>
            <w:tcW w:w="3865" w:type="dxa"/>
            <w:tcBorders>
              <w:top w:val="nil"/>
              <w:left w:val="nil"/>
              <w:bottom w:val="nil"/>
              <w:right w:val="nil"/>
            </w:tcBorders>
            <w:vAlign w:val="bottom"/>
          </w:tcPr>
          <w:p w14:paraId="69CA667E" w14:textId="77777777" w:rsidR="00E308DA" w:rsidRDefault="00E308DA" w:rsidP="00E308DA">
            <w:pPr>
              <w:spacing w:after="0" w:line="240" w:lineRule="auto"/>
              <w:ind w:firstLineChars="100" w:firstLine="200"/>
              <w:rPr>
                <w:rFonts w:cs="Arial"/>
                <w:sz w:val="20"/>
              </w:rPr>
            </w:pPr>
            <w:r>
              <w:rPr>
                <w:rFonts w:cs="Arial"/>
                <w:sz w:val="20"/>
              </w:rPr>
              <w:t>2013</w:t>
            </w:r>
          </w:p>
        </w:tc>
        <w:tc>
          <w:tcPr>
            <w:tcW w:w="1483" w:type="dxa"/>
            <w:tcBorders>
              <w:top w:val="nil"/>
              <w:left w:val="nil"/>
              <w:bottom w:val="nil"/>
              <w:right w:val="nil"/>
            </w:tcBorders>
            <w:vAlign w:val="bottom"/>
          </w:tcPr>
          <w:p w14:paraId="14CAD90D" w14:textId="77777777" w:rsidR="00E308DA" w:rsidRDefault="00E308DA" w:rsidP="00E308DA">
            <w:pPr>
              <w:spacing w:after="0" w:line="240" w:lineRule="auto"/>
              <w:jc w:val="center"/>
              <w:rPr>
                <w:rFonts w:cs="Arial"/>
                <w:sz w:val="20"/>
              </w:rPr>
            </w:pPr>
            <w:r>
              <w:rPr>
                <w:rFonts w:cs="Arial"/>
                <w:sz w:val="20"/>
              </w:rPr>
              <w:t>543 (7.7%)</w:t>
            </w:r>
          </w:p>
        </w:tc>
        <w:tc>
          <w:tcPr>
            <w:tcW w:w="1707" w:type="dxa"/>
            <w:tcBorders>
              <w:top w:val="nil"/>
              <w:left w:val="nil"/>
              <w:bottom w:val="nil"/>
              <w:right w:val="nil"/>
            </w:tcBorders>
            <w:vAlign w:val="bottom"/>
          </w:tcPr>
          <w:p w14:paraId="44F58311" w14:textId="77777777" w:rsidR="00E308DA" w:rsidRDefault="00E308DA" w:rsidP="00E308DA">
            <w:pPr>
              <w:spacing w:after="0" w:line="240" w:lineRule="auto"/>
              <w:jc w:val="center"/>
              <w:rPr>
                <w:rFonts w:cs="Arial"/>
                <w:sz w:val="20"/>
              </w:rPr>
            </w:pPr>
            <w:r>
              <w:rPr>
                <w:rFonts w:cs="Arial"/>
                <w:sz w:val="20"/>
              </w:rPr>
              <w:t>2706 (7.7%)</w:t>
            </w:r>
          </w:p>
        </w:tc>
        <w:tc>
          <w:tcPr>
            <w:tcW w:w="1083" w:type="dxa"/>
            <w:vMerge/>
            <w:tcBorders>
              <w:top w:val="nil"/>
              <w:left w:val="nil"/>
              <w:bottom w:val="nil"/>
              <w:right w:val="nil"/>
            </w:tcBorders>
            <w:vAlign w:val="center"/>
          </w:tcPr>
          <w:p w14:paraId="19B1F79F" w14:textId="77777777" w:rsidR="00E308DA" w:rsidRDefault="00E308DA" w:rsidP="00E308DA">
            <w:pPr>
              <w:spacing w:after="0" w:line="240" w:lineRule="auto"/>
              <w:rPr>
                <w:rFonts w:cs="Arial"/>
                <w:sz w:val="20"/>
              </w:rPr>
            </w:pPr>
          </w:p>
        </w:tc>
      </w:tr>
      <w:tr w:rsidR="00E308DA" w14:paraId="5105F284" w14:textId="77777777" w:rsidTr="0070364F">
        <w:tc>
          <w:tcPr>
            <w:tcW w:w="3865" w:type="dxa"/>
            <w:tcBorders>
              <w:top w:val="nil"/>
              <w:left w:val="nil"/>
              <w:bottom w:val="nil"/>
              <w:right w:val="nil"/>
            </w:tcBorders>
            <w:vAlign w:val="bottom"/>
          </w:tcPr>
          <w:p w14:paraId="408E60E3" w14:textId="77777777" w:rsidR="00E308DA" w:rsidRDefault="00E308DA" w:rsidP="00E308DA">
            <w:pPr>
              <w:spacing w:after="0" w:line="240" w:lineRule="auto"/>
              <w:rPr>
                <w:rFonts w:cs="Arial"/>
                <w:sz w:val="20"/>
              </w:rPr>
            </w:pPr>
            <w:r>
              <w:rPr>
                <w:rFonts w:cs="Arial"/>
                <w:sz w:val="20"/>
              </w:rPr>
              <w:t>Geographic Region</w:t>
            </w:r>
          </w:p>
        </w:tc>
        <w:tc>
          <w:tcPr>
            <w:tcW w:w="1483" w:type="dxa"/>
            <w:tcBorders>
              <w:top w:val="nil"/>
              <w:left w:val="nil"/>
              <w:bottom w:val="nil"/>
              <w:right w:val="nil"/>
            </w:tcBorders>
            <w:vAlign w:val="bottom"/>
          </w:tcPr>
          <w:p w14:paraId="3127BE15" w14:textId="77777777" w:rsidR="00E308DA" w:rsidRDefault="00E308DA" w:rsidP="00E308DA">
            <w:pPr>
              <w:spacing w:after="0" w:line="240" w:lineRule="auto"/>
              <w:rPr>
                <w:rFonts w:cs="Arial"/>
                <w:sz w:val="20"/>
              </w:rPr>
            </w:pPr>
          </w:p>
        </w:tc>
        <w:tc>
          <w:tcPr>
            <w:tcW w:w="1707" w:type="dxa"/>
            <w:tcBorders>
              <w:top w:val="nil"/>
              <w:left w:val="nil"/>
              <w:bottom w:val="nil"/>
              <w:right w:val="nil"/>
            </w:tcBorders>
            <w:vAlign w:val="bottom"/>
          </w:tcPr>
          <w:p w14:paraId="5CB3E865" w14:textId="77777777" w:rsidR="00E308DA" w:rsidRDefault="00E308DA" w:rsidP="00E308DA">
            <w:pPr>
              <w:spacing w:after="0" w:line="240" w:lineRule="auto"/>
              <w:jc w:val="center"/>
              <w:rPr>
                <w:sz w:val="20"/>
              </w:rPr>
            </w:pPr>
          </w:p>
        </w:tc>
        <w:tc>
          <w:tcPr>
            <w:tcW w:w="1083" w:type="dxa"/>
            <w:tcBorders>
              <w:top w:val="nil"/>
              <w:left w:val="nil"/>
              <w:bottom w:val="nil"/>
              <w:right w:val="nil"/>
            </w:tcBorders>
            <w:vAlign w:val="center"/>
          </w:tcPr>
          <w:p w14:paraId="7CE75071" w14:textId="77777777" w:rsidR="00E308DA" w:rsidRDefault="00E308DA" w:rsidP="00E308DA">
            <w:pPr>
              <w:spacing w:after="0" w:line="240" w:lineRule="auto"/>
              <w:jc w:val="center"/>
              <w:rPr>
                <w:sz w:val="20"/>
              </w:rPr>
            </w:pPr>
          </w:p>
        </w:tc>
      </w:tr>
      <w:tr w:rsidR="00E308DA" w14:paraId="39436975" w14:textId="77777777" w:rsidTr="0070364F">
        <w:tc>
          <w:tcPr>
            <w:tcW w:w="3865" w:type="dxa"/>
            <w:tcBorders>
              <w:top w:val="nil"/>
              <w:left w:val="nil"/>
              <w:bottom w:val="nil"/>
              <w:right w:val="nil"/>
            </w:tcBorders>
            <w:vAlign w:val="center"/>
          </w:tcPr>
          <w:p w14:paraId="6C358858" w14:textId="77777777" w:rsidR="00E308DA" w:rsidRDefault="00E308DA" w:rsidP="00E308DA">
            <w:pPr>
              <w:spacing w:after="0" w:line="240" w:lineRule="auto"/>
              <w:ind w:firstLineChars="100" w:firstLine="200"/>
              <w:rPr>
                <w:rFonts w:cs="Arial"/>
                <w:sz w:val="20"/>
              </w:rPr>
            </w:pPr>
            <w:r>
              <w:rPr>
                <w:rFonts w:cs="Arial"/>
                <w:sz w:val="20"/>
              </w:rPr>
              <w:t>Midwest</w:t>
            </w:r>
          </w:p>
        </w:tc>
        <w:tc>
          <w:tcPr>
            <w:tcW w:w="1483" w:type="dxa"/>
            <w:tcBorders>
              <w:top w:val="nil"/>
              <w:left w:val="nil"/>
              <w:bottom w:val="nil"/>
              <w:right w:val="nil"/>
            </w:tcBorders>
            <w:vAlign w:val="bottom"/>
          </w:tcPr>
          <w:p w14:paraId="5CBC825E" w14:textId="77777777" w:rsidR="00E308DA" w:rsidRDefault="00E308DA" w:rsidP="00E308DA">
            <w:pPr>
              <w:spacing w:after="0" w:line="240" w:lineRule="auto"/>
              <w:jc w:val="center"/>
              <w:rPr>
                <w:rFonts w:cs="Arial"/>
                <w:sz w:val="20"/>
              </w:rPr>
            </w:pPr>
            <w:r>
              <w:rPr>
                <w:rFonts w:cs="Arial"/>
                <w:sz w:val="20"/>
              </w:rPr>
              <w:t>972 (13.8%)</w:t>
            </w:r>
          </w:p>
        </w:tc>
        <w:tc>
          <w:tcPr>
            <w:tcW w:w="1707" w:type="dxa"/>
            <w:tcBorders>
              <w:top w:val="nil"/>
              <w:left w:val="nil"/>
              <w:bottom w:val="nil"/>
              <w:right w:val="nil"/>
            </w:tcBorders>
            <w:vAlign w:val="bottom"/>
          </w:tcPr>
          <w:p w14:paraId="46E2274A" w14:textId="77777777" w:rsidR="00E308DA" w:rsidRDefault="00E308DA" w:rsidP="00E308DA">
            <w:pPr>
              <w:spacing w:after="0" w:line="240" w:lineRule="auto"/>
              <w:jc w:val="center"/>
              <w:rPr>
                <w:rFonts w:cs="Arial"/>
                <w:sz w:val="20"/>
              </w:rPr>
            </w:pPr>
            <w:r>
              <w:rPr>
                <w:rFonts w:cs="Arial"/>
                <w:sz w:val="20"/>
              </w:rPr>
              <w:t>5352 (15.2%)</w:t>
            </w:r>
          </w:p>
        </w:tc>
        <w:tc>
          <w:tcPr>
            <w:tcW w:w="1083" w:type="dxa"/>
            <w:vMerge w:val="restart"/>
            <w:tcBorders>
              <w:top w:val="nil"/>
              <w:left w:val="nil"/>
              <w:bottom w:val="nil"/>
              <w:right w:val="nil"/>
            </w:tcBorders>
            <w:vAlign w:val="center"/>
          </w:tcPr>
          <w:p w14:paraId="6D0A253C" w14:textId="77777777" w:rsidR="00E308DA" w:rsidRDefault="00E308DA" w:rsidP="00E308DA">
            <w:pPr>
              <w:spacing w:after="0" w:line="240" w:lineRule="auto"/>
              <w:jc w:val="center"/>
              <w:rPr>
                <w:rFonts w:cs="Arial"/>
                <w:sz w:val="20"/>
              </w:rPr>
            </w:pPr>
            <w:r>
              <w:rPr>
                <w:rFonts w:cs="Arial"/>
                <w:sz w:val="20"/>
              </w:rPr>
              <w:t>&lt;0.001</w:t>
            </w:r>
          </w:p>
        </w:tc>
      </w:tr>
      <w:tr w:rsidR="00E308DA" w14:paraId="715F384B" w14:textId="77777777" w:rsidTr="0070364F">
        <w:tc>
          <w:tcPr>
            <w:tcW w:w="3865" w:type="dxa"/>
            <w:tcBorders>
              <w:top w:val="nil"/>
              <w:left w:val="nil"/>
              <w:bottom w:val="nil"/>
              <w:right w:val="nil"/>
            </w:tcBorders>
            <w:vAlign w:val="center"/>
          </w:tcPr>
          <w:p w14:paraId="6A316E51" w14:textId="77777777" w:rsidR="00E308DA" w:rsidRDefault="00E308DA" w:rsidP="00E308DA">
            <w:pPr>
              <w:spacing w:after="0" w:line="240" w:lineRule="auto"/>
              <w:ind w:firstLineChars="100" w:firstLine="200"/>
              <w:rPr>
                <w:rFonts w:cs="Arial"/>
                <w:sz w:val="20"/>
              </w:rPr>
            </w:pPr>
            <w:r>
              <w:rPr>
                <w:rFonts w:cs="Arial"/>
                <w:sz w:val="20"/>
              </w:rPr>
              <w:t>Northeast</w:t>
            </w:r>
          </w:p>
        </w:tc>
        <w:tc>
          <w:tcPr>
            <w:tcW w:w="1483" w:type="dxa"/>
            <w:tcBorders>
              <w:top w:val="nil"/>
              <w:left w:val="nil"/>
              <w:bottom w:val="nil"/>
              <w:right w:val="nil"/>
            </w:tcBorders>
            <w:vAlign w:val="bottom"/>
          </w:tcPr>
          <w:p w14:paraId="0561F7D7" w14:textId="77777777" w:rsidR="00E308DA" w:rsidRDefault="00E308DA" w:rsidP="00E308DA">
            <w:pPr>
              <w:spacing w:after="0" w:line="240" w:lineRule="auto"/>
              <w:jc w:val="center"/>
              <w:rPr>
                <w:rFonts w:cs="Arial"/>
                <w:sz w:val="20"/>
              </w:rPr>
            </w:pPr>
            <w:r>
              <w:rPr>
                <w:rFonts w:cs="Arial"/>
                <w:sz w:val="20"/>
              </w:rPr>
              <w:t>1284 (18.2%)</w:t>
            </w:r>
          </w:p>
        </w:tc>
        <w:tc>
          <w:tcPr>
            <w:tcW w:w="1707" w:type="dxa"/>
            <w:tcBorders>
              <w:top w:val="nil"/>
              <w:left w:val="nil"/>
              <w:bottom w:val="nil"/>
              <w:right w:val="nil"/>
            </w:tcBorders>
            <w:vAlign w:val="bottom"/>
          </w:tcPr>
          <w:p w14:paraId="1A6DA17D" w14:textId="77777777" w:rsidR="00E308DA" w:rsidRDefault="00E308DA" w:rsidP="00E308DA">
            <w:pPr>
              <w:spacing w:after="0" w:line="240" w:lineRule="auto"/>
              <w:jc w:val="center"/>
              <w:rPr>
                <w:rFonts w:cs="Arial"/>
                <w:sz w:val="20"/>
              </w:rPr>
            </w:pPr>
            <w:r>
              <w:rPr>
                <w:rFonts w:cs="Arial"/>
                <w:sz w:val="20"/>
              </w:rPr>
              <w:t>6167 (17.5%)</w:t>
            </w:r>
          </w:p>
        </w:tc>
        <w:tc>
          <w:tcPr>
            <w:tcW w:w="1083" w:type="dxa"/>
            <w:vMerge/>
            <w:tcBorders>
              <w:top w:val="nil"/>
              <w:left w:val="nil"/>
              <w:bottom w:val="nil"/>
              <w:right w:val="nil"/>
            </w:tcBorders>
            <w:vAlign w:val="center"/>
          </w:tcPr>
          <w:p w14:paraId="7AD8FC97" w14:textId="77777777" w:rsidR="00E308DA" w:rsidRDefault="00E308DA" w:rsidP="00E308DA">
            <w:pPr>
              <w:spacing w:after="0" w:line="240" w:lineRule="auto"/>
              <w:rPr>
                <w:rFonts w:cs="Arial"/>
                <w:sz w:val="20"/>
              </w:rPr>
            </w:pPr>
          </w:p>
        </w:tc>
      </w:tr>
      <w:tr w:rsidR="00E308DA" w14:paraId="0AE07553" w14:textId="77777777" w:rsidTr="0070364F">
        <w:tc>
          <w:tcPr>
            <w:tcW w:w="3865" w:type="dxa"/>
            <w:tcBorders>
              <w:top w:val="nil"/>
              <w:left w:val="nil"/>
              <w:bottom w:val="nil"/>
              <w:right w:val="nil"/>
            </w:tcBorders>
            <w:vAlign w:val="center"/>
          </w:tcPr>
          <w:p w14:paraId="6CFF96CB" w14:textId="77777777" w:rsidR="00E308DA" w:rsidRDefault="00E308DA" w:rsidP="00E308DA">
            <w:pPr>
              <w:spacing w:after="0" w:line="240" w:lineRule="auto"/>
              <w:ind w:firstLineChars="100" w:firstLine="200"/>
              <w:rPr>
                <w:rFonts w:cs="Arial"/>
                <w:sz w:val="20"/>
              </w:rPr>
            </w:pPr>
            <w:r>
              <w:rPr>
                <w:rFonts w:cs="Arial"/>
                <w:sz w:val="20"/>
              </w:rPr>
              <w:t>Southeast</w:t>
            </w:r>
          </w:p>
        </w:tc>
        <w:tc>
          <w:tcPr>
            <w:tcW w:w="1483" w:type="dxa"/>
            <w:tcBorders>
              <w:top w:val="nil"/>
              <w:left w:val="nil"/>
              <w:bottom w:val="nil"/>
              <w:right w:val="nil"/>
            </w:tcBorders>
            <w:vAlign w:val="bottom"/>
          </w:tcPr>
          <w:p w14:paraId="2448EC33" w14:textId="77777777" w:rsidR="00E308DA" w:rsidRDefault="00E308DA" w:rsidP="00E308DA">
            <w:pPr>
              <w:spacing w:after="0" w:line="240" w:lineRule="auto"/>
              <w:jc w:val="center"/>
              <w:rPr>
                <w:rFonts w:cs="Arial"/>
                <w:sz w:val="20"/>
              </w:rPr>
            </w:pPr>
            <w:r>
              <w:rPr>
                <w:rFonts w:cs="Arial"/>
                <w:sz w:val="20"/>
              </w:rPr>
              <w:t>2461 (34.8%)</w:t>
            </w:r>
          </w:p>
        </w:tc>
        <w:tc>
          <w:tcPr>
            <w:tcW w:w="1707" w:type="dxa"/>
            <w:tcBorders>
              <w:top w:val="nil"/>
              <w:left w:val="nil"/>
              <w:bottom w:val="nil"/>
              <w:right w:val="nil"/>
            </w:tcBorders>
            <w:vAlign w:val="bottom"/>
          </w:tcPr>
          <w:p w14:paraId="1C9A1D26" w14:textId="77777777" w:rsidR="00E308DA" w:rsidRDefault="00E308DA" w:rsidP="00E308DA">
            <w:pPr>
              <w:spacing w:after="0" w:line="240" w:lineRule="auto"/>
              <w:jc w:val="center"/>
              <w:rPr>
                <w:rFonts w:cs="Arial"/>
                <w:sz w:val="20"/>
              </w:rPr>
            </w:pPr>
            <w:r>
              <w:rPr>
                <w:rFonts w:cs="Arial"/>
                <w:sz w:val="20"/>
              </w:rPr>
              <w:t>11214 (31.9%)</w:t>
            </w:r>
          </w:p>
        </w:tc>
        <w:tc>
          <w:tcPr>
            <w:tcW w:w="1083" w:type="dxa"/>
            <w:vMerge/>
            <w:tcBorders>
              <w:top w:val="nil"/>
              <w:left w:val="nil"/>
              <w:bottom w:val="nil"/>
              <w:right w:val="nil"/>
            </w:tcBorders>
            <w:vAlign w:val="center"/>
          </w:tcPr>
          <w:p w14:paraId="5F5CEC41" w14:textId="77777777" w:rsidR="00E308DA" w:rsidRDefault="00E308DA" w:rsidP="00E308DA">
            <w:pPr>
              <w:spacing w:after="0" w:line="240" w:lineRule="auto"/>
              <w:rPr>
                <w:rFonts w:cs="Arial"/>
                <w:sz w:val="20"/>
              </w:rPr>
            </w:pPr>
          </w:p>
        </w:tc>
      </w:tr>
      <w:tr w:rsidR="00E308DA" w14:paraId="2DB8891C" w14:textId="77777777" w:rsidTr="0070364F">
        <w:tc>
          <w:tcPr>
            <w:tcW w:w="3865" w:type="dxa"/>
            <w:tcBorders>
              <w:top w:val="nil"/>
              <w:left w:val="nil"/>
              <w:bottom w:val="nil"/>
              <w:right w:val="nil"/>
            </w:tcBorders>
            <w:vAlign w:val="center"/>
          </w:tcPr>
          <w:p w14:paraId="6001A05B" w14:textId="77777777" w:rsidR="00E308DA" w:rsidRDefault="00E308DA" w:rsidP="00E308DA">
            <w:pPr>
              <w:spacing w:after="0" w:line="240" w:lineRule="auto"/>
              <w:ind w:firstLineChars="100" w:firstLine="200"/>
              <w:rPr>
                <w:rFonts w:cs="Arial"/>
                <w:sz w:val="20"/>
              </w:rPr>
            </w:pPr>
            <w:r>
              <w:rPr>
                <w:rFonts w:cs="Arial"/>
                <w:sz w:val="20"/>
              </w:rPr>
              <w:t>West</w:t>
            </w:r>
          </w:p>
        </w:tc>
        <w:tc>
          <w:tcPr>
            <w:tcW w:w="1483" w:type="dxa"/>
            <w:tcBorders>
              <w:top w:val="nil"/>
              <w:left w:val="nil"/>
              <w:bottom w:val="nil"/>
              <w:right w:val="nil"/>
            </w:tcBorders>
            <w:vAlign w:val="bottom"/>
          </w:tcPr>
          <w:p w14:paraId="3971AD88" w14:textId="77777777" w:rsidR="00E308DA" w:rsidRDefault="00E308DA" w:rsidP="00E308DA">
            <w:pPr>
              <w:spacing w:after="0" w:line="240" w:lineRule="auto"/>
              <w:jc w:val="center"/>
              <w:rPr>
                <w:rFonts w:cs="Arial"/>
                <w:sz w:val="20"/>
              </w:rPr>
            </w:pPr>
            <w:r>
              <w:rPr>
                <w:rFonts w:cs="Arial"/>
                <w:sz w:val="20"/>
              </w:rPr>
              <w:t>2347 (33.2%)</w:t>
            </w:r>
          </w:p>
        </w:tc>
        <w:tc>
          <w:tcPr>
            <w:tcW w:w="1707" w:type="dxa"/>
            <w:tcBorders>
              <w:top w:val="nil"/>
              <w:left w:val="nil"/>
              <w:bottom w:val="nil"/>
              <w:right w:val="nil"/>
            </w:tcBorders>
            <w:vAlign w:val="bottom"/>
          </w:tcPr>
          <w:p w14:paraId="591B1884" w14:textId="77777777" w:rsidR="00E308DA" w:rsidRDefault="00E308DA" w:rsidP="00E308DA">
            <w:pPr>
              <w:spacing w:after="0" w:line="240" w:lineRule="auto"/>
              <w:jc w:val="center"/>
              <w:rPr>
                <w:rFonts w:cs="Arial"/>
                <w:sz w:val="20"/>
              </w:rPr>
            </w:pPr>
            <w:r>
              <w:rPr>
                <w:rFonts w:cs="Arial"/>
                <w:sz w:val="20"/>
              </w:rPr>
              <w:t>12456 (35.4%)</w:t>
            </w:r>
          </w:p>
        </w:tc>
        <w:tc>
          <w:tcPr>
            <w:tcW w:w="1083" w:type="dxa"/>
            <w:vMerge/>
            <w:tcBorders>
              <w:top w:val="nil"/>
              <w:left w:val="nil"/>
              <w:bottom w:val="nil"/>
              <w:right w:val="nil"/>
            </w:tcBorders>
            <w:vAlign w:val="center"/>
          </w:tcPr>
          <w:p w14:paraId="7F885F2F" w14:textId="77777777" w:rsidR="00E308DA" w:rsidRDefault="00E308DA" w:rsidP="00E308DA">
            <w:pPr>
              <w:spacing w:after="0" w:line="240" w:lineRule="auto"/>
              <w:rPr>
                <w:rFonts w:cs="Arial"/>
                <w:sz w:val="20"/>
              </w:rPr>
            </w:pPr>
          </w:p>
        </w:tc>
      </w:tr>
      <w:tr w:rsidR="00E308DA" w14:paraId="7EA776ED" w14:textId="77777777" w:rsidTr="00D942F8">
        <w:tc>
          <w:tcPr>
            <w:tcW w:w="3865" w:type="dxa"/>
            <w:tcBorders>
              <w:top w:val="nil"/>
              <w:left w:val="nil"/>
              <w:bottom w:val="nil"/>
              <w:right w:val="nil"/>
            </w:tcBorders>
            <w:vAlign w:val="bottom"/>
          </w:tcPr>
          <w:p w14:paraId="1B70B48A" w14:textId="77777777" w:rsidR="00E308DA" w:rsidRDefault="00E308DA" w:rsidP="00E308DA">
            <w:pPr>
              <w:spacing w:after="0" w:line="240" w:lineRule="auto"/>
              <w:rPr>
                <w:rFonts w:cs="Arial"/>
                <w:sz w:val="20"/>
              </w:rPr>
            </w:pPr>
            <w:r>
              <w:rPr>
                <w:rFonts w:cs="Arial"/>
                <w:sz w:val="20"/>
              </w:rPr>
              <w:t>Primary Hospice Admission Diagnosis</w:t>
            </w:r>
          </w:p>
        </w:tc>
        <w:tc>
          <w:tcPr>
            <w:tcW w:w="1483" w:type="dxa"/>
            <w:tcBorders>
              <w:top w:val="nil"/>
              <w:left w:val="nil"/>
              <w:bottom w:val="nil"/>
              <w:right w:val="nil"/>
            </w:tcBorders>
            <w:vAlign w:val="bottom"/>
          </w:tcPr>
          <w:p w14:paraId="4DCAE2E8" w14:textId="77777777" w:rsidR="00E308DA" w:rsidRDefault="00E308DA" w:rsidP="00E308DA">
            <w:pPr>
              <w:spacing w:after="0" w:line="240" w:lineRule="auto"/>
              <w:rPr>
                <w:rFonts w:cs="Arial"/>
                <w:sz w:val="20"/>
              </w:rPr>
            </w:pPr>
          </w:p>
        </w:tc>
        <w:tc>
          <w:tcPr>
            <w:tcW w:w="1707" w:type="dxa"/>
            <w:tcBorders>
              <w:top w:val="nil"/>
              <w:left w:val="nil"/>
              <w:bottom w:val="nil"/>
              <w:right w:val="nil"/>
            </w:tcBorders>
            <w:vAlign w:val="bottom"/>
          </w:tcPr>
          <w:p w14:paraId="7B6FB0C6" w14:textId="77777777" w:rsidR="00E308DA" w:rsidRDefault="00E308DA" w:rsidP="00E308DA">
            <w:pPr>
              <w:spacing w:after="0" w:line="240" w:lineRule="auto"/>
              <w:jc w:val="center"/>
              <w:rPr>
                <w:sz w:val="20"/>
              </w:rPr>
            </w:pPr>
          </w:p>
        </w:tc>
        <w:tc>
          <w:tcPr>
            <w:tcW w:w="1083" w:type="dxa"/>
            <w:tcBorders>
              <w:top w:val="nil"/>
              <w:left w:val="nil"/>
              <w:bottom w:val="nil"/>
              <w:right w:val="nil"/>
            </w:tcBorders>
            <w:vAlign w:val="center"/>
          </w:tcPr>
          <w:p w14:paraId="06DD9B9C" w14:textId="77777777" w:rsidR="00E308DA" w:rsidRDefault="00E308DA" w:rsidP="00E308DA">
            <w:pPr>
              <w:spacing w:after="0" w:line="240" w:lineRule="auto"/>
              <w:jc w:val="center"/>
              <w:rPr>
                <w:sz w:val="20"/>
              </w:rPr>
            </w:pPr>
          </w:p>
        </w:tc>
      </w:tr>
      <w:tr w:rsidR="00E308DA" w14:paraId="334AB0EF" w14:textId="77777777" w:rsidTr="0070364F">
        <w:tc>
          <w:tcPr>
            <w:tcW w:w="3865" w:type="dxa"/>
            <w:tcBorders>
              <w:top w:val="nil"/>
              <w:left w:val="nil"/>
              <w:bottom w:val="nil"/>
              <w:right w:val="nil"/>
            </w:tcBorders>
            <w:vAlign w:val="center"/>
          </w:tcPr>
          <w:p w14:paraId="798A5855" w14:textId="77777777" w:rsidR="00E308DA" w:rsidRDefault="00E308DA" w:rsidP="00E308DA">
            <w:pPr>
              <w:spacing w:after="0" w:line="240" w:lineRule="auto"/>
              <w:ind w:firstLineChars="100" w:firstLine="200"/>
              <w:rPr>
                <w:rFonts w:cs="Arial"/>
                <w:sz w:val="20"/>
              </w:rPr>
            </w:pPr>
            <w:r>
              <w:rPr>
                <w:rFonts w:cs="Arial"/>
                <w:sz w:val="20"/>
              </w:rPr>
              <w:t>Cancer</w:t>
            </w:r>
          </w:p>
        </w:tc>
        <w:tc>
          <w:tcPr>
            <w:tcW w:w="1483" w:type="dxa"/>
            <w:tcBorders>
              <w:top w:val="nil"/>
              <w:left w:val="nil"/>
              <w:bottom w:val="nil"/>
              <w:right w:val="nil"/>
            </w:tcBorders>
            <w:vAlign w:val="bottom"/>
          </w:tcPr>
          <w:p w14:paraId="4B6BA6FF" w14:textId="77777777" w:rsidR="00E308DA" w:rsidRDefault="00E308DA" w:rsidP="00E308DA">
            <w:pPr>
              <w:spacing w:after="0" w:line="240" w:lineRule="auto"/>
              <w:jc w:val="center"/>
              <w:rPr>
                <w:rFonts w:cs="Arial"/>
                <w:sz w:val="20"/>
              </w:rPr>
            </w:pPr>
            <w:r>
              <w:rPr>
                <w:rFonts w:cs="Arial"/>
                <w:sz w:val="20"/>
              </w:rPr>
              <w:t>4428 (62.7%)</w:t>
            </w:r>
          </w:p>
        </w:tc>
        <w:tc>
          <w:tcPr>
            <w:tcW w:w="1707" w:type="dxa"/>
            <w:tcBorders>
              <w:top w:val="nil"/>
              <w:left w:val="nil"/>
              <w:bottom w:val="nil"/>
              <w:right w:val="nil"/>
            </w:tcBorders>
            <w:vAlign w:val="bottom"/>
          </w:tcPr>
          <w:p w14:paraId="7BF250B0" w14:textId="77777777" w:rsidR="00E308DA" w:rsidRDefault="00E308DA" w:rsidP="00E308DA">
            <w:pPr>
              <w:spacing w:after="0" w:line="240" w:lineRule="auto"/>
              <w:jc w:val="center"/>
              <w:rPr>
                <w:rFonts w:cs="Arial"/>
                <w:sz w:val="20"/>
              </w:rPr>
            </w:pPr>
            <w:r>
              <w:rPr>
                <w:rFonts w:cs="Arial"/>
                <w:sz w:val="20"/>
              </w:rPr>
              <w:t>21732 (61.8%)</w:t>
            </w:r>
          </w:p>
        </w:tc>
        <w:tc>
          <w:tcPr>
            <w:tcW w:w="1083" w:type="dxa"/>
            <w:vMerge w:val="restart"/>
            <w:tcBorders>
              <w:top w:val="nil"/>
              <w:left w:val="nil"/>
              <w:bottom w:val="nil"/>
              <w:right w:val="nil"/>
            </w:tcBorders>
            <w:vAlign w:val="center"/>
          </w:tcPr>
          <w:p w14:paraId="1A0E57CA" w14:textId="77777777" w:rsidR="00E308DA" w:rsidRDefault="00E308DA" w:rsidP="00E308DA">
            <w:pPr>
              <w:spacing w:after="0" w:line="240" w:lineRule="auto"/>
              <w:jc w:val="center"/>
              <w:rPr>
                <w:rFonts w:cs="Arial"/>
                <w:sz w:val="20"/>
              </w:rPr>
            </w:pPr>
            <w:r>
              <w:rPr>
                <w:rFonts w:cs="Arial"/>
                <w:sz w:val="20"/>
              </w:rPr>
              <w:t>&lt;0.001</w:t>
            </w:r>
          </w:p>
        </w:tc>
      </w:tr>
      <w:tr w:rsidR="00E308DA" w14:paraId="3481CF60" w14:textId="77777777" w:rsidTr="0070364F">
        <w:tc>
          <w:tcPr>
            <w:tcW w:w="3865" w:type="dxa"/>
            <w:tcBorders>
              <w:top w:val="nil"/>
              <w:left w:val="nil"/>
              <w:bottom w:val="nil"/>
              <w:right w:val="nil"/>
            </w:tcBorders>
            <w:vAlign w:val="center"/>
          </w:tcPr>
          <w:p w14:paraId="53727E6A" w14:textId="77777777" w:rsidR="00E308DA" w:rsidRDefault="00E308DA" w:rsidP="00E308DA">
            <w:pPr>
              <w:spacing w:after="0" w:line="240" w:lineRule="auto"/>
              <w:ind w:firstLineChars="100" w:firstLine="200"/>
              <w:rPr>
                <w:rFonts w:cs="Arial"/>
                <w:sz w:val="20"/>
              </w:rPr>
            </w:pPr>
            <w:r>
              <w:rPr>
                <w:rFonts w:cs="Arial"/>
                <w:sz w:val="20"/>
              </w:rPr>
              <w:t>Debility/Failure to Thrive</w:t>
            </w:r>
          </w:p>
        </w:tc>
        <w:tc>
          <w:tcPr>
            <w:tcW w:w="1483" w:type="dxa"/>
            <w:tcBorders>
              <w:top w:val="nil"/>
              <w:left w:val="nil"/>
              <w:bottom w:val="nil"/>
              <w:right w:val="nil"/>
            </w:tcBorders>
            <w:vAlign w:val="bottom"/>
          </w:tcPr>
          <w:p w14:paraId="6A688E2F" w14:textId="77777777" w:rsidR="00E308DA" w:rsidRDefault="00E308DA" w:rsidP="00E308DA">
            <w:pPr>
              <w:spacing w:after="0" w:line="240" w:lineRule="auto"/>
              <w:jc w:val="center"/>
              <w:rPr>
                <w:rFonts w:cs="Arial"/>
                <w:sz w:val="20"/>
              </w:rPr>
            </w:pPr>
            <w:r>
              <w:rPr>
                <w:rFonts w:cs="Arial"/>
                <w:sz w:val="20"/>
              </w:rPr>
              <w:t>743 (10.5%)</w:t>
            </w:r>
          </w:p>
        </w:tc>
        <w:tc>
          <w:tcPr>
            <w:tcW w:w="1707" w:type="dxa"/>
            <w:tcBorders>
              <w:top w:val="nil"/>
              <w:left w:val="nil"/>
              <w:bottom w:val="nil"/>
              <w:right w:val="nil"/>
            </w:tcBorders>
            <w:vAlign w:val="bottom"/>
          </w:tcPr>
          <w:p w14:paraId="48238D92" w14:textId="77777777" w:rsidR="00E308DA" w:rsidRDefault="00E308DA" w:rsidP="00E308DA">
            <w:pPr>
              <w:spacing w:after="0" w:line="240" w:lineRule="auto"/>
              <w:jc w:val="center"/>
              <w:rPr>
                <w:rFonts w:cs="Arial"/>
                <w:sz w:val="20"/>
              </w:rPr>
            </w:pPr>
            <w:r>
              <w:rPr>
                <w:rFonts w:cs="Arial"/>
                <w:sz w:val="20"/>
              </w:rPr>
              <w:t>3829 (10.9%)</w:t>
            </w:r>
          </w:p>
        </w:tc>
        <w:tc>
          <w:tcPr>
            <w:tcW w:w="1083" w:type="dxa"/>
            <w:vMerge/>
            <w:tcBorders>
              <w:top w:val="nil"/>
              <w:left w:val="nil"/>
              <w:bottom w:val="nil"/>
              <w:right w:val="nil"/>
            </w:tcBorders>
            <w:vAlign w:val="center"/>
          </w:tcPr>
          <w:p w14:paraId="16FAF47B" w14:textId="77777777" w:rsidR="00E308DA" w:rsidRDefault="00E308DA" w:rsidP="00E308DA">
            <w:pPr>
              <w:spacing w:after="0" w:line="240" w:lineRule="auto"/>
              <w:rPr>
                <w:rFonts w:cs="Arial"/>
                <w:sz w:val="20"/>
              </w:rPr>
            </w:pPr>
          </w:p>
        </w:tc>
      </w:tr>
      <w:tr w:rsidR="00E308DA" w14:paraId="2906B5F5" w14:textId="77777777" w:rsidTr="0070364F">
        <w:tc>
          <w:tcPr>
            <w:tcW w:w="3865" w:type="dxa"/>
            <w:tcBorders>
              <w:top w:val="nil"/>
              <w:left w:val="nil"/>
              <w:bottom w:val="nil"/>
              <w:right w:val="nil"/>
            </w:tcBorders>
            <w:vAlign w:val="center"/>
          </w:tcPr>
          <w:p w14:paraId="72FD74A8" w14:textId="77777777" w:rsidR="00E308DA" w:rsidRDefault="00E308DA" w:rsidP="00E308DA">
            <w:pPr>
              <w:spacing w:after="0" w:line="240" w:lineRule="auto"/>
              <w:ind w:firstLineChars="100" w:firstLine="200"/>
              <w:rPr>
                <w:rFonts w:cs="Arial"/>
                <w:sz w:val="20"/>
              </w:rPr>
            </w:pPr>
            <w:r>
              <w:rPr>
                <w:rFonts w:cs="Arial"/>
                <w:sz w:val="20"/>
              </w:rPr>
              <w:t>Dementia</w:t>
            </w:r>
          </w:p>
        </w:tc>
        <w:tc>
          <w:tcPr>
            <w:tcW w:w="1483" w:type="dxa"/>
            <w:tcBorders>
              <w:top w:val="nil"/>
              <w:left w:val="nil"/>
              <w:bottom w:val="nil"/>
              <w:right w:val="nil"/>
            </w:tcBorders>
            <w:vAlign w:val="bottom"/>
          </w:tcPr>
          <w:p w14:paraId="0071489F" w14:textId="77777777" w:rsidR="00E308DA" w:rsidRDefault="00E308DA" w:rsidP="00E308DA">
            <w:pPr>
              <w:spacing w:after="0" w:line="240" w:lineRule="auto"/>
              <w:jc w:val="center"/>
              <w:rPr>
                <w:rFonts w:cs="Arial"/>
                <w:sz w:val="20"/>
              </w:rPr>
            </w:pPr>
            <w:r>
              <w:rPr>
                <w:rFonts w:cs="Arial"/>
                <w:sz w:val="20"/>
              </w:rPr>
              <w:t>542 (7.7%)</w:t>
            </w:r>
          </w:p>
        </w:tc>
        <w:tc>
          <w:tcPr>
            <w:tcW w:w="1707" w:type="dxa"/>
            <w:tcBorders>
              <w:top w:val="nil"/>
              <w:left w:val="nil"/>
              <w:bottom w:val="nil"/>
              <w:right w:val="nil"/>
            </w:tcBorders>
            <w:vAlign w:val="bottom"/>
          </w:tcPr>
          <w:p w14:paraId="14FBAB58" w14:textId="77777777" w:rsidR="00E308DA" w:rsidRDefault="00E308DA" w:rsidP="00E308DA">
            <w:pPr>
              <w:spacing w:after="0" w:line="240" w:lineRule="auto"/>
              <w:jc w:val="center"/>
              <w:rPr>
                <w:rFonts w:cs="Arial"/>
                <w:sz w:val="20"/>
              </w:rPr>
            </w:pPr>
            <w:r>
              <w:rPr>
                <w:rFonts w:cs="Arial"/>
                <w:sz w:val="20"/>
              </w:rPr>
              <w:t>3512 (10.0%)</w:t>
            </w:r>
          </w:p>
        </w:tc>
        <w:tc>
          <w:tcPr>
            <w:tcW w:w="1083" w:type="dxa"/>
            <w:vMerge/>
            <w:tcBorders>
              <w:top w:val="nil"/>
              <w:left w:val="nil"/>
              <w:bottom w:val="nil"/>
              <w:right w:val="nil"/>
            </w:tcBorders>
            <w:vAlign w:val="center"/>
          </w:tcPr>
          <w:p w14:paraId="15E90F90" w14:textId="77777777" w:rsidR="00E308DA" w:rsidRDefault="00E308DA" w:rsidP="00E308DA">
            <w:pPr>
              <w:spacing w:after="0" w:line="240" w:lineRule="auto"/>
              <w:rPr>
                <w:rFonts w:cs="Arial"/>
                <w:sz w:val="20"/>
              </w:rPr>
            </w:pPr>
          </w:p>
        </w:tc>
      </w:tr>
      <w:tr w:rsidR="00E308DA" w14:paraId="4D049AB2" w14:textId="77777777" w:rsidTr="0070364F">
        <w:tc>
          <w:tcPr>
            <w:tcW w:w="3865" w:type="dxa"/>
            <w:tcBorders>
              <w:top w:val="nil"/>
              <w:left w:val="nil"/>
              <w:bottom w:val="nil"/>
              <w:right w:val="nil"/>
            </w:tcBorders>
            <w:vAlign w:val="center"/>
          </w:tcPr>
          <w:p w14:paraId="017F4166" w14:textId="77777777" w:rsidR="00E308DA" w:rsidRDefault="00E308DA" w:rsidP="00E308DA">
            <w:pPr>
              <w:spacing w:after="0" w:line="240" w:lineRule="auto"/>
              <w:ind w:firstLineChars="100" w:firstLine="200"/>
              <w:rPr>
                <w:rFonts w:cs="Arial"/>
                <w:sz w:val="20"/>
              </w:rPr>
            </w:pPr>
            <w:r>
              <w:rPr>
                <w:rFonts w:cs="Arial"/>
                <w:sz w:val="20"/>
              </w:rPr>
              <w:t>Lung Disease</w:t>
            </w:r>
          </w:p>
        </w:tc>
        <w:tc>
          <w:tcPr>
            <w:tcW w:w="1483" w:type="dxa"/>
            <w:tcBorders>
              <w:top w:val="nil"/>
              <w:left w:val="nil"/>
              <w:bottom w:val="nil"/>
              <w:right w:val="nil"/>
            </w:tcBorders>
            <w:vAlign w:val="bottom"/>
          </w:tcPr>
          <w:p w14:paraId="09FCA988" w14:textId="77777777" w:rsidR="00E308DA" w:rsidRDefault="00E308DA" w:rsidP="00E308DA">
            <w:pPr>
              <w:spacing w:after="0" w:line="240" w:lineRule="auto"/>
              <w:jc w:val="center"/>
              <w:rPr>
                <w:rFonts w:cs="Arial"/>
                <w:sz w:val="20"/>
              </w:rPr>
            </w:pPr>
            <w:r>
              <w:rPr>
                <w:rFonts w:cs="Arial"/>
                <w:sz w:val="20"/>
              </w:rPr>
              <w:t>420 (5.9%)</w:t>
            </w:r>
          </w:p>
        </w:tc>
        <w:tc>
          <w:tcPr>
            <w:tcW w:w="1707" w:type="dxa"/>
            <w:tcBorders>
              <w:top w:val="nil"/>
              <w:left w:val="nil"/>
              <w:bottom w:val="nil"/>
              <w:right w:val="nil"/>
            </w:tcBorders>
            <w:vAlign w:val="bottom"/>
          </w:tcPr>
          <w:p w14:paraId="3D007C78" w14:textId="77777777" w:rsidR="00E308DA" w:rsidRDefault="00E308DA" w:rsidP="00E308DA">
            <w:pPr>
              <w:spacing w:after="0" w:line="240" w:lineRule="auto"/>
              <w:jc w:val="center"/>
              <w:rPr>
                <w:rFonts w:cs="Arial"/>
                <w:sz w:val="20"/>
              </w:rPr>
            </w:pPr>
            <w:r>
              <w:rPr>
                <w:rFonts w:cs="Arial"/>
                <w:sz w:val="20"/>
              </w:rPr>
              <w:t>1744 (5.0%)</w:t>
            </w:r>
          </w:p>
        </w:tc>
        <w:tc>
          <w:tcPr>
            <w:tcW w:w="1083" w:type="dxa"/>
            <w:vMerge/>
            <w:tcBorders>
              <w:top w:val="nil"/>
              <w:left w:val="nil"/>
              <w:bottom w:val="nil"/>
              <w:right w:val="nil"/>
            </w:tcBorders>
            <w:vAlign w:val="center"/>
          </w:tcPr>
          <w:p w14:paraId="56B3DBD0" w14:textId="77777777" w:rsidR="00E308DA" w:rsidRDefault="00E308DA" w:rsidP="00E308DA">
            <w:pPr>
              <w:spacing w:after="0" w:line="240" w:lineRule="auto"/>
              <w:rPr>
                <w:rFonts w:cs="Arial"/>
                <w:sz w:val="20"/>
              </w:rPr>
            </w:pPr>
          </w:p>
        </w:tc>
      </w:tr>
      <w:tr w:rsidR="00E308DA" w14:paraId="4E24F080" w14:textId="77777777" w:rsidTr="0070364F">
        <w:tc>
          <w:tcPr>
            <w:tcW w:w="3865" w:type="dxa"/>
            <w:tcBorders>
              <w:top w:val="nil"/>
              <w:left w:val="nil"/>
              <w:bottom w:val="nil"/>
              <w:right w:val="nil"/>
            </w:tcBorders>
            <w:vAlign w:val="center"/>
          </w:tcPr>
          <w:p w14:paraId="44AF7A3A" w14:textId="77777777" w:rsidR="00E308DA" w:rsidRDefault="00E308DA" w:rsidP="00E308DA">
            <w:pPr>
              <w:spacing w:after="0" w:line="240" w:lineRule="auto"/>
              <w:ind w:firstLineChars="100" w:firstLine="200"/>
              <w:rPr>
                <w:rFonts w:cs="Arial"/>
                <w:sz w:val="20"/>
              </w:rPr>
            </w:pPr>
            <w:r>
              <w:rPr>
                <w:rFonts w:cs="Arial"/>
                <w:sz w:val="20"/>
              </w:rPr>
              <w:t>Heart Disease</w:t>
            </w:r>
          </w:p>
        </w:tc>
        <w:tc>
          <w:tcPr>
            <w:tcW w:w="1483" w:type="dxa"/>
            <w:tcBorders>
              <w:top w:val="nil"/>
              <w:left w:val="nil"/>
              <w:bottom w:val="nil"/>
              <w:right w:val="nil"/>
            </w:tcBorders>
            <w:vAlign w:val="bottom"/>
          </w:tcPr>
          <w:p w14:paraId="1AF0DB90" w14:textId="77777777" w:rsidR="00E308DA" w:rsidRDefault="00E308DA" w:rsidP="00E308DA">
            <w:pPr>
              <w:spacing w:after="0" w:line="240" w:lineRule="auto"/>
              <w:jc w:val="center"/>
              <w:rPr>
                <w:rFonts w:cs="Arial"/>
                <w:sz w:val="20"/>
              </w:rPr>
            </w:pPr>
            <w:r>
              <w:rPr>
                <w:rFonts w:cs="Arial"/>
                <w:sz w:val="20"/>
              </w:rPr>
              <w:t>520 (7.4%)</w:t>
            </w:r>
          </w:p>
        </w:tc>
        <w:tc>
          <w:tcPr>
            <w:tcW w:w="1707" w:type="dxa"/>
            <w:tcBorders>
              <w:top w:val="nil"/>
              <w:left w:val="nil"/>
              <w:bottom w:val="nil"/>
              <w:right w:val="nil"/>
            </w:tcBorders>
            <w:vAlign w:val="bottom"/>
          </w:tcPr>
          <w:p w14:paraId="2523EAA5" w14:textId="77777777" w:rsidR="00E308DA" w:rsidRDefault="00E308DA" w:rsidP="00E308DA">
            <w:pPr>
              <w:spacing w:after="0" w:line="240" w:lineRule="auto"/>
              <w:jc w:val="center"/>
              <w:rPr>
                <w:rFonts w:cs="Arial"/>
                <w:sz w:val="20"/>
              </w:rPr>
            </w:pPr>
            <w:r>
              <w:rPr>
                <w:rFonts w:cs="Arial"/>
                <w:sz w:val="20"/>
              </w:rPr>
              <w:t>2199 (6.2%)</w:t>
            </w:r>
          </w:p>
        </w:tc>
        <w:tc>
          <w:tcPr>
            <w:tcW w:w="1083" w:type="dxa"/>
            <w:vMerge/>
            <w:tcBorders>
              <w:top w:val="nil"/>
              <w:left w:val="nil"/>
              <w:bottom w:val="nil"/>
              <w:right w:val="nil"/>
            </w:tcBorders>
            <w:vAlign w:val="center"/>
          </w:tcPr>
          <w:p w14:paraId="6DED92C8" w14:textId="77777777" w:rsidR="00E308DA" w:rsidRDefault="00E308DA" w:rsidP="00E308DA">
            <w:pPr>
              <w:spacing w:after="0" w:line="240" w:lineRule="auto"/>
              <w:rPr>
                <w:rFonts w:cs="Arial"/>
                <w:sz w:val="20"/>
              </w:rPr>
            </w:pPr>
          </w:p>
        </w:tc>
      </w:tr>
      <w:tr w:rsidR="00E308DA" w14:paraId="5131A51E" w14:textId="77777777" w:rsidTr="0070364F">
        <w:tc>
          <w:tcPr>
            <w:tcW w:w="3865" w:type="dxa"/>
            <w:tcBorders>
              <w:top w:val="nil"/>
              <w:left w:val="nil"/>
              <w:bottom w:val="nil"/>
              <w:right w:val="nil"/>
            </w:tcBorders>
            <w:vAlign w:val="center"/>
          </w:tcPr>
          <w:p w14:paraId="7A2B436D" w14:textId="77777777" w:rsidR="00E308DA" w:rsidRDefault="00E308DA" w:rsidP="00E308DA">
            <w:pPr>
              <w:spacing w:after="0" w:line="240" w:lineRule="auto"/>
              <w:ind w:firstLineChars="100" w:firstLine="200"/>
              <w:rPr>
                <w:rFonts w:cs="Arial"/>
                <w:sz w:val="20"/>
              </w:rPr>
            </w:pPr>
            <w:r>
              <w:rPr>
                <w:rFonts w:cs="Arial"/>
                <w:sz w:val="20"/>
              </w:rPr>
              <w:t>Ischemic Stroke</w:t>
            </w:r>
          </w:p>
        </w:tc>
        <w:tc>
          <w:tcPr>
            <w:tcW w:w="1483" w:type="dxa"/>
            <w:tcBorders>
              <w:top w:val="nil"/>
              <w:left w:val="nil"/>
              <w:bottom w:val="nil"/>
              <w:right w:val="nil"/>
            </w:tcBorders>
            <w:vAlign w:val="bottom"/>
          </w:tcPr>
          <w:p w14:paraId="68C6A023" w14:textId="77777777" w:rsidR="00E308DA" w:rsidRDefault="00E308DA" w:rsidP="00E308DA">
            <w:pPr>
              <w:spacing w:after="0" w:line="240" w:lineRule="auto"/>
              <w:jc w:val="center"/>
              <w:rPr>
                <w:rFonts w:cs="Arial"/>
                <w:sz w:val="20"/>
              </w:rPr>
            </w:pPr>
            <w:r>
              <w:rPr>
                <w:rFonts w:cs="Arial"/>
                <w:sz w:val="20"/>
              </w:rPr>
              <w:t>90 (1.3%)</w:t>
            </w:r>
          </w:p>
        </w:tc>
        <w:tc>
          <w:tcPr>
            <w:tcW w:w="1707" w:type="dxa"/>
            <w:tcBorders>
              <w:top w:val="nil"/>
              <w:left w:val="nil"/>
              <w:bottom w:val="nil"/>
              <w:right w:val="nil"/>
            </w:tcBorders>
            <w:vAlign w:val="bottom"/>
          </w:tcPr>
          <w:p w14:paraId="26FA3C27" w14:textId="77777777" w:rsidR="00E308DA" w:rsidRDefault="00E308DA" w:rsidP="00E308DA">
            <w:pPr>
              <w:spacing w:after="0" w:line="240" w:lineRule="auto"/>
              <w:jc w:val="center"/>
              <w:rPr>
                <w:rFonts w:cs="Arial"/>
                <w:sz w:val="20"/>
              </w:rPr>
            </w:pPr>
            <w:r>
              <w:rPr>
                <w:rFonts w:cs="Arial"/>
                <w:sz w:val="20"/>
              </w:rPr>
              <w:t>400 (1.1%)</w:t>
            </w:r>
          </w:p>
        </w:tc>
        <w:tc>
          <w:tcPr>
            <w:tcW w:w="1083" w:type="dxa"/>
            <w:vMerge/>
            <w:tcBorders>
              <w:top w:val="nil"/>
              <w:left w:val="nil"/>
              <w:bottom w:val="nil"/>
              <w:right w:val="nil"/>
            </w:tcBorders>
            <w:vAlign w:val="center"/>
          </w:tcPr>
          <w:p w14:paraId="68E26B0C" w14:textId="77777777" w:rsidR="00E308DA" w:rsidRDefault="00E308DA" w:rsidP="00E308DA">
            <w:pPr>
              <w:spacing w:after="0" w:line="240" w:lineRule="auto"/>
              <w:rPr>
                <w:rFonts w:cs="Arial"/>
                <w:sz w:val="20"/>
              </w:rPr>
            </w:pPr>
          </w:p>
        </w:tc>
      </w:tr>
      <w:tr w:rsidR="00E308DA" w14:paraId="4A217941" w14:textId="77777777" w:rsidTr="00D942F8">
        <w:tc>
          <w:tcPr>
            <w:tcW w:w="3865" w:type="dxa"/>
            <w:tcBorders>
              <w:top w:val="nil"/>
              <w:left w:val="nil"/>
              <w:bottom w:val="nil"/>
              <w:right w:val="nil"/>
            </w:tcBorders>
            <w:vAlign w:val="center"/>
          </w:tcPr>
          <w:p w14:paraId="7898501A" w14:textId="77777777" w:rsidR="00E308DA" w:rsidRDefault="00E308DA" w:rsidP="00E308DA">
            <w:pPr>
              <w:spacing w:after="0" w:line="240" w:lineRule="auto"/>
              <w:ind w:firstLineChars="100" w:firstLine="200"/>
              <w:rPr>
                <w:rFonts w:cs="Arial"/>
                <w:sz w:val="20"/>
              </w:rPr>
            </w:pPr>
            <w:r>
              <w:rPr>
                <w:rFonts w:cs="Arial"/>
                <w:sz w:val="20"/>
              </w:rPr>
              <w:t>Renal Disease</w:t>
            </w:r>
          </w:p>
        </w:tc>
        <w:tc>
          <w:tcPr>
            <w:tcW w:w="1483" w:type="dxa"/>
            <w:tcBorders>
              <w:top w:val="nil"/>
              <w:left w:val="nil"/>
              <w:bottom w:val="nil"/>
              <w:right w:val="nil"/>
            </w:tcBorders>
            <w:vAlign w:val="bottom"/>
          </w:tcPr>
          <w:p w14:paraId="0645FE58" w14:textId="77777777" w:rsidR="00E308DA" w:rsidRDefault="00E308DA" w:rsidP="00E308DA">
            <w:pPr>
              <w:spacing w:after="0" w:line="240" w:lineRule="auto"/>
              <w:jc w:val="center"/>
              <w:rPr>
                <w:rFonts w:cs="Arial"/>
                <w:sz w:val="20"/>
              </w:rPr>
            </w:pPr>
            <w:r>
              <w:rPr>
                <w:rFonts w:cs="Arial"/>
                <w:sz w:val="20"/>
              </w:rPr>
              <w:t>74 (1.0%)</w:t>
            </w:r>
          </w:p>
        </w:tc>
        <w:tc>
          <w:tcPr>
            <w:tcW w:w="1707" w:type="dxa"/>
            <w:tcBorders>
              <w:top w:val="nil"/>
              <w:left w:val="nil"/>
              <w:bottom w:val="nil"/>
              <w:right w:val="nil"/>
            </w:tcBorders>
            <w:vAlign w:val="bottom"/>
          </w:tcPr>
          <w:p w14:paraId="463B240D" w14:textId="77777777" w:rsidR="00E308DA" w:rsidRDefault="00E308DA" w:rsidP="00E308DA">
            <w:pPr>
              <w:spacing w:after="0" w:line="240" w:lineRule="auto"/>
              <w:jc w:val="center"/>
              <w:rPr>
                <w:rFonts w:cs="Arial"/>
                <w:sz w:val="20"/>
              </w:rPr>
            </w:pPr>
            <w:r>
              <w:rPr>
                <w:rFonts w:cs="Arial"/>
                <w:sz w:val="20"/>
              </w:rPr>
              <w:t>297 (0.8%)</w:t>
            </w:r>
          </w:p>
        </w:tc>
        <w:tc>
          <w:tcPr>
            <w:tcW w:w="1083" w:type="dxa"/>
            <w:vMerge/>
            <w:tcBorders>
              <w:top w:val="nil"/>
              <w:left w:val="nil"/>
              <w:bottom w:val="nil"/>
              <w:right w:val="nil"/>
            </w:tcBorders>
            <w:vAlign w:val="center"/>
          </w:tcPr>
          <w:p w14:paraId="65E2D565" w14:textId="77777777" w:rsidR="00E308DA" w:rsidRDefault="00E308DA" w:rsidP="00E308DA">
            <w:pPr>
              <w:spacing w:after="0" w:line="240" w:lineRule="auto"/>
              <w:rPr>
                <w:rFonts w:cs="Arial"/>
                <w:sz w:val="20"/>
              </w:rPr>
            </w:pPr>
          </w:p>
        </w:tc>
      </w:tr>
      <w:tr w:rsidR="00E308DA" w14:paraId="3EE6CB61" w14:textId="77777777" w:rsidTr="00D942F8">
        <w:tc>
          <w:tcPr>
            <w:tcW w:w="3865" w:type="dxa"/>
            <w:tcBorders>
              <w:top w:val="nil"/>
              <w:left w:val="nil"/>
              <w:bottom w:val="single" w:sz="4" w:space="0" w:color="auto"/>
              <w:right w:val="nil"/>
            </w:tcBorders>
            <w:vAlign w:val="center"/>
          </w:tcPr>
          <w:p w14:paraId="01358C3B" w14:textId="77777777" w:rsidR="00E308DA" w:rsidRDefault="00E308DA" w:rsidP="00E308DA">
            <w:pPr>
              <w:spacing w:after="0" w:line="240" w:lineRule="auto"/>
              <w:ind w:firstLineChars="100" w:firstLine="200"/>
              <w:rPr>
                <w:rFonts w:cs="Arial"/>
                <w:sz w:val="20"/>
              </w:rPr>
            </w:pPr>
            <w:r>
              <w:rPr>
                <w:rFonts w:cs="Arial"/>
                <w:sz w:val="20"/>
              </w:rPr>
              <w:t>Other Non-Cancer</w:t>
            </w:r>
          </w:p>
        </w:tc>
        <w:tc>
          <w:tcPr>
            <w:tcW w:w="1483" w:type="dxa"/>
            <w:tcBorders>
              <w:top w:val="nil"/>
              <w:left w:val="nil"/>
              <w:bottom w:val="single" w:sz="4" w:space="0" w:color="auto"/>
              <w:right w:val="nil"/>
            </w:tcBorders>
            <w:vAlign w:val="bottom"/>
          </w:tcPr>
          <w:p w14:paraId="7E517032" w14:textId="77777777" w:rsidR="00E308DA" w:rsidRDefault="00E308DA" w:rsidP="00E308DA">
            <w:pPr>
              <w:spacing w:after="0" w:line="240" w:lineRule="auto"/>
              <w:jc w:val="center"/>
              <w:rPr>
                <w:rFonts w:cs="Arial"/>
                <w:sz w:val="20"/>
              </w:rPr>
            </w:pPr>
            <w:r>
              <w:rPr>
                <w:rFonts w:cs="Arial"/>
                <w:sz w:val="20"/>
              </w:rPr>
              <w:t>247 (3.5%)</w:t>
            </w:r>
          </w:p>
        </w:tc>
        <w:tc>
          <w:tcPr>
            <w:tcW w:w="1707" w:type="dxa"/>
            <w:tcBorders>
              <w:top w:val="nil"/>
              <w:left w:val="nil"/>
              <w:bottom w:val="single" w:sz="4" w:space="0" w:color="auto"/>
              <w:right w:val="nil"/>
            </w:tcBorders>
            <w:vAlign w:val="bottom"/>
          </w:tcPr>
          <w:p w14:paraId="154A3A49" w14:textId="77777777" w:rsidR="00E308DA" w:rsidRDefault="00E308DA" w:rsidP="00E308DA">
            <w:pPr>
              <w:spacing w:after="0" w:line="240" w:lineRule="auto"/>
              <w:jc w:val="center"/>
              <w:rPr>
                <w:rFonts w:cs="Arial"/>
                <w:sz w:val="20"/>
              </w:rPr>
            </w:pPr>
            <w:r>
              <w:rPr>
                <w:rFonts w:cs="Arial"/>
                <w:sz w:val="20"/>
              </w:rPr>
              <w:t>1476 (4.2%)</w:t>
            </w:r>
          </w:p>
        </w:tc>
        <w:tc>
          <w:tcPr>
            <w:tcW w:w="1083" w:type="dxa"/>
            <w:vMerge/>
            <w:tcBorders>
              <w:top w:val="nil"/>
              <w:left w:val="nil"/>
              <w:bottom w:val="single" w:sz="4" w:space="0" w:color="auto"/>
              <w:right w:val="nil"/>
            </w:tcBorders>
            <w:vAlign w:val="center"/>
          </w:tcPr>
          <w:p w14:paraId="5BAAB4CC" w14:textId="77777777" w:rsidR="00E308DA" w:rsidRDefault="00E308DA" w:rsidP="00E308DA">
            <w:pPr>
              <w:spacing w:after="0" w:line="240" w:lineRule="auto"/>
              <w:rPr>
                <w:rFonts w:cs="Arial"/>
                <w:sz w:val="20"/>
              </w:rPr>
            </w:pPr>
          </w:p>
        </w:tc>
      </w:tr>
      <w:tr w:rsidR="00D942F8" w14:paraId="006B81D0" w14:textId="77777777" w:rsidTr="00D942F8">
        <w:tc>
          <w:tcPr>
            <w:tcW w:w="8138" w:type="dxa"/>
            <w:gridSpan w:val="4"/>
            <w:tcBorders>
              <w:top w:val="nil"/>
              <w:left w:val="nil"/>
              <w:bottom w:val="nil"/>
              <w:right w:val="nil"/>
            </w:tcBorders>
            <w:vAlign w:val="bottom"/>
          </w:tcPr>
          <w:p w14:paraId="668B132D" w14:textId="77777777" w:rsidR="00D942F8" w:rsidRDefault="00D942F8" w:rsidP="00086B0C">
            <w:pPr>
              <w:spacing w:after="0" w:line="240" w:lineRule="auto"/>
              <w:ind w:right="630"/>
              <w:rPr>
                <w:rFonts w:cs="Arial"/>
                <w:b/>
                <w:szCs w:val="22"/>
              </w:rPr>
            </w:pPr>
          </w:p>
        </w:tc>
      </w:tr>
      <w:tr w:rsidR="00D942F8" w14:paraId="6BB787ED" w14:textId="77777777" w:rsidTr="00D942F8">
        <w:tc>
          <w:tcPr>
            <w:tcW w:w="8138" w:type="dxa"/>
            <w:gridSpan w:val="4"/>
            <w:tcBorders>
              <w:top w:val="nil"/>
              <w:left w:val="nil"/>
              <w:bottom w:val="single" w:sz="4" w:space="0" w:color="auto"/>
              <w:right w:val="nil"/>
            </w:tcBorders>
            <w:vAlign w:val="bottom"/>
          </w:tcPr>
          <w:p w14:paraId="32FB09A8" w14:textId="777FBC08" w:rsidR="00D942F8" w:rsidRDefault="003E2940" w:rsidP="00D942F8">
            <w:pPr>
              <w:spacing w:after="0" w:line="240" w:lineRule="auto"/>
              <w:ind w:left="720" w:right="630" w:firstLine="702"/>
              <w:jc w:val="center"/>
              <w:rPr>
                <w:rFonts w:cs="Arial"/>
                <w:b/>
                <w:szCs w:val="22"/>
              </w:rPr>
            </w:pPr>
            <w:r>
              <w:rPr>
                <w:rFonts w:cs="Arial"/>
                <w:b/>
                <w:szCs w:val="22"/>
              </w:rPr>
              <w:t>TABLE XV</w:t>
            </w:r>
            <w:r w:rsidR="00D942F8">
              <w:rPr>
                <w:rFonts w:cs="Arial"/>
                <w:b/>
                <w:szCs w:val="22"/>
              </w:rPr>
              <w:t xml:space="preserve"> (continued)</w:t>
            </w:r>
          </w:p>
          <w:p w14:paraId="63AE3ED5" w14:textId="77777777" w:rsidR="00D942F8" w:rsidRPr="00CF4179" w:rsidRDefault="00D942F8" w:rsidP="00D942F8">
            <w:pPr>
              <w:spacing w:after="0" w:line="240" w:lineRule="auto"/>
              <w:ind w:left="720" w:right="630"/>
              <w:jc w:val="center"/>
              <w:rPr>
                <w:rFonts w:cs="Arial"/>
                <w:b/>
                <w:szCs w:val="22"/>
              </w:rPr>
            </w:pPr>
          </w:p>
          <w:p w14:paraId="40C54A13" w14:textId="03B4D64D" w:rsidR="00D942F8" w:rsidRPr="00D942F8" w:rsidRDefault="00D942F8" w:rsidP="00D942F8">
            <w:pPr>
              <w:spacing w:after="0" w:line="240" w:lineRule="auto"/>
              <w:ind w:right="-160"/>
              <w:jc w:val="center"/>
              <w:rPr>
                <w:rFonts w:cs="Arial"/>
                <w:caps/>
                <w:szCs w:val="22"/>
              </w:rPr>
            </w:pPr>
            <w:r w:rsidRPr="00CF4179">
              <w:rPr>
                <w:rFonts w:cs="Arial"/>
                <w:caps/>
                <w:szCs w:val="22"/>
              </w:rPr>
              <w:t>Baseline Char</w:t>
            </w:r>
            <w:r>
              <w:rPr>
                <w:rFonts w:cs="Arial"/>
                <w:caps/>
                <w:szCs w:val="22"/>
              </w:rPr>
              <w:t xml:space="preserve">acteristics of Hospice Patients </w:t>
            </w:r>
            <w:r w:rsidRPr="00CF4179">
              <w:rPr>
                <w:rFonts w:cs="Arial"/>
                <w:caps/>
                <w:szCs w:val="22"/>
              </w:rPr>
              <w:t>Experiencing One or More Healthcare Transition After Hospice Admission and Matched Controls</w:t>
            </w:r>
          </w:p>
        </w:tc>
      </w:tr>
      <w:tr w:rsidR="00FE531B" w14:paraId="59C4C5EF" w14:textId="77777777" w:rsidTr="0070364F">
        <w:tc>
          <w:tcPr>
            <w:tcW w:w="3865" w:type="dxa"/>
            <w:tcBorders>
              <w:top w:val="single" w:sz="4" w:space="0" w:color="auto"/>
              <w:left w:val="nil"/>
              <w:bottom w:val="single" w:sz="4" w:space="0" w:color="auto"/>
              <w:right w:val="nil"/>
            </w:tcBorders>
            <w:vAlign w:val="bottom"/>
          </w:tcPr>
          <w:p w14:paraId="105F74EB" w14:textId="20CEE81F" w:rsidR="00FE531B" w:rsidRPr="00FE531B" w:rsidRDefault="00FE531B" w:rsidP="00FE531B">
            <w:pPr>
              <w:spacing w:after="0" w:line="240" w:lineRule="auto"/>
              <w:rPr>
                <w:rFonts w:cs="Arial"/>
                <w:b/>
                <w:sz w:val="20"/>
              </w:rPr>
            </w:pPr>
            <w:r w:rsidRPr="00FE531B">
              <w:rPr>
                <w:rFonts w:cs="Arial"/>
                <w:b/>
                <w:sz w:val="20"/>
              </w:rPr>
              <w:t>Characteristic</w:t>
            </w:r>
          </w:p>
        </w:tc>
        <w:tc>
          <w:tcPr>
            <w:tcW w:w="1483" w:type="dxa"/>
            <w:tcBorders>
              <w:top w:val="single" w:sz="4" w:space="0" w:color="auto"/>
              <w:left w:val="nil"/>
              <w:bottom w:val="single" w:sz="4" w:space="0" w:color="auto"/>
              <w:right w:val="nil"/>
            </w:tcBorders>
            <w:vAlign w:val="bottom"/>
          </w:tcPr>
          <w:p w14:paraId="45C41552" w14:textId="77777777" w:rsidR="00FE531B" w:rsidRDefault="00FE531B" w:rsidP="00FE531B">
            <w:pPr>
              <w:spacing w:after="0" w:line="240" w:lineRule="auto"/>
              <w:jc w:val="center"/>
              <w:rPr>
                <w:rFonts w:cs="Arial"/>
                <w:b/>
                <w:sz w:val="20"/>
              </w:rPr>
            </w:pPr>
            <w:r w:rsidRPr="00FE531B">
              <w:rPr>
                <w:rFonts w:cs="Arial"/>
                <w:b/>
                <w:sz w:val="20"/>
              </w:rPr>
              <w:t>Transitioners</w:t>
            </w:r>
          </w:p>
          <w:p w14:paraId="39151D9C" w14:textId="0E72C861" w:rsidR="0070364F" w:rsidRPr="00FE531B" w:rsidRDefault="0070364F" w:rsidP="00FE531B">
            <w:pPr>
              <w:spacing w:after="0" w:line="240" w:lineRule="auto"/>
              <w:jc w:val="center"/>
              <w:rPr>
                <w:rFonts w:cs="Arial"/>
                <w:b/>
                <w:sz w:val="20"/>
              </w:rPr>
            </w:pPr>
            <w:r w:rsidRPr="00FE531B">
              <w:rPr>
                <w:rFonts w:cs="Arial"/>
                <w:b/>
                <w:sz w:val="20"/>
              </w:rPr>
              <w:t>No. (%)</w:t>
            </w:r>
          </w:p>
        </w:tc>
        <w:tc>
          <w:tcPr>
            <w:tcW w:w="1707" w:type="dxa"/>
            <w:tcBorders>
              <w:top w:val="single" w:sz="4" w:space="0" w:color="auto"/>
              <w:left w:val="nil"/>
              <w:bottom w:val="single" w:sz="4" w:space="0" w:color="auto"/>
              <w:right w:val="nil"/>
            </w:tcBorders>
            <w:vAlign w:val="bottom"/>
          </w:tcPr>
          <w:p w14:paraId="647DDFB1" w14:textId="77777777" w:rsidR="00FE531B" w:rsidRDefault="00FE531B" w:rsidP="00FE531B">
            <w:pPr>
              <w:spacing w:after="0" w:line="240" w:lineRule="auto"/>
              <w:jc w:val="center"/>
              <w:rPr>
                <w:rFonts w:cs="Arial"/>
                <w:b/>
                <w:sz w:val="20"/>
              </w:rPr>
            </w:pPr>
            <w:r w:rsidRPr="00FE531B">
              <w:rPr>
                <w:rFonts w:cs="Arial"/>
                <w:b/>
                <w:sz w:val="20"/>
              </w:rPr>
              <w:t>Controls</w:t>
            </w:r>
          </w:p>
          <w:p w14:paraId="7A1DB306" w14:textId="4BFB7AD1" w:rsidR="0070364F" w:rsidRPr="00FE531B" w:rsidRDefault="0070364F" w:rsidP="00FE531B">
            <w:pPr>
              <w:spacing w:after="0" w:line="240" w:lineRule="auto"/>
              <w:jc w:val="center"/>
              <w:rPr>
                <w:b/>
                <w:sz w:val="20"/>
              </w:rPr>
            </w:pPr>
            <w:r w:rsidRPr="00FE531B">
              <w:rPr>
                <w:rFonts w:cs="Arial"/>
                <w:b/>
                <w:sz w:val="20"/>
              </w:rPr>
              <w:t>No. (%)</w:t>
            </w:r>
          </w:p>
        </w:tc>
        <w:tc>
          <w:tcPr>
            <w:tcW w:w="1083" w:type="dxa"/>
            <w:tcBorders>
              <w:top w:val="single" w:sz="4" w:space="0" w:color="auto"/>
              <w:left w:val="nil"/>
              <w:bottom w:val="single" w:sz="4" w:space="0" w:color="auto"/>
              <w:right w:val="nil"/>
            </w:tcBorders>
            <w:vAlign w:val="bottom"/>
          </w:tcPr>
          <w:p w14:paraId="6069E6B6" w14:textId="02BC5F21" w:rsidR="00FE531B" w:rsidRPr="00FE531B" w:rsidRDefault="00FE531B" w:rsidP="00FE531B">
            <w:pPr>
              <w:spacing w:after="0" w:line="240" w:lineRule="auto"/>
              <w:jc w:val="center"/>
              <w:rPr>
                <w:b/>
                <w:sz w:val="20"/>
              </w:rPr>
            </w:pPr>
            <w:r w:rsidRPr="00FE531B">
              <w:rPr>
                <w:rFonts w:cs="Arial"/>
                <w:b/>
                <w:sz w:val="20"/>
              </w:rPr>
              <w:t>p-value</w:t>
            </w:r>
          </w:p>
        </w:tc>
      </w:tr>
      <w:tr w:rsidR="00FE531B" w14:paraId="638CFBAD" w14:textId="77777777" w:rsidTr="0070364F">
        <w:tc>
          <w:tcPr>
            <w:tcW w:w="3865" w:type="dxa"/>
            <w:tcBorders>
              <w:top w:val="single" w:sz="4" w:space="0" w:color="auto"/>
              <w:left w:val="nil"/>
              <w:bottom w:val="nil"/>
              <w:right w:val="nil"/>
            </w:tcBorders>
            <w:vAlign w:val="center"/>
          </w:tcPr>
          <w:p w14:paraId="371516D7" w14:textId="77777777" w:rsidR="00FE531B" w:rsidRDefault="00FE531B" w:rsidP="00FE531B">
            <w:pPr>
              <w:spacing w:after="0" w:line="240" w:lineRule="auto"/>
              <w:rPr>
                <w:rFonts w:cs="Arial"/>
                <w:sz w:val="20"/>
              </w:rPr>
            </w:pPr>
            <w:r>
              <w:rPr>
                <w:rFonts w:cs="Arial"/>
                <w:sz w:val="20"/>
              </w:rPr>
              <w:t>Comorbidity</w:t>
            </w:r>
          </w:p>
        </w:tc>
        <w:tc>
          <w:tcPr>
            <w:tcW w:w="1483" w:type="dxa"/>
            <w:tcBorders>
              <w:top w:val="single" w:sz="4" w:space="0" w:color="auto"/>
              <w:left w:val="nil"/>
              <w:bottom w:val="nil"/>
              <w:right w:val="nil"/>
            </w:tcBorders>
            <w:vAlign w:val="bottom"/>
          </w:tcPr>
          <w:p w14:paraId="3F19FE56" w14:textId="77777777" w:rsidR="00FE531B" w:rsidRDefault="00FE531B" w:rsidP="00FE531B">
            <w:pPr>
              <w:spacing w:after="0" w:line="240" w:lineRule="auto"/>
              <w:rPr>
                <w:rFonts w:cs="Arial"/>
                <w:sz w:val="20"/>
              </w:rPr>
            </w:pPr>
          </w:p>
        </w:tc>
        <w:tc>
          <w:tcPr>
            <w:tcW w:w="1707" w:type="dxa"/>
            <w:tcBorders>
              <w:top w:val="single" w:sz="4" w:space="0" w:color="auto"/>
              <w:left w:val="nil"/>
              <w:bottom w:val="nil"/>
              <w:right w:val="nil"/>
            </w:tcBorders>
            <w:vAlign w:val="bottom"/>
          </w:tcPr>
          <w:p w14:paraId="633F06FA" w14:textId="77777777" w:rsidR="00FE531B" w:rsidRDefault="00FE531B" w:rsidP="00FE531B">
            <w:pPr>
              <w:spacing w:after="0" w:line="240" w:lineRule="auto"/>
              <w:rPr>
                <w:sz w:val="20"/>
              </w:rPr>
            </w:pPr>
          </w:p>
        </w:tc>
        <w:tc>
          <w:tcPr>
            <w:tcW w:w="1083" w:type="dxa"/>
            <w:tcBorders>
              <w:top w:val="single" w:sz="4" w:space="0" w:color="auto"/>
              <w:left w:val="nil"/>
              <w:bottom w:val="nil"/>
              <w:right w:val="nil"/>
            </w:tcBorders>
            <w:vAlign w:val="center"/>
          </w:tcPr>
          <w:p w14:paraId="03FB8794" w14:textId="77777777" w:rsidR="00FE531B" w:rsidRDefault="00FE531B" w:rsidP="00FE531B">
            <w:pPr>
              <w:spacing w:after="0" w:line="240" w:lineRule="auto"/>
              <w:rPr>
                <w:sz w:val="20"/>
              </w:rPr>
            </w:pPr>
          </w:p>
        </w:tc>
      </w:tr>
      <w:tr w:rsidR="00FE531B" w14:paraId="16BE0922" w14:textId="77777777" w:rsidTr="0070364F">
        <w:tc>
          <w:tcPr>
            <w:tcW w:w="3865" w:type="dxa"/>
            <w:tcBorders>
              <w:top w:val="nil"/>
              <w:left w:val="nil"/>
              <w:bottom w:val="nil"/>
              <w:right w:val="nil"/>
            </w:tcBorders>
            <w:vAlign w:val="center"/>
          </w:tcPr>
          <w:p w14:paraId="329FFD8E" w14:textId="77777777" w:rsidR="00FE531B" w:rsidRDefault="00FE531B" w:rsidP="00FE531B">
            <w:pPr>
              <w:spacing w:after="0" w:line="240" w:lineRule="auto"/>
              <w:ind w:firstLineChars="100" w:firstLine="200"/>
              <w:rPr>
                <w:rFonts w:cs="Arial"/>
                <w:sz w:val="20"/>
              </w:rPr>
            </w:pPr>
            <w:r>
              <w:rPr>
                <w:rFonts w:cs="Arial"/>
                <w:sz w:val="20"/>
              </w:rPr>
              <w:t>Hypertension</w:t>
            </w:r>
          </w:p>
        </w:tc>
        <w:tc>
          <w:tcPr>
            <w:tcW w:w="1483" w:type="dxa"/>
            <w:tcBorders>
              <w:top w:val="nil"/>
              <w:left w:val="nil"/>
              <w:bottom w:val="nil"/>
              <w:right w:val="nil"/>
            </w:tcBorders>
            <w:vAlign w:val="bottom"/>
          </w:tcPr>
          <w:p w14:paraId="3ECF0508" w14:textId="77777777" w:rsidR="00FE531B" w:rsidRDefault="00FE531B" w:rsidP="00FE531B">
            <w:pPr>
              <w:spacing w:after="0" w:line="240" w:lineRule="auto"/>
              <w:jc w:val="center"/>
              <w:rPr>
                <w:rFonts w:cs="Arial"/>
                <w:sz w:val="20"/>
              </w:rPr>
            </w:pPr>
            <w:r>
              <w:rPr>
                <w:rFonts w:cs="Arial"/>
                <w:sz w:val="20"/>
              </w:rPr>
              <w:t>5765 (81.6%)</w:t>
            </w:r>
          </w:p>
        </w:tc>
        <w:tc>
          <w:tcPr>
            <w:tcW w:w="1707" w:type="dxa"/>
            <w:tcBorders>
              <w:top w:val="nil"/>
              <w:left w:val="nil"/>
              <w:bottom w:val="nil"/>
              <w:right w:val="nil"/>
            </w:tcBorders>
            <w:vAlign w:val="bottom"/>
          </w:tcPr>
          <w:p w14:paraId="2700D295" w14:textId="77777777" w:rsidR="00FE531B" w:rsidRDefault="00FE531B" w:rsidP="00FE531B">
            <w:pPr>
              <w:spacing w:after="0" w:line="240" w:lineRule="auto"/>
              <w:jc w:val="center"/>
              <w:rPr>
                <w:rFonts w:cs="Arial"/>
                <w:sz w:val="20"/>
              </w:rPr>
            </w:pPr>
            <w:r>
              <w:rPr>
                <w:rFonts w:cs="Arial"/>
                <w:sz w:val="20"/>
              </w:rPr>
              <w:t xml:space="preserve">27387 (77.8%) </w:t>
            </w:r>
          </w:p>
        </w:tc>
        <w:tc>
          <w:tcPr>
            <w:tcW w:w="1083" w:type="dxa"/>
            <w:tcBorders>
              <w:top w:val="nil"/>
              <w:left w:val="nil"/>
              <w:bottom w:val="nil"/>
              <w:right w:val="nil"/>
            </w:tcBorders>
            <w:vAlign w:val="bottom"/>
          </w:tcPr>
          <w:p w14:paraId="659B6D53" w14:textId="77777777" w:rsidR="00FE531B" w:rsidRDefault="00FE531B" w:rsidP="00FE531B">
            <w:pPr>
              <w:spacing w:after="0" w:line="240" w:lineRule="auto"/>
              <w:jc w:val="center"/>
              <w:rPr>
                <w:rFonts w:cs="Arial"/>
                <w:sz w:val="20"/>
              </w:rPr>
            </w:pPr>
            <w:r>
              <w:rPr>
                <w:rFonts w:cs="Arial"/>
                <w:sz w:val="20"/>
              </w:rPr>
              <w:t>&lt;0.001</w:t>
            </w:r>
          </w:p>
        </w:tc>
      </w:tr>
      <w:tr w:rsidR="00FE531B" w14:paraId="17D38968" w14:textId="77777777" w:rsidTr="0070364F">
        <w:tc>
          <w:tcPr>
            <w:tcW w:w="3865" w:type="dxa"/>
            <w:tcBorders>
              <w:top w:val="nil"/>
              <w:left w:val="nil"/>
              <w:bottom w:val="nil"/>
              <w:right w:val="nil"/>
            </w:tcBorders>
            <w:vAlign w:val="center"/>
          </w:tcPr>
          <w:p w14:paraId="13711A1F" w14:textId="77777777" w:rsidR="00FE531B" w:rsidRDefault="00FE531B" w:rsidP="00FE531B">
            <w:pPr>
              <w:spacing w:after="0" w:line="240" w:lineRule="auto"/>
              <w:ind w:firstLineChars="100" w:firstLine="200"/>
              <w:rPr>
                <w:rFonts w:cs="Arial"/>
                <w:sz w:val="20"/>
              </w:rPr>
            </w:pPr>
            <w:r>
              <w:rPr>
                <w:rFonts w:cs="Arial"/>
                <w:sz w:val="20"/>
              </w:rPr>
              <w:t>Heart Failure</w:t>
            </w:r>
          </w:p>
        </w:tc>
        <w:tc>
          <w:tcPr>
            <w:tcW w:w="1483" w:type="dxa"/>
            <w:tcBorders>
              <w:top w:val="nil"/>
              <w:left w:val="nil"/>
              <w:bottom w:val="nil"/>
              <w:right w:val="nil"/>
            </w:tcBorders>
            <w:vAlign w:val="bottom"/>
          </w:tcPr>
          <w:p w14:paraId="7503D6A6" w14:textId="77777777" w:rsidR="00FE531B" w:rsidRDefault="00FE531B" w:rsidP="00FE531B">
            <w:pPr>
              <w:spacing w:after="0" w:line="240" w:lineRule="auto"/>
              <w:jc w:val="center"/>
              <w:rPr>
                <w:rFonts w:cs="Arial"/>
                <w:sz w:val="20"/>
              </w:rPr>
            </w:pPr>
            <w:r>
              <w:rPr>
                <w:rFonts w:cs="Arial"/>
                <w:sz w:val="20"/>
              </w:rPr>
              <w:t xml:space="preserve">2277 (32.2%) </w:t>
            </w:r>
          </w:p>
        </w:tc>
        <w:tc>
          <w:tcPr>
            <w:tcW w:w="1707" w:type="dxa"/>
            <w:tcBorders>
              <w:top w:val="nil"/>
              <w:left w:val="nil"/>
              <w:bottom w:val="nil"/>
              <w:right w:val="nil"/>
            </w:tcBorders>
            <w:vAlign w:val="bottom"/>
          </w:tcPr>
          <w:p w14:paraId="2F4E91C5" w14:textId="77777777" w:rsidR="00FE531B" w:rsidRDefault="00FE531B" w:rsidP="00FE531B">
            <w:pPr>
              <w:spacing w:after="0" w:line="240" w:lineRule="auto"/>
              <w:jc w:val="center"/>
              <w:rPr>
                <w:rFonts w:cs="Arial"/>
                <w:sz w:val="20"/>
              </w:rPr>
            </w:pPr>
            <w:r>
              <w:rPr>
                <w:rFonts w:cs="Arial"/>
                <w:sz w:val="20"/>
              </w:rPr>
              <w:t>10102 (28.7%)</w:t>
            </w:r>
          </w:p>
        </w:tc>
        <w:tc>
          <w:tcPr>
            <w:tcW w:w="1083" w:type="dxa"/>
            <w:tcBorders>
              <w:top w:val="nil"/>
              <w:left w:val="nil"/>
              <w:bottom w:val="nil"/>
              <w:right w:val="nil"/>
            </w:tcBorders>
            <w:vAlign w:val="bottom"/>
          </w:tcPr>
          <w:p w14:paraId="743B08F5" w14:textId="77777777" w:rsidR="00FE531B" w:rsidRDefault="00FE531B" w:rsidP="00FE531B">
            <w:pPr>
              <w:spacing w:after="0" w:line="240" w:lineRule="auto"/>
              <w:jc w:val="center"/>
              <w:rPr>
                <w:rFonts w:cs="Arial"/>
                <w:sz w:val="20"/>
              </w:rPr>
            </w:pPr>
            <w:r>
              <w:rPr>
                <w:rFonts w:cs="Arial"/>
                <w:sz w:val="20"/>
              </w:rPr>
              <w:t>&lt;0.001</w:t>
            </w:r>
          </w:p>
        </w:tc>
      </w:tr>
      <w:tr w:rsidR="00FE531B" w14:paraId="33F9374C" w14:textId="77777777" w:rsidTr="0070364F">
        <w:tc>
          <w:tcPr>
            <w:tcW w:w="3865" w:type="dxa"/>
            <w:tcBorders>
              <w:top w:val="nil"/>
              <w:left w:val="nil"/>
              <w:bottom w:val="nil"/>
              <w:right w:val="nil"/>
            </w:tcBorders>
            <w:vAlign w:val="center"/>
          </w:tcPr>
          <w:p w14:paraId="294B0B90" w14:textId="77777777" w:rsidR="00FE531B" w:rsidRDefault="00FE531B" w:rsidP="00FE531B">
            <w:pPr>
              <w:spacing w:after="0" w:line="240" w:lineRule="auto"/>
              <w:ind w:firstLineChars="100" w:firstLine="200"/>
              <w:rPr>
                <w:rFonts w:cs="Arial"/>
                <w:sz w:val="20"/>
              </w:rPr>
            </w:pPr>
            <w:r>
              <w:rPr>
                <w:rFonts w:cs="Arial"/>
                <w:sz w:val="20"/>
              </w:rPr>
              <w:t>Diabetes Mellitus</w:t>
            </w:r>
          </w:p>
        </w:tc>
        <w:tc>
          <w:tcPr>
            <w:tcW w:w="1483" w:type="dxa"/>
            <w:tcBorders>
              <w:top w:val="nil"/>
              <w:left w:val="nil"/>
              <w:bottom w:val="nil"/>
              <w:right w:val="nil"/>
            </w:tcBorders>
            <w:vAlign w:val="bottom"/>
          </w:tcPr>
          <w:p w14:paraId="3F07504E" w14:textId="77777777" w:rsidR="00FE531B" w:rsidRDefault="00FE531B" w:rsidP="00FE531B">
            <w:pPr>
              <w:spacing w:after="0" w:line="240" w:lineRule="auto"/>
              <w:jc w:val="center"/>
              <w:rPr>
                <w:rFonts w:cs="Arial"/>
                <w:sz w:val="20"/>
              </w:rPr>
            </w:pPr>
            <w:r>
              <w:rPr>
                <w:rFonts w:cs="Arial"/>
                <w:sz w:val="20"/>
              </w:rPr>
              <w:t xml:space="preserve">2701 (38.2%) </w:t>
            </w:r>
          </w:p>
        </w:tc>
        <w:tc>
          <w:tcPr>
            <w:tcW w:w="1707" w:type="dxa"/>
            <w:tcBorders>
              <w:top w:val="nil"/>
              <w:left w:val="nil"/>
              <w:bottom w:val="nil"/>
              <w:right w:val="nil"/>
            </w:tcBorders>
            <w:vAlign w:val="bottom"/>
          </w:tcPr>
          <w:p w14:paraId="16A094A2" w14:textId="77777777" w:rsidR="00FE531B" w:rsidRDefault="00FE531B" w:rsidP="00FE531B">
            <w:pPr>
              <w:spacing w:after="0" w:line="240" w:lineRule="auto"/>
              <w:jc w:val="center"/>
              <w:rPr>
                <w:rFonts w:cs="Arial"/>
                <w:sz w:val="20"/>
              </w:rPr>
            </w:pPr>
            <w:r>
              <w:rPr>
                <w:rFonts w:cs="Arial"/>
                <w:sz w:val="20"/>
              </w:rPr>
              <w:t xml:space="preserve">11884 (33.8%) </w:t>
            </w:r>
          </w:p>
        </w:tc>
        <w:tc>
          <w:tcPr>
            <w:tcW w:w="1083" w:type="dxa"/>
            <w:tcBorders>
              <w:top w:val="nil"/>
              <w:left w:val="nil"/>
              <w:bottom w:val="nil"/>
              <w:right w:val="nil"/>
            </w:tcBorders>
            <w:vAlign w:val="bottom"/>
          </w:tcPr>
          <w:p w14:paraId="2972CB97" w14:textId="77777777" w:rsidR="00FE531B" w:rsidRDefault="00FE531B" w:rsidP="00FE531B">
            <w:pPr>
              <w:spacing w:after="0" w:line="240" w:lineRule="auto"/>
              <w:jc w:val="center"/>
              <w:rPr>
                <w:rFonts w:cs="Arial"/>
                <w:sz w:val="20"/>
              </w:rPr>
            </w:pPr>
            <w:r>
              <w:rPr>
                <w:rFonts w:cs="Arial"/>
                <w:sz w:val="20"/>
              </w:rPr>
              <w:t>&lt;0.001</w:t>
            </w:r>
          </w:p>
        </w:tc>
      </w:tr>
      <w:tr w:rsidR="00FE531B" w14:paraId="4BEF23AE" w14:textId="77777777" w:rsidTr="0070364F">
        <w:tc>
          <w:tcPr>
            <w:tcW w:w="3865" w:type="dxa"/>
            <w:tcBorders>
              <w:top w:val="nil"/>
              <w:left w:val="nil"/>
              <w:bottom w:val="nil"/>
              <w:right w:val="nil"/>
            </w:tcBorders>
            <w:vAlign w:val="center"/>
          </w:tcPr>
          <w:p w14:paraId="7ACB3779" w14:textId="77777777" w:rsidR="00FE531B" w:rsidRDefault="00FE531B" w:rsidP="00FE531B">
            <w:pPr>
              <w:spacing w:after="0" w:line="240" w:lineRule="auto"/>
              <w:ind w:firstLineChars="100" w:firstLine="200"/>
              <w:rPr>
                <w:rFonts w:cs="Arial"/>
                <w:sz w:val="20"/>
              </w:rPr>
            </w:pPr>
            <w:r>
              <w:rPr>
                <w:rFonts w:cs="Arial"/>
                <w:sz w:val="20"/>
              </w:rPr>
              <w:t>COPD</w:t>
            </w:r>
          </w:p>
        </w:tc>
        <w:tc>
          <w:tcPr>
            <w:tcW w:w="1483" w:type="dxa"/>
            <w:tcBorders>
              <w:top w:val="nil"/>
              <w:left w:val="nil"/>
              <w:bottom w:val="nil"/>
              <w:right w:val="nil"/>
            </w:tcBorders>
            <w:vAlign w:val="bottom"/>
          </w:tcPr>
          <w:p w14:paraId="611C0721" w14:textId="77777777" w:rsidR="00FE531B" w:rsidRDefault="00FE531B" w:rsidP="00FE531B">
            <w:pPr>
              <w:spacing w:after="0" w:line="240" w:lineRule="auto"/>
              <w:jc w:val="center"/>
              <w:rPr>
                <w:rFonts w:cs="Arial"/>
                <w:sz w:val="20"/>
              </w:rPr>
            </w:pPr>
            <w:r>
              <w:rPr>
                <w:rFonts w:cs="Arial"/>
                <w:sz w:val="20"/>
              </w:rPr>
              <w:t xml:space="preserve">3092 (43.8%) </w:t>
            </w:r>
          </w:p>
        </w:tc>
        <w:tc>
          <w:tcPr>
            <w:tcW w:w="1707" w:type="dxa"/>
            <w:tcBorders>
              <w:top w:val="nil"/>
              <w:left w:val="nil"/>
              <w:bottom w:val="nil"/>
              <w:right w:val="nil"/>
            </w:tcBorders>
            <w:vAlign w:val="bottom"/>
          </w:tcPr>
          <w:p w14:paraId="0B4A65AB" w14:textId="77777777" w:rsidR="00FE531B" w:rsidRDefault="00FE531B" w:rsidP="00FE531B">
            <w:pPr>
              <w:spacing w:after="0" w:line="240" w:lineRule="auto"/>
              <w:jc w:val="center"/>
              <w:rPr>
                <w:rFonts w:cs="Arial"/>
                <w:sz w:val="20"/>
              </w:rPr>
            </w:pPr>
            <w:r>
              <w:rPr>
                <w:rFonts w:cs="Arial"/>
                <w:sz w:val="20"/>
              </w:rPr>
              <w:t xml:space="preserve">14068 (40.0%) </w:t>
            </w:r>
          </w:p>
        </w:tc>
        <w:tc>
          <w:tcPr>
            <w:tcW w:w="1083" w:type="dxa"/>
            <w:tcBorders>
              <w:top w:val="nil"/>
              <w:left w:val="nil"/>
              <w:bottom w:val="nil"/>
              <w:right w:val="nil"/>
            </w:tcBorders>
            <w:vAlign w:val="bottom"/>
          </w:tcPr>
          <w:p w14:paraId="402AFB15" w14:textId="77777777" w:rsidR="00FE531B" w:rsidRDefault="00FE531B" w:rsidP="00FE531B">
            <w:pPr>
              <w:spacing w:after="0" w:line="240" w:lineRule="auto"/>
              <w:jc w:val="center"/>
              <w:rPr>
                <w:rFonts w:cs="Arial"/>
                <w:sz w:val="20"/>
              </w:rPr>
            </w:pPr>
            <w:r>
              <w:rPr>
                <w:rFonts w:cs="Arial"/>
                <w:sz w:val="20"/>
              </w:rPr>
              <w:t>&lt;0.001</w:t>
            </w:r>
          </w:p>
        </w:tc>
      </w:tr>
      <w:tr w:rsidR="00FE531B" w14:paraId="23F47793" w14:textId="77777777" w:rsidTr="0070364F">
        <w:tc>
          <w:tcPr>
            <w:tcW w:w="3865" w:type="dxa"/>
            <w:tcBorders>
              <w:top w:val="nil"/>
              <w:left w:val="nil"/>
              <w:bottom w:val="nil"/>
              <w:right w:val="nil"/>
            </w:tcBorders>
            <w:vAlign w:val="center"/>
          </w:tcPr>
          <w:p w14:paraId="303895E4" w14:textId="2890735E" w:rsidR="00FE531B" w:rsidRDefault="00FE531B" w:rsidP="00FE531B">
            <w:pPr>
              <w:spacing w:after="0" w:line="240" w:lineRule="auto"/>
              <w:ind w:firstLineChars="100" w:firstLine="200"/>
              <w:rPr>
                <w:rFonts w:cs="Arial"/>
                <w:sz w:val="20"/>
              </w:rPr>
            </w:pPr>
            <w:r>
              <w:rPr>
                <w:rFonts w:cs="Arial"/>
                <w:sz w:val="20"/>
              </w:rPr>
              <w:t>Recent Ischemic Stroke</w:t>
            </w:r>
            <w:r>
              <w:rPr>
                <w:rFonts w:cs="Arial"/>
                <w:sz w:val="20"/>
                <w:vertAlign w:val="superscript"/>
              </w:rPr>
              <w:t>b</w:t>
            </w:r>
          </w:p>
        </w:tc>
        <w:tc>
          <w:tcPr>
            <w:tcW w:w="1483" w:type="dxa"/>
            <w:tcBorders>
              <w:top w:val="nil"/>
              <w:left w:val="nil"/>
              <w:bottom w:val="nil"/>
              <w:right w:val="nil"/>
            </w:tcBorders>
            <w:vAlign w:val="bottom"/>
          </w:tcPr>
          <w:p w14:paraId="05DB10D7" w14:textId="77777777" w:rsidR="00FE531B" w:rsidRDefault="00FE531B" w:rsidP="00FE531B">
            <w:pPr>
              <w:spacing w:after="0" w:line="240" w:lineRule="auto"/>
              <w:jc w:val="center"/>
              <w:rPr>
                <w:rFonts w:cs="Arial"/>
                <w:sz w:val="20"/>
              </w:rPr>
            </w:pPr>
            <w:r>
              <w:rPr>
                <w:rFonts w:cs="Arial"/>
                <w:sz w:val="20"/>
              </w:rPr>
              <w:t xml:space="preserve">324 (4.6%) </w:t>
            </w:r>
          </w:p>
        </w:tc>
        <w:tc>
          <w:tcPr>
            <w:tcW w:w="1707" w:type="dxa"/>
            <w:tcBorders>
              <w:top w:val="nil"/>
              <w:left w:val="nil"/>
              <w:bottom w:val="nil"/>
              <w:right w:val="nil"/>
            </w:tcBorders>
            <w:vAlign w:val="bottom"/>
          </w:tcPr>
          <w:p w14:paraId="4021C6BF" w14:textId="77777777" w:rsidR="00FE531B" w:rsidRDefault="00FE531B" w:rsidP="00FE531B">
            <w:pPr>
              <w:spacing w:after="0" w:line="240" w:lineRule="auto"/>
              <w:jc w:val="center"/>
              <w:rPr>
                <w:rFonts w:cs="Arial"/>
                <w:sz w:val="20"/>
              </w:rPr>
            </w:pPr>
            <w:r>
              <w:rPr>
                <w:rFonts w:cs="Arial"/>
                <w:sz w:val="20"/>
              </w:rPr>
              <w:t xml:space="preserve">1634 (4.6%) </w:t>
            </w:r>
          </w:p>
        </w:tc>
        <w:tc>
          <w:tcPr>
            <w:tcW w:w="1083" w:type="dxa"/>
            <w:tcBorders>
              <w:top w:val="nil"/>
              <w:left w:val="nil"/>
              <w:bottom w:val="nil"/>
              <w:right w:val="nil"/>
            </w:tcBorders>
            <w:vAlign w:val="center"/>
          </w:tcPr>
          <w:p w14:paraId="6AD26187" w14:textId="77777777" w:rsidR="00FE531B" w:rsidRDefault="00FE531B" w:rsidP="00FE531B">
            <w:pPr>
              <w:spacing w:after="0" w:line="240" w:lineRule="auto"/>
              <w:jc w:val="center"/>
              <w:rPr>
                <w:rFonts w:cs="Arial"/>
                <w:sz w:val="20"/>
              </w:rPr>
            </w:pPr>
            <w:r>
              <w:rPr>
                <w:rFonts w:cs="Arial"/>
                <w:sz w:val="20"/>
              </w:rPr>
              <w:t>0.84</w:t>
            </w:r>
          </w:p>
        </w:tc>
      </w:tr>
      <w:tr w:rsidR="00FE531B" w14:paraId="4705B3B1" w14:textId="77777777" w:rsidTr="0070364F">
        <w:tc>
          <w:tcPr>
            <w:tcW w:w="3865" w:type="dxa"/>
            <w:tcBorders>
              <w:top w:val="nil"/>
              <w:left w:val="nil"/>
              <w:bottom w:val="nil"/>
              <w:right w:val="nil"/>
            </w:tcBorders>
            <w:vAlign w:val="center"/>
          </w:tcPr>
          <w:p w14:paraId="749BFBDF" w14:textId="3EFD7720" w:rsidR="00FE531B" w:rsidRDefault="00FE531B" w:rsidP="00FE531B">
            <w:pPr>
              <w:spacing w:after="0" w:line="240" w:lineRule="auto"/>
              <w:ind w:firstLineChars="100" w:firstLine="200"/>
              <w:rPr>
                <w:rFonts w:cs="Arial"/>
                <w:sz w:val="20"/>
              </w:rPr>
            </w:pPr>
            <w:r>
              <w:rPr>
                <w:rFonts w:cs="Arial"/>
                <w:sz w:val="20"/>
              </w:rPr>
              <w:t>Recent Myocardial Infarction</w:t>
            </w:r>
            <w:r>
              <w:rPr>
                <w:rFonts w:cs="Arial"/>
                <w:sz w:val="20"/>
                <w:vertAlign w:val="superscript"/>
              </w:rPr>
              <w:t>b</w:t>
            </w:r>
          </w:p>
        </w:tc>
        <w:tc>
          <w:tcPr>
            <w:tcW w:w="1483" w:type="dxa"/>
            <w:tcBorders>
              <w:top w:val="nil"/>
              <w:left w:val="nil"/>
              <w:bottom w:val="nil"/>
              <w:right w:val="nil"/>
            </w:tcBorders>
            <w:vAlign w:val="bottom"/>
          </w:tcPr>
          <w:p w14:paraId="1F1A8011" w14:textId="77777777" w:rsidR="00FE531B" w:rsidRDefault="00FE531B" w:rsidP="00FE531B">
            <w:pPr>
              <w:spacing w:after="0" w:line="240" w:lineRule="auto"/>
              <w:jc w:val="center"/>
              <w:rPr>
                <w:rFonts w:cs="Arial"/>
                <w:sz w:val="20"/>
              </w:rPr>
            </w:pPr>
            <w:r>
              <w:rPr>
                <w:rFonts w:cs="Arial"/>
                <w:sz w:val="20"/>
              </w:rPr>
              <w:t xml:space="preserve">321 (4.5%)   </w:t>
            </w:r>
          </w:p>
        </w:tc>
        <w:tc>
          <w:tcPr>
            <w:tcW w:w="1707" w:type="dxa"/>
            <w:tcBorders>
              <w:top w:val="nil"/>
              <w:left w:val="nil"/>
              <w:bottom w:val="nil"/>
              <w:right w:val="nil"/>
            </w:tcBorders>
            <w:vAlign w:val="bottom"/>
          </w:tcPr>
          <w:p w14:paraId="56AFCEF0" w14:textId="77777777" w:rsidR="00FE531B" w:rsidRDefault="00FE531B" w:rsidP="00FE531B">
            <w:pPr>
              <w:spacing w:after="0" w:line="240" w:lineRule="auto"/>
              <w:jc w:val="center"/>
              <w:rPr>
                <w:rFonts w:cs="Arial"/>
                <w:sz w:val="20"/>
              </w:rPr>
            </w:pPr>
            <w:r>
              <w:rPr>
                <w:rFonts w:cs="Arial"/>
                <w:sz w:val="20"/>
              </w:rPr>
              <w:t xml:space="preserve">1340 (3.8%) </w:t>
            </w:r>
          </w:p>
        </w:tc>
        <w:tc>
          <w:tcPr>
            <w:tcW w:w="1083" w:type="dxa"/>
            <w:tcBorders>
              <w:top w:val="nil"/>
              <w:left w:val="nil"/>
              <w:bottom w:val="nil"/>
              <w:right w:val="nil"/>
            </w:tcBorders>
            <w:vAlign w:val="center"/>
          </w:tcPr>
          <w:p w14:paraId="31A2A0F5" w14:textId="77777777" w:rsidR="00FE531B" w:rsidRDefault="00FE531B" w:rsidP="00FE531B">
            <w:pPr>
              <w:spacing w:after="0" w:line="240" w:lineRule="auto"/>
              <w:jc w:val="center"/>
              <w:rPr>
                <w:rFonts w:cs="Arial"/>
                <w:sz w:val="20"/>
              </w:rPr>
            </w:pPr>
            <w:r>
              <w:rPr>
                <w:rFonts w:cs="Arial"/>
                <w:sz w:val="20"/>
              </w:rPr>
              <w:t>0.004</w:t>
            </w:r>
          </w:p>
        </w:tc>
      </w:tr>
      <w:tr w:rsidR="00FE531B" w14:paraId="157D3B6C" w14:textId="77777777" w:rsidTr="0070364F">
        <w:tc>
          <w:tcPr>
            <w:tcW w:w="3865" w:type="dxa"/>
            <w:tcBorders>
              <w:top w:val="nil"/>
              <w:left w:val="nil"/>
              <w:bottom w:val="nil"/>
              <w:right w:val="nil"/>
            </w:tcBorders>
            <w:vAlign w:val="center"/>
          </w:tcPr>
          <w:p w14:paraId="40CB5B3A" w14:textId="77777777" w:rsidR="00FE531B" w:rsidRDefault="00FE531B" w:rsidP="00FE531B">
            <w:pPr>
              <w:spacing w:after="0" w:line="240" w:lineRule="auto"/>
              <w:ind w:firstLineChars="100" w:firstLine="200"/>
              <w:rPr>
                <w:rFonts w:cs="Arial"/>
                <w:sz w:val="20"/>
              </w:rPr>
            </w:pPr>
            <w:r>
              <w:rPr>
                <w:rFonts w:cs="Arial"/>
                <w:sz w:val="20"/>
              </w:rPr>
              <w:t>Coronary Atherosclerosis</w:t>
            </w:r>
          </w:p>
        </w:tc>
        <w:tc>
          <w:tcPr>
            <w:tcW w:w="1483" w:type="dxa"/>
            <w:tcBorders>
              <w:top w:val="nil"/>
              <w:left w:val="nil"/>
              <w:bottom w:val="nil"/>
              <w:right w:val="nil"/>
            </w:tcBorders>
            <w:vAlign w:val="bottom"/>
          </w:tcPr>
          <w:p w14:paraId="54779650" w14:textId="77777777" w:rsidR="00FE531B" w:rsidRDefault="00FE531B" w:rsidP="00FE531B">
            <w:pPr>
              <w:spacing w:after="0" w:line="240" w:lineRule="auto"/>
              <w:jc w:val="center"/>
              <w:rPr>
                <w:rFonts w:cs="Arial"/>
                <w:sz w:val="20"/>
              </w:rPr>
            </w:pPr>
            <w:r>
              <w:rPr>
                <w:rFonts w:cs="Arial"/>
                <w:sz w:val="20"/>
              </w:rPr>
              <w:t xml:space="preserve">2508 (35.5%) </w:t>
            </w:r>
          </w:p>
        </w:tc>
        <w:tc>
          <w:tcPr>
            <w:tcW w:w="1707" w:type="dxa"/>
            <w:tcBorders>
              <w:top w:val="nil"/>
              <w:left w:val="nil"/>
              <w:bottom w:val="nil"/>
              <w:right w:val="nil"/>
            </w:tcBorders>
            <w:vAlign w:val="bottom"/>
          </w:tcPr>
          <w:p w14:paraId="0ACE5787" w14:textId="77777777" w:rsidR="00FE531B" w:rsidRDefault="00FE531B" w:rsidP="00FE531B">
            <w:pPr>
              <w:spacing w:after="0" w:line="240" w:lineRule="auto"/>
              <w:jc w:val="center"/>
              <w:rPr>
                <w:rFonts w:cs="Arial"/>
                <w:sz w:val="20"/>
              </w:rPr>
            </w:pPr>
            <w:r>
              <w:rPr>
                <w:rFonts w:cs="Arial"/>
                <w:sz w:val="20"/>
              </w:rPr>
              <w:t xml:space="preserve">10933 (31.1%) </w:t>
            </w:r>
          </w:p>
        </w:tc>
        <w:tc>
          <w:tcPr>
            <w:tcW w:w="1083" w:type="dxa"/>
            <w:tcBorders>
              <w:top w:val="nil"/>
              <w:left w:val="nil"/>
              <w:bottom w:val="nil"/>
              <w:right w:val="nil"/>
            </w:tcBorders>
            <w:vAlign w:val="bottom"/>
          </w:tcPr>
          <w:p w14:paraId="29008F11" w14:textId="77777777" w:rsidR="00FE531B" w:rsidRDefault="00FE531B" w:rsidP="00FE531B">
            <w:pPr>
              <w:spacing w:after="0" w:line="240" w:lineRule="auto"/>
              <w:jc w:val="center"/>
              <w:rPr>
                <w:rFonts w:cs="Arial"/>
                <w:sz w:val="20"/>
              </w:rPr>
            </w:pPr>
            <w:r>
              <w:rPr>
                <w:rFonts w:cs="Arial"/>
                <w:sz w:val="20"/>
              </w:rPr>
              <w:t>&lt;0.001</w:t>
            </w:r>
          </w:p>
        </w:tc>
      </w:tr>
      <w:tr w:rsidR="00FE531B" w14:paraId="20DC40E3" w14:textId="77777777" w:rsidTr="0070364F">
        <w:tc>
          <w:tcPr>
            <w:tcW w:w="3865" w:type="dxa"/>
            <w:tcBorders>
              <w:top w:val="nil"/>
              <w:left w:val="nil"/>
              <w:bottom w:val="nil"/>
              <w:right w:val="nil"/>
            </w:tcBorders>
            <w:vAlign w:val="center"/>
          </w:tcPr>
          <w:p w14:paraId="005D5337" w14:textId="77777777" w:rsidR="00FE531B" w:rsidRDefault="00FE531B" w:rsidP="00FE531B">
            <w:pPr>
              <w:spacing w:after="0" w:line="240" w:lineRule="auto"/>
              <w:ind w:firstLineChars="100" w:firstLine="200"/>
              <w:rPr>
                <w:rFonts w:cs="Arial"/>
                <w:sz w:val="20"/>
              </w:rPr>
            </w:pPr>
            <w:r>
              <w:rPr>
                <w:rFonts w:cs="Arial"/>
                <w:sz w:val="20"/>
              </w:rPr>
              <w:t>Renal Disease</w:t>
            </w:r>
          </w:p>
        </w:tc>
        <w:tc>
          <w:tcPr>
            <w:tcW w:w="1483" w:type="dxa"/>
            <w:tcBorders>
              <w:top w:val="nil"/>
              <w:left w:val="nil"/>
              <w:bottom w:val="nil"/>
              <w:right w:val="nil"/>
            </w:tcBorders>
            <w:vAlign w:val="bottom"/>
          </w:tcPr>
          <w:p w14:paraId="174E0235" w14:textId="77777777" w:rsidR="00FE531B" w:rsidRDefault="00FE531B" w:rsidP="00FE531B">
            <w:pPr>
              <w:spacing w:after="0" w:line="240" w:lineRule="auto"/>
              <w:jc w:val="center"/>
              <w:rPr>
                <w:rFonts w:cs="Arial"/>
                <w:sz w:val="20"/>
              </w:rPr>
            </w:pPr>
            <w:r>
              <w:rPr>
                <w:rFonts w:cs="Arial"/>
                <w:sz w:val="20"/>
              </w:rPr>
              <w:t xml:space="preserve">1471 (20.8%) </w:t>
            </w:r>
          </w:p>
        </w:tc>
        <w:tc>
          <w:tcPr>
            <w:tcW w:w="1707" w:type="dxa"/>
            <w:tcBorders>
              <w:top w:val="nil"/>
              <w:left w:val="nil"/>
              <w:bottom w:val="nil"/>
              <w:right w:val="nil"/>
            </w:tcBorders>
            <w:vAlign w:val="bottom"/>
          </w:tcPr>
          <w:p w14:paraId="26B75897" w14:textId="77777777" w:rsidR="00FE531B" w:rsidRDefault="00FE531B" w:rsidP="00FE531B">
            <w:pPr>
              <w:spacing w:after="0" w:line="240" w:lineRule="auto"/>
              <w:jc w:val="center"/>
              <w:rPr>
                <w:rFonts w:cs="Arial"/>
                <w:sz w:val="20"/>
              </w:rPr>
            </w:pPr>
            <w:r>
              <w:rPr>
                <w:rFonts w:cs="Arial"/>
                <w:sz w:val="20"/>
              </w:rPr>
              <w:t xml:space="preserve">6438 (18.3%) </w:t>
            </w:r>
          </w:p>
        </w:tc>
        <w:tc>
          <w:tcPr>
            <w:tcW w:w="1083" w:type="dxa"/>
            <w:tcBorders>
              <w:top w:val="nil"/>
              <w:left w:val="nil"/>
              <w:bottom w:val="nil"/>
              <w:right w:val="nil"/>
            </w:tcBorders>
            <w:vAlign w:val="bottom"/>
          </w:tcPr>
          <w:p w14:paraId="62CE5693" w14:textId="77777777" w:rsidR="00FE531B" w:rsidRDefault="00FE531B" w:rsidP="00FE531B">
            <w:pPr>
              <w:spacing w:after="0" w:line="240" w:lineRule="auto"/>
              <w:jc w:val="center"/>
              <w:rPr>
                <w:rFonts w:cs="Arial"/>
                <w:sz w:val="20"/>
              </w:rPr>
            </w:pPr>
            <w:r>
              <w:rPr>
                <w:rFonts w:cs="Arial"/>
                <w:sz w:val="20"/>
              </w:rPr>
              <w:t>&lt;0.001</w:t>
            </w:r>
          </w:p>
        </w:tc>
      </w:tr>
      <w:tr w:rsidR="00FE531B" w14:paraId="6595C265" w14:textId="77777777" w:rsidTr="0070364F">
        <w:tc>
          <w:tcPr>
            <w:tcW w:w="3865" w:type="dxa"/>
            <w:tcBorders>
              <w:top w:val="nil"/>
              <w:left w:val="nil"/>
              <w:bottom w:val="nil"/>
              <w:right w:val="nil"/>
            </w:tcBorders>
            <w:vAlign w:val="center"/>
          </w:tcPr>
          <w:p w14:paraId="3CB20521" w14:textId="77777777" w:rsidR="00FE531B" w:rsidRDefault="00FE531B" w:rsidP="00FE531B">
            <w:pPr>
              <w:spacing w:after="0" w:line="240" w:lineRule="auto"/>
              <w:ind w:firstLineChars="100" w:firstLine="200"/>
              <w:rPr>
                <w:rFonts w:cs="Arial"/>
                <w:sz w:val="20"/>
              </w:rPr>
            </w:pPr>
            <w:r>
              <w:rPr>
                <w:rFonts w:cs="Arial"/>
                <w:sz w:val="20"/>
              </w:rPr>
              <w:t>Liver Disease</w:t>
            </w:r>
          </w:p>
        </w:tc>
        <w:tc>
          <w:tcPr>
            <w:tcW w:w="1483" w:type="dxa"/>
            <w:tcBorders>
              <w:top w:val="nil"/>
              <w:left w:val="nil"/>
              <w:bottom w:val="nil"/>
              <w:right w:val="nil"/>
            </w:tcBorders>
            <w:vAlign w:val="bottom"/>
          </w:tcPr>
          <w:p w14:paraId="147B9377" w14:textId="77777777" w:rsidR="00FE531B" w:rsidRDefault="00FE531B" w:rsidP="00FE531B">
            <w:pPr>
              <w:spacing w:after="0" w:line="240" w:lineRule="auto"/>
              <w:jc w:val="center"/>
              <w:rPr>
                <w:rFonts w:cs="Arial"/>
                <w:sz w:val="20"/>
              </w:rPr>
            </w:pPr>
            <w:r>
              <w:rPr>
                <w:rFonts w:cs="Arial"/>
                <w:sz w:val="20"/>
              </w:rPr>
              <w:t xml:space="preserve">1158 (16.4%)   </w:t>
            </w:r>
          </w:p>
        </w:tc>
        <w:tc>
          <w:tcPr>
            <w:tcW w:w="1707" w:type="dxa"/>
            <w:tcBorders>
              <w:top w:val="nil"/>
              <w:left w:val="nil"/>
              <w:bottom w:val="nil"/>
              <w:right w:val="nil"/>
            </w:tcBorders>
            <w:vAlign w:val="bottom"/>
          </w:tcPr>
          <w:p w14:paraId="63D4F2DA" w14:textId="77777777" w:rsidR="00FE531B" w:rsidRDefault="00FE531B" w:rsidP="00FE531B">
            <w:pPr>
              <w:spacing w:after="0" w:line="240" w:lineRule="auto"/>
              <w:jc w:val="center"/>
              <w:rPr>
                <w:rFonts w:cs="Arial"/>
                <w:sz w:val="20"/>
              </w:rPr>
            </w:pPr>
            <w:r>
              <w:rPr>
                <w:rFonts w:cs="Arial"/>
                <w:sz w:val="20"/>
              </w:rPr>
              <w:t xml:space="preserve">5181 (14.7%) </w:t>
            </w:r>
          </w:p>
        </w:tc>
        <w:tc>
          <w:tcPr>
            <w:tcW w:w="1083" w:type="dxa"/>
            <w:tcBorders>
              <w:top w:val="nil"/>
              <w:left w:val="nil"/>
              <w:bottom w:val="nil"/>
              <w:right w:val="nil"/>
            </w:tcBorders>
            <w:vAlign w:val="bottom"/>
          </w:tcPr>
          <w:p w14:paraId="7B757EFE" w14:textId="77777777" w:rsidR="00FE531B" w:rsidRDefault="00FE531B" w:rsidP="00FE531B">
            <w:pPr>
              <w:spacing w:after="0" w:line="240" w:lineRule="auto"/>
              <w:jc w:val="center"/>
              <w:rPr>
                <w:rFonts w:cs="Arial"/>
                <w:sz w:val="20"/>
              </w:rPr>
            </w:pPr>
            <w:r>
              <w:rPr>
                <w:rFonts w:cs="Arial"/>
                <w:sz w:val="20"/>
              </w:rPr>
              <w:t>&lt;0.001</w:t>
            </w:r>
          </w:p>
        </w:tc>
      </w:tr>
      <w:tr w:rsidR="00FE531B" w14:paraId="6F13E864" w14:textId="77777777" w:rsidTr="0070364F">
        <w:tc>
          <w:tcPr>
            <w:tcW w:w="3865" w:type="dxa"/>
            <w:tcBorders>
              <w:top w:val="nil"/>
              <w:left w:val="nil"/>
              <w:bottom w:val="nil"/>
              <w:right w:val="nil"/>
            </w:tcBorders>
            <w:vAlign w:val="center"/>
          </w:tcPr>
          <w:p w14:paraId="3D4F7ABA" w14:textId="77777777" w:rsidR="00FE531B" w:rsidRDefault="00FE531B" w:rsidP="00FE531B">
            <w:pPr>
              <w:spacing w:after="0" w:line="240" w:lineRule="auto"/>
              <w:ind w:firstLineChars="100" w:firstLine="200"/>
              <w:rPr>
                <w:rFonts w:cs="Arial"/>
                <w:sz w:val="20"/>
              </w:rPr>
            </w:pPr>
            <w:r>
              <w:rPr>
                <w:rFonts w:cs="Arial"/>
                <w:sz w:val="20"/>
              </w:rPr>
              <w:t>Depression</w:t>
            </w:r>
          </w:p>
        </w:tc>
        <w:tc>
          <w:tcPr>
            <w:tcW w:w="1483" w:type="dxa"/>
            <w:tcBorders>
              <w:top w:val="nil"/>
              <w:left w:val="nil"/>
              <w:bottom w:val="nil"/>
              <w:right w:val="nil"/>
            </w:tcBorders>
            <w:vAlign w:val="bottom"/>
          </w:tcPr>
          <w:p w14:paraId="2D2409D6" w14:textId="77777777" w:rsidR="00FE531B" w:rsidRDefault="00FE531B" w:rsidP="00FE531B">
            <w:pPr>
              <w:spacing w:after="0" w:line="240" w:lineRule="auto"/>
              <w:jc w:val="center"/>
              <w:rPr>
                <w:rFonts w:cs="Arial"/>
                <w:sz w:val="20"/>
              </w:rPr>
            </w:pPr>
            <w:r>
              <w:rPr>
                <w:rFonts w:cs="Arial"/>
                <w:sz w:val="20"/>
              </w:rPr>
              <w:t>1604 (22.7%)</w:t>
            </w:r>
          </w:p>
        </w:tc>
        <w:tc>
          <w:tcPr>
            <w:tcW w:w="1707" w:type="dxa"/>
            <w:tcBorders>
              <w:top w:val="nil"/>
              <w:left w:val="nil"/>
              <w:bottom w:val="nil"/>
              <w:right w:val="nil"/>
            </w:tcBorders>
            <w:vAlign w:val="bottom"/>
          </w:tcPr>
          <w:p w14:paraId="5A9A2F88" w14:textId="77777777" w:rsidR="00FE531B" w:rsidRDefault="00FE531B" w:rsidP="00FE531B">
            <w:pPr>
              <w:spacing w:after="0" w:line="240" w:lineRule="auto"/>
              <w:jc w:val="center"/>
              <w:rPr>
                <w:rFonts w:cs="Arial"/>
                <w:sz w:val="20"/>
              </w:rPr>
            </w:pPr>
            <w:r>
              <w:rPr>
                <w:rFonts w:cs="Arial"/>
                <w:sz w:val="20"/>
              </w:rPr>
              <w:t>7871 (22.4%)</w:t>
            </w:r>
          </w:p>
        </w:tc>
        <w:tc>
          <w:tcPr>
            <w:tcW w:w="1083" w:type="dxa"/>
            <w:tcBorders>
              <w:top w:val="nil"/>
              <w:left w:val="nil"/>
              <w:bottom w:val="nil"/>
              <w:right w:val="nil"/>
            </w:tcBorders>
            <w:vAlign w:val="bottom"/>
          </w:tcPr>
          <w:p w14:paraId="681E579C" w14:textId="77777777" w:rsidR="00FE531B" w:rsidRDefault="00FE531B" w:rsidP="00FE531B">
            <w:pPr>
              <w:spacing w:after="0" w:line="240" w:lineRule="auto"/>
              <w:jc w:val="center"/>
              <w:rPr>
                <w:rFonts w:cs="Arial"/>
                <w:sz w:val="20"/>
              </w:rPr>
            </w:pPr>
            <w:r>
              <w:rPr>
                <w:rFonts w:cs="Arial"/>
                <w:sz w:val="20"/>
              </w:rPr>
              <w:t>0.53</w:t>
            </w:r>
          </w:p>
        </w:tc>
      </w:tr>
      <w:tr w:rsidR="00FE531B" w14:paraId="70D1501C" w14:textId="77777777" w:rsidTr="0070364F">
        <w:tc>
          <w:tcPr>
            <w:tcW w:w="3865" w:type="dxa"/>
            <w:tcBorders>
              <w:top w:val="nil"/>
              <w:left w:val="nil"/>
              <w:bottom w:val="nil"/>
              <w:right w:val="nil"/>
            </w:tcBorders>
            <w:vAlign w:val="bottom"/>
          </w:tcPr>
          <w:p w14:paraId="69C733AB" w14:textId="77777777" w:rsidR="00FE531B" w:rsidRDefault="00FE531B" w:rsidP="00FE531B">
            <w:pPr>
              <w:spacing w:after="0" w:line="240" w:lineRule="auto"/>
              <w:rPr>
                <w:rFonts w:cs="Arial"/>
                <w:sz w:val="20"/>
              </w:rPr>
            </w:pPr>
            <w:r>
              <w:rPr>
                <w:rFonts w:cs="Arial"/>
                <w:sz w:val="20"/>
              </w:rPr>
              <w:t>Most Recent Hospice Care Setting</w:t>
            </w:r>
          </w:p>
        </w:tc>
        <w:tc>
          <w:tcPr>
            <w:tcW w:w="1483" w:type="dxa"/>
            <w:tcBorders>
              <w:top w:val="nil"/>
              <w:left w:val="nil"/>
              <w:bottom w:val="nil"/>
              <w:right w:val="nil"/>
            </w:tcBorders>
            <w:vAlign w:val="bottom"/>
          </w:tcPr>
          <w:p w14:paraId="1A162454" w14:textId="77777777" w:rsidR="00FE531B" w:rsidRDefault="00FE531B" w:rsidP="00FE531B">
            <w:pPr>
              <w:spacing w:after="0" w:line="240" w:lineRule="auto"/>
              <w:rPr>
                <w:rFonts w:cs="Arial"/>
                <w:sz w:val="20"/>
              </w:rPr>
            </w:pPr>
          </w:p>
        </w:tc>
        <w:tc>
          <w:tcPr>
            <w:tcW w:w="1707" w:type="dxa"/>
            <w:tcBorders>
              <w:top w:val="nil"/>
              <w:left w:val="nil"/>
              <w:bottom w:val="nil"/>
              <w:right w:val="nil"/>
            </w:tcBorders>
            <w:vAlign w:val="bottom"/>
          </w:tcPr>
          <w:p w14:paraId="5E7C71FF" w14:textId="77777777" w:rsidR="00FE531B" w:rsidRDefault="00FE531B" w:rsidP="00FE531B">
            <w:pPr>
              <w:spacing w:after="0" w:line="240" w:lineRule="auto"/>
              <w:jc w:val="center"/>
              <w:rPr>
                <w:sz w:val="20"/>
              </w:rPr>
            </w:pPr>
          </w:p>
        </w:tc>
        <w:tc>
          <w:tcPr>
            <w:tcW w:w="1083" w:type="dxa"/>
            <w:tcBorders>
              <w:top w:val="nil"/>
              <w:left w:val="nil"/>
              <w:bottom w:val="nil"/>
              <w:right w:val="nil"/>
            </w:tcBorders>
            <w:vAlign w:val="center"/>
          </w:tcPr>
          <w:p w14:paraId="672E286A" w14:textId="77777777" w:rsidR="00FE531B" w:rsidRDefault="00FE531B" w:rsidP="00FE531B">
            <w:pPr>
              <w:spacing w:after="0" w:line="240" w:lineRule="auto"/>
              <w:jc w:val="center"/>
              <w:rPr>
                <w:sz w:val="20"/>
              </w:rPr>
            </w:pPr>
          </w:p>
        </w:tc>
      </w:tr>
      <w:tr w:rsidR="00FE531B" w14:paraId="74CAEFE9" w14:textId="77777777" w:rsidTr="0070364F">
        <w:tc>
          <w:tcPr>
            <w:tcW w:w="3865" w:type="dxa"/>
            <w:tcBorders>
              <w:top w:val="nil"/>
              <w:left w:val="nil"/>
              <w:bottom w:val="nil"/>
              <w:right w:val="nil"/>
            </w:tcBorders>
            <w:vAlign w:val="center"/>
          </w:tcPr>
          <w:p w14:paraId="28FB27B4" w14:textId="77777777" w:rsidR="00FE531B" w:rsidRDefault="00FE531B" w:rsidP="00FE531B">
            <w:pPr>
              <w:spacing w:after="0" w:line="240" w:lineRule="auto"/>
              <w:ind w:firstLineChars="100" w:firstLine="200"/>
              <w:rPr>
                <w:rFonts w:cs="Arial"/>
                <w:sz w:val="20"/>
              </w:rPr>
            </w:pPr>
            <w:r>
              <w:rPr>
                <w:rFonts w:cs="Arial"/>
                <w:sz w:val="20"/>
              </w:rPr>
              <w:t>Home/Private Residence</w:t>
            </w:r>
          </w:p>
        </w:tc>
        <w:tc>
          <w:tcPr>
            <w:tcW w:w="1483" w:type="dxa"/>
            <w:tcBorders>
              <w:top w:val="nil"/>
              <w:left w:val="nil"/>
              <w:bottom w:val="nil"/>
              <w:right w:val="nil"/>
            </w:tcBorders>
            <w:vAlign w:val="bottom"/>
          </w:tcPr>
          <w:p w14:paraId="462EDCA9" w14:textId="77777777" w:rsidR="00FE531B" w:rsidRDefault="00FE531B" w:rsidP="00FE531B">
            <w:pPr>
              <w:spacing w:after="0" w:line="240" w:lineRule="auto"/>
              <w:jc w:val="center"/>
              <w:rPr>
                <w:rFonts w:cs="Arial"/>
                <w:sz w:val="20"/>
              </w:rPr>
            </w:pPr>
            <w:r>
              <w:rPr>
                <w:rFonts w:cs="Arial"/>
                <w:sz w:val="20"/>
              </w:rPr>
              <w:t>4335 (61.4%)</w:t>
            </w:r>
          </w:p>
        </w:tc>
        <w:tc>
          <w:tcPr>
            <w:tcW w:w="1707" w:type="dxa"/>
            <w:tcBorders>
              <w:top w:val="nil"/>
              <w:left w:val="nil"/>
              <w:bottom w:val="nil"/>
              <w:right w:val="nil"/>
            </w:tcBorders>
            <w:vAlign w:val="bottom"/>
          </w:tcPr>
          <w:p w14:paraId="0ED4290C" w14:textId="77777777" w:rsidR="00FE531B" w:rsidRDefault="00FE531B" w:rsidP="00FE531B">
            <w:pPr>
              <w:spacing w:after="0" w:line="240" w:lineRule="auto"/>
              <w:jc w:val="center"/>
              <w:rPr>
                <w:rFonts w:cs="Arial"/>
                <w:sz w:val="20"/>
              </w:rPr>
            </w:pPr>
            <w:r>
              <w:rPr>
                <w:rFonts w:cs="Arial"/>
                <w:sz w:val="20"/>
              </w:rPr>
              <w:t>22869 (65.0%)</w:t>
            </w:r>
          </w:p>
        </w:tc>
        <w:tc>
          <w:tcPr>
            <w:tcW w:w="1083" w:type="dxa"/>
            <w:vMerge w:val="restart"/>
            <w:tcBorders>
              <w:top w:val="nil"/>
              <w:left w:val="nil"/>
              <w:bottom w:val="nil"/>
              <w:right w:val="nil"/>
            </w:tcBorders>
            <w:vAlign w:val="center"/>
          </w:tcPr>
          <w:p w14:paraId="7C37692D" w14:textId="77777777" w:rsidR="00FE531B" w:rsidRDefault="00FE531B" w:rsidP="00FE531B">
            <w:pPr>
              <w:spacing w:after="0" w:line="240" w:lineRule="auto"/>
              <w:jc w:val="center"/>
              <w:rPr>
                <w:rFonts w:cs="Arial"/>
                <w:sz w:val="20"/>
              </w:rPr>
            </w:pPr>
            <w:r>
              <w:rPr>
                <w:rFonts w:cs="Arial"/>
                <w:sz w:val="20"/>
              </w:rPr>
              <w:t>&lt;0.001</w:t>
            </w:r>
          </w:p>
        </w:tc>
      </w:tr>
      <w:tr w:rsidR="00FE531B" w14:paraId="205D5A0D" w14:textId="77777777" w:rsidTr="0070364F">
        <w:tc>
          <w:tcPr>
            <w:tcW w:w="3865" w:type="dxa"/>
            <w:tcBorders>
              <w:top w:val="nil"/>
              <w:left w:val="nil"/>
              <w:bottom w:val="nil"/>
              <w:right w:val="nil"/>
            </w:tcBorders>
            <w:vAlign w:val="center"/>
          </w:tcPr>
          <w:p w14:paraId="2862B48F" w14:textId="77777777" w:rsidR="00FE531B" w:rsidRDefault="00FE531B" w:rsidP="00FE531B">
            <w:pPr>
              <w:spacing w:after="0" w:line="240" w:lineRule="auto"/>
              <w:ind w:firstLineChars="100" w:firstLine="200"/>
              <w:rPr>
                <w:rFonts w:cs="Arial"/>
                <w:sz w:val="20"/>
              </w:rPr>
            </w:pPr>
            <w:r>
              <w:rPr>
                <w:rFonts w:cs="Arial"/>
                <w:sz w:val="20"/>
              </w:rPr>
              <w:t>Assisted Living Facility</w:t>
            </w:r>
          </w:p>
        </w:tc>
        <w:tc>
          <w:tcPr>
            <w:tcW w:w="1483" w:type="dxa"/>
            <w:tcBorders>
              <w:top w:val="nil"/>
              <w:left w:val="nil"/>
              <w:bottom w:val="nil"/>
              <w:right w:val="nil"/>
            </w:tcBorders>
            <w:vAlign w:val="bottom"/>
          </w:tcPr>
          <w:p w14:paraId="6DB58F9D" w14:textId="77777777" w:rsidR="00FE531B" w:rsidRDefault="00FE531B" w:rsidP="00FE531B">
            <w:pPr>
              <w:spacing w:after="0" w:line="240" w:lineRule="auto"/>
              <w:jc w:val="center"/>
              <w:rPr>
                <w:rFonts w:cs="Arial"/>
                <w:sz w:val="20"/>
              </w:rPr>
            </w:pPr>
            <w:r>
              <w:rPr>
                <w:rFonts w:cs="Arial"/>
                <w:sz w:val="20"/>
              </w:rPr>
              <w:t>470 (6.7%)</w:t>
            </w:r>
          </w:p>
        </w:tc>
        <w:tc>
          <w:tcPr>
            <w:tcW w:w="1707" w:type="dxa"/>
            <w:tcBorders>
              <w:top w:val="nil"/>
              <w:left w:val="nil"/>
              <w:bottom w:val="nil"/>
              <w:right w:val="nil"/>
            </w:tcBorders>
            <w:vAlign w:val="bottom"/>
          </w:tcPr>
          <w:p w14:paraId="695366AE" w14:textId="77777777" w:rsidR="00FE531B" w:rsidRDefault="00FE531B" w:rsidP="00FE531B">
            <w:pPr>
              <w:spacing w:after="0" w:line="240" w:lineRule="auto"/>
              <w:jc w:val="center"/>
              <w:rPr>
                <w:rFonts w:cs="Arial"/>
                <w:sz w:val="20"/>
              </w:rPr>
            </w:pPr>
            <w:r>
              <w:rPr>
                <w:rFonts w:cs="Arial"/>
                <w:sz w:val="20"/>
              </w:rPr>
              <w:t>2315 (6.6%)</w:t>
            </w:r>
          </w:p>
        </w:tc>
        <w:tc>
          <w:tcPr>
            <w:tcW w:w="1083" w:type="dxa"/>
            <w:vMerge/>
            <w:tcBorders>
              <w:top w:val="nil"/>
              <w:left w:val="nil"/>
              <w:bottom w:val="nil"/>
              <w:right w:val="nil"/>
            </w:tcBorders>
            <w:vAlign w:val="center"/>
          </w:tcPr>
          <w:p w14:paraId="3F9709BC" w14:textId="77777777" w:rsidR="00FE531B" w:rsidRDefault="00FE531B" w:rsidP="00FE531B">
            <w:pPr>
              <w:spacing w:after="0" w:line="240" w:lineRule="auto"/>
              <w:rPr>
                <w:rFonts w:cs="Arial"/>
                <w:sz w:val="20"/>
              </w:rPr>
            </w:pPr>
          </w:p>
        </w:tc>
      </w:tr>
      <w:tr w:rsidR="00FE531B" w14:paraId="13303AF1" w14:textId="77777777" w:rsidTr="0070364F">
        <w:tc>
          <w:tcPr>
            <w:tcW w:w="3865" w:type="dxa"/>
            <w:tcBorders>
              <w:top w:val="nil"/>
              <w:left w:val="nil"/>
              <w:bottom w:val="nil"/>
              <w:right w:val="nil"/>
            </w:tcBorders>
            <w:vAlign w:val="center"/>
          </w:tcPr>
          <w:p w14:paraId="385455A7" w14:textId="77777777" w:rsidR="00FE531B" w:rsidRDefault="00FE531B" w:rsidP="00FE531B">
            <w:pPr>
              <w:spacing w:after="0" w:line="240" w:lineRule="auto"/>
              <w:ind w:firstLineChars="100" w:firstLine="200"/>
              <w:rPr>
                <w:rFonts w:cs="Arial"/>
                <w:sz w:val="20"/>
              </w:rPr>
            </w:pPr>
            <w:r>
              <w:rPr>
                <w:rFonts w:cs="Arial"/>
                <w:sz w:val="20"/>
              </w:rPr>
              <w:t>Non-Skilled Nursing Facility</w:t>
            </w:r>
          </w:p>
        </w:tc>
        <w:tc>
          <w:tcPr>
            <w:tcW w:w="1483" w:type="dxa"/>
            <w:tcBorders>
              <w:top w:val="nil"/>
              <w:left w:val="nil"/>
              <w:bottom w:val="nil"/>
              <w:right w:val="nil"/>
            </w:tcBorders>
            <w:vAlign w:val="bottom"/>
          </w:tcPr>
          <w:p w14:paraId="1666B299" w14:textId="77777777" w:rsidR="00FE531B" w:rsidRDefault="00FE531B" w:rsidP="00FE531B">
            <w:pPr>
              <w:spacing w:after="0" w:line="240" w:lineRule="auto"/>
              <w:jc w:val="center"/>
              <w:rPr>
                <w:rFonts w:cs="Arial"/>
                <w:sz w:val="20"/>
              </w:rPr>
            </w:pPr>
            <w:r>
              <w:rPr>
                <w:rFonts w:cs="Arial"/>
                <w:sz w:val="20"/>
              </w:rPr>
              <w:t>878 (12.4%)</w:t>
            </w:r>
          </w:p>
        </w:tc>
        <w:tc>
          <w:tcPr>
            <w:tcW w:w="1707" w:type="dxa"/>
            <w:tcBorders>
              <w:top w:val="nil"/>
              <w:left w:val="nil"/>
              <w:bottom w:val="nil"/>
              <w:right w:val="nil"/>
            </w:tcBorders>
            <w:vAlign w:val="bottom"/>
          </w:tcPr>
          <w:p w14:paraId="7CDE63A2" w14:textId="77777777" w:rsidR="00FE531B" w:rsidRDefault="00FE531B" w:rsidP="00FE531B">
            <w:pPr>
              <w:spacing w:after="0" w:line="240" w:lineRule="auto"/>
              <w:jc w:val="center"/>
              <w:rPr>
                <w:rFonts w:cs="Arial"/>
                <w:sz w:val="20"/>
              </w:rPr>
            </w:pPr>
            <w:r>
              <w:rPr>
                <w:rFonts w:cs="Arial"/>
                <w:sz w:val="20"/>
              </w:rPr>
              <w:t>5274 (15.0%)</w:t>
            </w:r>
          </w:p>
        </w:tc>
        <w:tc>
          <w:tcPr>
            <w:tcW w:w="1083" w:type="dxa"/>
            <w:vMerge/>
            <w:tcBorders>
              <w:top w:val="nil"/>
              <w:left w:val="nil"/>
              <w:bottom w:val="nil"/>
              <w:right w:val="nil"/>
            </w:tcBorders>
            <w:vAlign w:val="center"/>
          </w:tcPr>
          <w:p w14:paraId="7AA125B3" w14:textId="77777777" w:rsidR="00FE531B" w:rsidRDefault="00FE531B" w:rsidP="00FE531B">
            <w:pPr>
              <w:spacing w:after="0" w:line="240" w:lineRule="auto"/>
              <w:rPr>
                <w:rFonts w:cs="Arial"/>
                <w:sz w:val="20"/>
              </w:rPr>
            </w:pPr>
          </w:p>
        </w:tc>
      </w:tr>
      <w:tr w:rsidR="00FE531B" w14:paraId="6358E298" w14:textId="77777777" w:rsidTr="0070364F">
        <w:tc>
          <w:tcPr>
            <w:tcW w:w="3865" w:type="dxa"/>
            <w:tcBorders>
              <w:top w:val="nil"/>
              <w:left w:val="nil"/>
              <w:bottom w:val="nil"/>
              <w:right w:val="nil"/>
            </w:tcBorders>
            <w:vAlign w:val="center"/>
          </w:tcPr>
          <w:p w14:paraId="3C51ED38" w14:textId="77777777" w:rsidR="00FE531B" w:rsidRDefault="00FE531B" w:rsidP="00FE531B">
            <w:pPr>
              <w:spacing w:after="0" w:line="240" w:lineRule="auto"/>
              <w:ind w:firstLineChars="100" w:firstLine="200"/>
              <w:rPr>
                <w:rFonts w:cs="Arial"/>
                <w:sz w:val="20"/>
              </w:rPr>
            </w:pPr>
            <w:r>
              <w:rPr>
                <w:rFonts w:cs="Arial"/>
                <w:sz w:val="20"/>
              </w:rPr>
              <w:t>Skilled Nursing Facility</w:t>
            </w:r>
          </w:p>
        </w:tc>
        <w:tc>
          <w:tcPr>
            <w:tcW w:w="1483" w:type="dxa"/>
            <w:tcBorders>
              <w:top w:val="nil"/>
              <w:left w:val="nil"/>
              <w:bottom w:val="nil"/>
              <w:right w:val="nil"/>
            </w:tcBorders>
            <w:vAlign w:val="bottom"/>
          </w:tcPr>
          <w:p w14:paraId="2E0643A1" w14:textId="77777777" w:rsidR="00FE531B" w:rsidRDefault="00FE531B" w:rsidP="00FE531B">
            <w:pPr>
              <w:spacing w:after="0" w:line="240" w:lineRule="auto"/>
              <w:jc w:val="center"/>
              <w:rPr>
                <w:rFonts w:cs="Arial"/>
                <w:sz w:val="20"/>
              </w:rPr>
            </w:pPr>
            <w:r>
              <w:rPr>
                <w:rFonts w:cs="Arial"/>
                <w:sz w:val="20"/>
              </w:rPr>
              <w:t>518 (7.3%)</w:t>
            </w:r>
          </w:p>
        </w:tc>
        <w:tc>
          <w:tcPr>
            <w:tcW w:w="1707" w:type="dxa"/>
            <w:tcBorders>
              <w:top w:val="nil"/>
              <w:left w:val="nil"/>
              <w:bottom w:val="nil"/>
              <w:right w:val="nil"/>
            </w:tcBorders>
            <w:vAlign w:val="bottom"/>
          </w:tcPr>
          <w:p w14:paraId="415D3980" w14:textId="77777777" w:rsidR="00FE531B" w:rsidRDefault="00FE531B" w:rsidP="00FE531B">
            <w:pPr>
              <w:spacing w:after="0" w:line="240" w:lineRule="auto"/>
              <w:jc w:val="center"/>
              <w:rPr>
                <w:rFonts w:cs="Arial"/>
                <w:sz w:val="20"/>
              </w:rPr>
            </w:pPr>
            <w:r>
              <w:rPr>
                <w:rFonts w:cs="Arial"/>
                <w:sz w:val="20"/>
              </w:rPr>
              <w:t>2861 (8.1%)</w:t>
            </w:r>
          </w:p>
        </w:tc>
        <w:tc>
          <w:tcPr>
            <w:tcW w:w="1083" w:type="dxa"/>
            <w:vMerge/>
            <w:tcBorders>
              <w:top w:val="nil"/>
              <w:left w:val="nil"/>
              <w:bottom w:val="nil"/>
              <w:right w:val="nil"/>
            </w:tcBorders>
            <w:vAlign w:val="center"/>
          </w:tcPr>
          <w:p w14:paraId="3073BE50" w14:textId="77777777" w:rsidR="00FE531B" w:rsidRDefault="00FE531B" w:rsidP="00FE531B">
            <w:pPr>
              <w:spacing w:after="0" w:line="240" w:lineRule="auto"/>
              <w:rPr>
                <w:rFonts w:cs="Arial"/>
                <w:sz w:val="20"/>
              </w:rPr>
            </w:pPr>
          </w:p>
        </w:tc>
      </w:tr>
      <w:tr w:rsidR="00FE531B" w14:paraId="63380EC0" w14:textId="77777777" w:rsidTr="0070364F">
        <w:tc>
          <w:tcPr>
            <w:tcW w:w="3865" w:type="dxa"/>
            <w:tcBorders>
              <w:top w:val="nil"/>
              <w:left w:val="nil"/>
              <w:bottom w:val="nil"/>
              <w:right w:val="nil"/>
            </w:tcBorders>
            <w:vAlign w:val="center"/>
          </w:tcPr>
          <w:p w14:paraId="63F9D1C2" w14:textId="77777777" w:rsidR="00FE531B" w:rsidRDefault="00FE531B" w:rsidP="00FE531B">
            <w:pPr>
              <w:spacing w:after="0" w:line="240" w:lineRule="auto"/>
              <w:ind w:firstLineChars="100" w:firstLine="200"/>
              <w:rPr>
                <w:rFonts w:cs="Arial"/>
                <w:sz w:val="20"/>
              </w:rPr>
            </w:pPr>
            <w:r>
              <w:rPr>
                <w:rFonts w:cs="Arial"/>
                <w:sz w:val="20"/>
              </w:rPr>
              <w:t>Inpatient (Acute Care) Hospital</w:t>
            </w:r>
          </w:p>
        </w:tc>
        <w:tc>
          <w:tcPr>
            <w:tcW w:w="1483" w:type="dxa"/>
            <w:tcBorders>
              <w:top w:val="nil"/>
              <w:left w:val="nil"/>
              <w:bottom w:val="nil"/>
              <w:right w:val="nil"/>
            </w:tcBorders>
            <w:vAlign w:val="bottom"/>
          </w:tcPr>
          <w:p w14:paraId="01F0F8F0" w14:textId="77777777" w:rsidR="00FE531B" w:rsidRDefault="00FE531B" w:rsidP="00FE531B">
            <w:pPr>
              <w:spacing w:after="0" w:line="240" w:lineRule="auto"/>
              <w:jc w:val="center"/>
              <w:rPr>
                <w:rFonts w:cs="Arial"/>
                <w:sz w:val="20"/>
              </w:rPr>
            </w:pPr>
            <w:r>
              <w:rPr>
                <w:rFonts w:cs="Arial"/>
                <w:sz w:val="20"/>
              </w:rPr>
              <w:t>401 (5.7%)</w:t>
            </w:r>
          </w:p>
        </w:tc>
        <w:tc>
          <w:tcPr>
            <w:tcW w:w="1707" w:type="dxa"/>
            <w:tcBorders>
              <w:top w:val="nil"/>
              <w:left w:val="nil"/>
              <w:bottom w:val="nil"/>
              <w:right w:val="nil"/>
            </w:tcBorders>
            <w:vAlign w:val="bottom"/>
          </w:tcPr>
          <w:p w14:paraId="148AD386" w14:textId="77777777" w:rsidR="00FE531B" w:rsidRDefault="00FE531B" w:rsidP="00FE531B">
            <w:pPr>
              <w:spacing w:after="0" w:line="240" w:lineRule="auto"/>
              <w:jc w:val="center"/>
              <w:rPr>
                <w:rFonts w:cs="Arial"/>
                <w:sz w:val="20"/>
              </w:rPr>
            </w:pPr>
            <w:r>
              <w:rPr>
                <w:rFonts w:cs="Arial"/>
                <w:sz w:val="20"/>
              </w:rPr>
              <w:t>448 (1.3%)</w:t>
            </w:r>
          </w:p>
        </w:tc>
        <w:tc>
          <w:tcPr>
            <w:tcW w:w="1083" w:type="dxa"/>
            <w:vMerge/>
            <w:tcBorders>
              <w:top w:val="nil"/>
              <w:left w:val="nil"/>
              <w:bottom w:val="nil"/>
              <w:right w:val="nil"/>
            </w:tcBorders>
            <w:vAlign w:val="center"/>
          </w:tcPr>
          <w:p w14:paraId="2CE18856" w14:textId="77777777" w:rsidR="00FE531B" w:rsidRDefault="00FE531B" w:rsidP="00FE531B">
            <w:pPr>
              <w:spacing w:after="0" w:line="240" w:lineRule="auto"/>
              <w:rPr>
                <w:rFonts w:cs="Arial"/>
                <w:sz w:val="20"/>
              </w:rPr>
            </w:pPr>
          </w:p>
        </w:tc>
      </w:tr>
      <w:tr w:rsidR="00FE531B" w14:paraId="24143D38" w14:textId="77777777" w:rsidTr="0070364F">
        <w:tc>
          <w:tcPr>
            <w:tcW w:w="3865" w:type="dxa"/>
            <w:tcBorders>
              <w:top w:val="nil"/>
              <w:left w:val="nil"/>
              <w:bottom w:val="nil"/>
              <w:right w:val="nil"/>
            </w:tcBorders>
            <w:vAlign w:val="center"/>
          </w:tcPr>
          <w:p w14:paraId="789ACED6" w14:textId="77777777" w:rsidR="00FE531B" w:rsidRDefault="00FE531B" w:rsidP="00FE531B">
            <w:pPr>
              <w:spacing w:after="0" w:line="240" w:lineRule="auto"/>
              <w:ind w:firstLineChars="100" w:firstLine="200"/>
              <w:rPr>
                <w:rFonts w:cs="Arial"/>
                <w:sz w:val="20"/>
              </w:rPr>
            </w:pPr>
            <w:r>
              <w:rPr>
                <w:rFonts w:cs="Arial"/>
                <w:sz w:val="20"/>
              </w:rPr>
              <w:t>Inpatient Hospice Facility</w:t>
            </w:r>
          </w:p>
        </w:tc>
        <w:tc>
          <w:tcPr>
            <w:tcW w:w="1483" w:type="dxa"/>
            <w:tcBorders>
              <w:top w:val="nil"/>
              <w:left w:val="nil"/>
              <w:bottom w:val="nil"/>
              <w:right w:val="nil"/>
            </w:tcBorders>
            <w:vAlign w:val="bottom"/>
          </w:tcPr>
          <w:p w14:paraId="65FDE7F1" w14:textId="77777777" w:rsidR="00FE531B" w:rsidRDefault="00FE531B" w:rsidP="00FE531B">
            <w:pPr>
              <w:spacing w:after="0" w:line="240" w:lineRule="auto"/>
              <w:jc w:val="center"/>
              <w:rPr>
                <w:rFonts w:cs="Arial"/>
                <w:sz w:val="20"/>
              </w:rPr>
            </w:pPr>
            <w:r>
              <w:rPr>
                <w:rFonts w:cs="Arial"/>
                <w:sz w:val="20"/>
              </w:rPr>
              <w:t>359 (5.1%)</w:t>
            </w:r>
          </w:p>
        </w:tc>
        <w:tc>
          <w:tcPr>
            <w:tcW w:w="1707" w:type="dxa"/>
            <w:tcBorders>
              <w:top w:val="nil"/>
              <w:left w:val="nil"/>
              <w:bottom w:val="nil"/>
              <w:right w:val="nil"/>
            </w:tcBorders>
            <w:vAlign w:val="bottom"/>
          </w:tcPr>
          <w:p w14:paraId="58B800A9" w14:textId="77777777" w:rsidR="00FE531B" w:rsidRDefault="00FE531B" w:rsidP="00FE531B">
            <w:pPr>
              <w:spacing w:after="0" w:line="240" w:lineRule="auto"/>
              <w:jc w:val="center"/>
              <w:rPr>
                <w:rFonts w:cs="Arial"/>
                <w:sz w:val="20"/>
              </w:rPr>
            </w:pPr>
            <w:r>
              <w:rPr>
                <w:rFonts w:cs="Arial"/>
                <w:sz w:val="20"/>
              </w:rPr>
              <w:t>966 (2.7%)</w:t>
            </w:r>
          </w:p>
        </w:tc>
        <w:tc>
          <w:tcPr>
            <w:tcW w:w="1083" w:type="dxa"/>
            <w:vMerge/>
            <w:tcBorders>
              <w:top w:val="nil"/>
              <w:left w:val="nil"/>
              <w:bottom w:val="nil"/>
              <w:right w:val="nil"/>
            </w:tcBorders>
            <w:vAlign w:val="center"/>
          </w:tcPr>
          <w:p w14:paraId="25FE33C1" w14:textId="77777777" w:rsidR="00FE531B" w:rsidRDefault="00FE531B" w:rsidP="00FE531B">
            <w:pPr>
              <w:spacing w:after="0" w:line="240" w:lineRule="auto"/>
              <w:rPr>
                <w:rFonts w:cs="Arial"/>
                <w:sz w:val="20"/>
              </w:rPr>
            </w:pPr>
          </w:p>
        </w:tc>
      </w:tr>
      <w:tr w:rsidR="00FE531B" w14:paraId="0A9F808C" w14:textId="77777777" w:rsidTr="0070364F">
        <w:tc>
          <w:tcPr>
            <w:tcW w:w="3865" w:type="dxa"/>
            <w:tcBorders>
              <w:top w:val="nil"/>
              <w:left w:val="nil"/>
              <w:bottom w:val="nil"/>
              <w:right w:val="nil"/>
            </w:tcBorders>
            <w:vAlign w:val="center"/>
          </w:tcPr>
          <w:p w14:paraId="377D5979" w14:textId="77777777" w:rsidR="00FE531B" w:rsidRDefault="00FE531B" w:rsidP="00FE531B">
            <w:pPr>
              <w:spacing w:after="0" w:line="240" w:lineRule="auto"/>
              <w:ind w:firstLineChars="100" w:firstLine="200"/>
              <w:rPr>
                <w:rFonts w:cs="Arial"/>
                <w:sz w:val="20"/>
              </w:rPr>
            </w:pPr>
            <w:r>
              <w:rPr>
                <w:rFonts w:cs="Arial"/>
                <w:sz w:val="20"/>
              </w:rPr>
              <w:t>Other/Unknown</w:t>
            </w:r>
          </w:p>
        </w:tc>
        <w:tc>
          <w:tcPr>
            <w:tcW w:w="1483" w:type="dxa"/>
            <w:tcBorders>
              <w:top w:val="nil"/>
              <w:left w:val="nil"/>
              <w:bottom w:val="nil"/>
              <w:right w:val="nil"/>
            </w:tcBorders>
            <w:vAlign w:val="bottom"/>
          </w:tcPr>
          <w:p w14:paraId="5EDE3F69" w14:textId="77777777" w:rsidR="00FE531B" w:rsidRDefault="00FE531B" w:rsidP="00FE531B">
            <w:pPr>
              <w:spacing w:after="0" w:line="240" w:lineRule="auto"/>
              <w:jc w:val="center"/>
              <w:rPr>
                <w:rFonts w:cs="Arial"/>
                <w:sz w:val="20"/>
              </w:rPr>
            </w:pPr>
            <w:r>
              <w:rPr>
                <w:rFonts w:cs="Arial"/>
                <w:sz w:val="20"/>
              </w:rPr>
              <w:t>103 (1.5%)</w:t>
            </w:r>
          </w:p>
        </w:tc>
        <w:tc>
          <w:tcPr>
            <w:tcW w:w="1707" w:type="dxa"/>
            <w:tcBorders>
              <w:top w:val="nil"/>
              <w:left w:val="nil"/>
              <w:bottom w:val="nil"/>
              <w:right w:val="nil"/>
            </w:tcBorders>
            <w:vAlign w:val="bottom"/>
          </w:tcPr>
          <w:p w14:paraId="0F3391CA" w14:textId="77777777" w:rsidR="00FE531B" w:rsidRDefault="00FE531B" w:rsidP="00FE531B">
            <w:pPr>
              <w:spacing w:after="0" w:line="240" w:lineRule="auto"/>
              <w:jc w:val="center"/>
              <w:rPr>
                <w:rFonts w:cs="Arial"/>
                <w:sz w:val="20"/>
              </w:rPr>
            </w:pPr>
            <w:r>
              <w:rPr>
                <w:rFonts w:cs="Arial"/>
                <w:sz w:val="20"/>
              </w:rPr>
              <w:t>456 (1.3%)</w:t>
            </w:r>
          </w:p>
        </w:tc>
        <w:tc>
          <w:tcPr>
            <w:tcW w:w="1083" w:type="dxa"/>
            <w:vMerge/>
            <w:tcBorders>
              <w:top w:val="nil"/>
              <w:left w:val="nil"/>
              <w:bottom w:val="nil"/>
              <w:right w:val="nil"/>
            </w:tcBorders>
            <w:vAlign w:val="center"/>
          </w:tcPr>
          <w:p w14:paraId="486CA269" w14:textId="77777777" w:rsidR="00FE531B" w:rsidRDefault="00FE531B" w:rsidP="00FE531B">
            <w:pPr>
              <w:spacing w:after="0" w:line="240" w:lineRule="auto"/>
              <w:rPr>
                <w:rFonts w:cs="Arial"/>
                <w:sz w:val="20"/>
              </w:rPr>
            </w:pPr>
          </w:p>
        </w:tc>
      </w:tr>
      <w:tr w:rsidR="00FE531B" w14:paraId="62C373A0" w14:textId="77777777" w:rsidTr="0070364F">
        <w:tc>
          <w:tcPr>
            <w:tcW w:w="3865" w:type="dxa"/>
            <w:tcBorders>
              <w:top w:val="nil"/>
              <w:left w:val="nil"/>
              <w:bottom w:val="nil"/>
              <w:right w:val="nil"/>
            </w:tcBorders>
            <w:vAlign w:val="bottom"/>
          </w:tcPr>
          <w:p w14:paraId="24132BA4" w14:textId="77777777" w:rsidR="00FE531B" w:rsidRDefault="00FE531B" w:rsidP="00FE531B">
            <w:pPr>
              <w:spacing w:after="0" w:line="240" w:lineRule="auto"/>
              <w:rPr>
                <w:rFonts w:cs="Arial"/>
                <w:sz w:val="20"/>
              </w:rPr>
            </w:pPr>
            <w:r>
              <w:rPr>
                <w:rFonts w:cs="Arial"/>
                <w:sz w:val="20"/>
              </w:rPr>
              <w:t>Hospitalizations in Year Prior to Hospice Admission</w:t>
            </w:r>
          </w:p>
        </w:tc>
        <w:tc>
          <w:tcPr>
            <w:tcW w:w="1483" w:type="dxa"/>
            <w:tcBorders>
              <w:top w:val="nil"/>
              <w:left w:val="nil"/>
              <w:bottom w:val="nil"/>
              <w:right w:val="nil"/>
            </w:tcBorders>
            <w:vAlign w:val="bottom"/>
          </w:tcPr>
          <w:p w14:paraId="0E7DEF93" w14:textId="77777777" w:rsidR="00FE531B" w:rsidRDefault="00FE531B" w:rsidP="00FE531B">
            <w:pPr>
              <w:spacing w:after="0" w:line="240" w:lineRule="auto"/>
              <w:rPr>
                <w:rFonts w:cs="Arial"/>
                <w:sz w:val="20"/>
              </w:rPr>
            </w:pPr>
          </w:p>
        </w:tc>
        <w:tc>
          <w:tcPr>
            <w:tcW w:w="1707" w:type="dxa"/>
            <w:tcBorders>
              <w:top w:val="nil"/>
              <w:left w:val="nil"/>
              <w:bottom w:val="nil"/>
              <w:right w:val="nil"/>
            </w:tcBorders>
            <w:vAlign w:val="bottom"/>
          </w:tcPr>
          <w:p w14:paraId="105C8856" w14:textId="77777777" w:rsidR="00FE531B" w:rsidRDefault="00FE531B" w:rsidP="00FE531B">
            <w:pPr>
              <w:spacing w:after="0" w:line="240" w:lineRule="auto"/>
              <w:jc w:val="center"/>
              <w:rPr>
                <w:sz w:val="20"/>
              </w:rPr>
            </w:pPr>
          </w:p>
        </w:tc>
        <w:tc>
          <w:tcPr>
            <w:tcW w:w="1083" w:type="dxa"/>
            <w:tcBorders>
              <w:top w:val="nil"/>
              <w:left w:val="nil"/>
              <w:bottom w:val="nil"/>
              <w:right w:val="nil"/>
            </w:tcBorders>
            <w:vAlign w:val="center"/>
          </w:tcPr>
          <w:p w14:paraId="48E70BFB" w14:textId="77777777" w:rsidR="00FE531B" w:rsidRDefault="00FE531B" w:rsidP="00FE531B">
            <w:pPr>
              <w:spacing w:after="0" w:line="240" w:lineRule="auto"/>
              <w:jc w:val="center"/>
              <w:rPr>
                <w:sz w:val="20"/>
              </w:rPr>
            </w:pPr>
          </w:p>
        </w:tc>
      </w:tr>
      <w:tr w:rsidR="00FE531B" w14:paraId="768EAD71" w14:textId="77777777" w:rsidTr="0070364F">
        <w:tc>
          <w:tcPr>
            <w:tcW w:w="3865" w:type="dxa"/>
            <w:tcBorders>
              <w:top w:val="nil"/>
              <w:left w:val="nil"/>
              <w:bottom w:val="nil"/>
              <w:right w:val="nil"/>
            </w:tcBorders>
            <w:vAlign w:val="bottom"/>
          </w:tcPr>
          <w:p w14:paraId="7F3799FD" w14:textId="77777777" w:rsidR="00FE531B" w:rsidRDefault="00FE531B" w:rsidP="00FE531B">
            <w:pPr>
              <w:spacing w:after="0" w:line="240" w:lineRule="auto"/>
              <w:ind w:firstLineChars="100" w:firstLine="200"/>
              <w:rPr>
                <w:rFonts w:cs="Arial"/>
                <w:sz w:val="20"/>
              </w:rPr>
            </w:pPr>
            <w:r>
              <w:rPr>
                <w:rFonts w:cs="Arial"/>
                <w:sz w:val="20"/>
              </w:rPr>
              <w:t>0</w:t>
            </w:r>
          </w:p>
        </w:tc>
        <w:tc>
          <w:tcPr>
            <w:tcW w:w="1483" w:type="dxa"/>
            <w:tcBorders>
              <w:top w:val="nil"/>
              <w:left w:val="nil"/>
              <w:bottom w:val="nil"/>
              <w:right w:val="nil"/>
            </w:tcBorders>
            <w:vAlign w:val="bottom"/>
          </w:tcPr>
          <w:p w14:paraId="131B6916" w14:textId="77777777" w:rsidR="00FE531B" w:rsidRDefault="00FE531B" w:rsidP="00FE531B">
            <w:pPr>
              <w:spacing w:after="0" w:line="240" w:lineRule="auto"/>
              <w:jc w:val="center"/>
              <w:rPr>
                <w:rFonts w:cs="Arial"/>
                <w:sz w:val="20"/>
              </w:rPr>
            </w:pPr>
            <w:r>
              <w:rPr>
                <w:rFonts w:cs="Arial"/>
                <w:sz w:val="20"/>
              </w:rPr>
              <w:t>1651 (23.4%)</w:t>
            </w:r>
          </w:p>
        </w:tc>
        <w:tc>
          <w:tcPr>
            <w:tcW w:w="1707" w:type="dxa"/>
            <w:tcBorders>
              <w:top w:val="nil"/>
              <w:left w:val="nil"/>
              <w:bottom w:val="nil"/>
              <w:right w:val="nil"/>
            </w:tcBorders>
            <w:vAlign w:val="bottom"/>
          </w:tcPr>
          <w:p w14:paraId="1D9B334E" w14:textId="77777777" w:rsidR="00FE531B" w:rsidRDefault="00FE531B" w:rsidP="00FE531B">
            <w:pPr>
              <w:spacing w:after="0" w:line="240" w:lineRule="auto"/>
              <w:jc w:val="center"/>
              <w:rPr>
                <w:rFonts w:cs="Arial"/>
                <w:sz w:val="20"/>
              </w:rPr>
            </w:pPr>
            <w:r>
              <w:rPr>
                <w:rFonts w:cs="Arial"/>
                <w:sz w:val="20"/>
              </w:rPr>
              <w:t>9594 (27.3%)</w:t>
            </w:r>
          </w:p>
        </w:tc>
        <w:tc>
          <w:tcPr>
            <w:tcW w:w="1083" w:type="dxa"/>
            <w:vMerge w:val="restart"/>
            <w:tcBorders>
              <w:top w:val="nil"/>
              <w:left w:val="nil"/>
              <w:bottom w:val="nil"/>
              <w:right w:val="nil"/>
            </w:tcBorders>
            <w:vAlign w:val="center"/>
          </w:tcPr>
          <w:p w14:paraId="660C07A8" w14:textId="77777777" w:rsidR="00FE531B" w:rsidRDefault="00FE531B" w:rsidP="00FE531B">
            <w:pPr>
              <w:spacing w:after="0" w:line="240" w:lineRule="auto"/>
              <w:jc w:val="center"/>
              <w:rPr>
                <w:rFonts w:cs="Arial"/>
                <w:sz w:val="20"/>
              </w:rPr>
            </w:pPr>
            <w:r>
              <w:rPr>
                <w:rFonts w:cs="Arial"/>
                <w:sz w:val="20"/>
              </w:rPr>
              <w:t>&lt;0.001</w:t>
            </w:r>
          </w:p>
        </w:tc>
      </w:tr>
      <w:tr w:rsidR="00FE531B" w14:paraId="30A39281" w14:textId="77777777" w:rsidTr="0070364F">
        <w:tc>
          <w:tcPr>
            <w:tcW w:w="3865" w:type="dxa"/>
            <w:tcBorders>
              <w:top w:val="nil"/>
              <w:left w:val="nil"/>
              <w:bottom w:val="nil"/>
              <w:right w:val="nil"/>
            </w:tcBorders>
            <w:vAlign w:val="bottom"/>
          </w:tcPr>
          <w:p w14:paraId="5AA0BA17" w14:textId="77777777" w:rsidR="00FE531B" w:rsidRDefault="00FE531B" w:rsidP="00FE531B">
            <w:pPr>
              <w:spacing w:after="0" w:line="240" w:lineRule="auto"/>
              <w:ind w:firstLineChars="100" w:firstLine="200"/>
              <w:rPr>
                <w:rFonts w:cs="Arial"/>
                <w:sz w:val="20"/>
              </w:rPr>
            </w:pPr>
            <w:r>
              <w:rPr>
                <w:rFonts w:cs="Arial"/>
                <w:sz w:val="20"/>
              </w:rPr>
              <w:t>1</w:t>
            </w:r>
          </w:p>
        </w:tc>
        <w:tc>
          <w:tcPr>
            <w:tcW w:w="1483" w:type="dxa"/>
            <w:tcBorders>
              <w:top w:val="nil"/>
              <w:left w:val="nil"/>
              <w:bottom w:val="nil"/>
              <w:right w:val="nil"/>
            </w:tcBorders>
            <w:vAlign w:val="bottom"/>
          </w:tcPr>
          <w:p w14:paraId="630FEFE0" w14:textId="77777777" w:rsidR="00FE531B" w:rsidRDefault="00FE531B" w:rsidP="00FE531B">
            <w:pPr>
              <w:spacing w:after="0" w:line="240" w:lineRule="auto"/>
              <w:jc w:val="center"/>
              <w:rPr>
                <w:rFonts w:cs="Arial"/>
                <w:sz w:val="20"/>
              </w:rPr>
            </w:pPr>
            <w:r>
              <w:rPr>
                <w:rFonts w:cs="Arial"/>
                <w:sz w:val="20"/>
              </w:rPr>
              <w:t>1950 (27.6%)</w:t>
            </w:r>
          </w:p>
        </w:tc>
        <w:tc>
          <w:tcPr>
            <w:tcW w:w="1707" w:type="dxa"/>
            <w:tcBorders>
              <w:top w:val="nil"/>
              <w:left w:val="nil"/>
              <w:bottom w:val="nil"/>
              <w:right w:val="nil"/>
            </w:tcBorders>
            <w:vAlign w:val="bottom"/>
          </w:tcPr>
          <w:p w14:paraId="75725750" w14:textId="77777777" w:rsidR="00FE531B" w:rsidRDefault="00FE531B" w:rsidP="00FE531B">
            <w:pPr>
              <w:spacing w:after="0" w:line="240" w:lineRule="auto"/>
              <w:jc w:val="center"/>
              <w:rPr>
                <w:rFonts w:cs="Arial"/>
                <w:sz w:val="20"/>
              </w:rPr>
            </w:pPr>
            <w:r>
              <w:rPr>
                <w:rFonts w:cs="Arial"/>
                <w:sz w:val="20"/>
              </w:rPr>
              <w:t>10413 (29.6%)</w:t>
            </w:r>
          </w:p>
        </w:tc>
        <w:tc>
          <w:tcPr>
            <w:tcW w:w="1083" w:type="dxa"/>
            <w:vMerge/>
            <w:tcBorders>
              <w:top w:val="nil"/>
              <w:left w:val="nil"/>
              <w:bottom w:val="nil"/>
              <w:right w:val="nil"/>
            </w:tcBorders>
            <w:vAlign w:val="center"/>
          </w:tcPr>
          <w:p w14:paraId="3E8C8A54" w14:textId="77777777" w:rsidR="00FE531B" w:rsidRDefault="00FE531B" w:rsidP="00FE531B">
            <w:pPr>
              <w:spacing w:after="0" w:line="240" w:lineRule="auto"/>
              <w:rPr>
                <w:rFonts w:cs="Arial"/>
                <w:sz w:val="20"/>
              </w:rPr>
            </w:pPr>
          </w:p>
        </w:tc>
      </w:tr>
      <w:tr w:rsidR="00FE531B" w14:paraId="29EBCD24" w14:textId="77777777" w:rsidTr="0070364F">
        <w:tc>
          <w:tcPr>
            <w:tcW w:w="3865" w:type="dxa"/>
            <w:tcBorders>
              <w:top w:val="nil"/>
              <w:left w:val="nil"/>
              <w:bottom w:val="nil"/>
              <w:right w:val="nil"/>
            </w:tcBorders>
            <w:vAlign w:val="bottom"/>
          </w:tcPr>
          <w:p w14:paraId="0E383E7A" w14:textId="77777777" w:rsidR="00FE531B" w:rsidRDefault="00FE531B" w:rsidP="00FE531B">
            <w:pPr>
              <w:spacing w:after="0" w:line="240" w:lineRule="auto"/>
              <w:ind w:firstLineChars="100" w:firstLine="200"/>
              <w:rPr>
                <w:rFonts w:cs="Arial"/>
                <w:sz w:val="20"/>
              </w:rPr>
            </w:pPr>
            <w:r>
              <w:rPr>
                <w:rFonts w:cs="Arial"/>
                <w:sz w:val="20"/>
              </w:rPr>
              <w:t>2</w:t>
            </w:r>
          </w:p>
        </w:tc>
        <w:tc>
          <w:tcPr>
            <w:tcW w:w="1483" w:type="dxa"/>
            <w:tcBorders>
              <w:top w:val="nil"/>
              <w:left w:val="nil"/>
              <w:bottom w:val="nil"/>
              <w:right w:val="nil"/>
            </w:tcBorders>
            <w:vAlign w:val="bottom"/>
          </w:tcPr>
          <w:p w14:paraId="1EC1791B" w14:textId="77777777" w:rsidR="00FE531B" w:rsidRDefault="00FE531B" w:rsidP="00FE531B">
            <w:pPr>
              <w:spacing w:after="0" w:line="240" w:lineRule="auto"/>
              <w:jc w:val="center"/>
              <w:rPr>
                <w:rFonts w:cs="Arial"/>
                <w:sz w:val="20"/>
              </w:rPr>
            </w:pPr>
            <w:r>
              <w:rPr>
                <w:rFonts w:cs="Arial"/>
                <w:sz w:val="20"/>
              </w:rPr>
              <w:t>1377 (19.5%)</w:t>
            </w:r>
          </w:p>
        </w:tc>
        <w:tc>
          <w:tcPr>
            <w:tcW w:w="1707" w:type="dxa"/>
            <w:tcBorders>
              <w:top w:val="nil"/>
              <w:left w:val="nil"/>
              <w:bottom w:val="nil"/>
              <w:right w:val="nil"/>
            </w:tcBorders>
            <w:vAlign w:val="bottom"/>
          </w:tcPr>
          <w:p w14:paraId="7F4FCFC8" w14:textId="77777777" w:rsidR="00FE531B" w:rsidRDefault="00FE531B" w:rsidP="00FE531B">
            <w:pPr>
              <w:spacing w:after="0" w:line="240" w:lineRule="auto"/>
              <w:jc w:val="center"/>
              <w:rPr>
                <w:rFonts w:cs="Arial"/>
                <w:sz w:val="20"/>
              </w:rPr>
            </w:pPr>
            <w:r>
              <w:rPr>
                <w:rFonts w:cs="Arial"/>
                <w:sz w:val="20"/>
              </w:rPr>
              <w:t>6634 (18.9%)</w:t>
            </w:r>
          </w:p>
        </w:tc>
        <w:tc>
          <w:tcPr>
            <w:tcW w:w="1083" w:type="dxa"/>
            <w:vMerge/>
            <w:tcBorders>
              <w:top w:val="nil"/>
              <w:left w:val="nil"/>
              <w:bottom w:val="nil"/>
              <w:right w:val="nil"/>
            </w:tcBorders>
            <w:vAlign w:val="center"/>
          </w:tcPr>
          <w:p w14:paraId="33E316BB" w14:textId="77777777" w:rsidR="00FE531B" w:rsidRDefault="00FE531B" w:rsidP="00FE531B">
            <w:pPr>
              <w:spacing w:after="0" w:line="240" w:lineRule="auto"/>
              <w:rPr>
                <w:rFonts w:cs="Arial"/>
                <w:sz w:val="20"/>
              </w:rPr>
            </w:pPr>
          </w:p>
        </w:tc>
      </w:tr>
      <w:tr w:rsidR="00FE531B" w14:paraId="1D7BA815" w14:textId="77777777" w:rsidTr="0070364F">
        <w:tc>
          <w:tcPr>
            <w:tcW w:w="3865" w:type="dxa"/>
            <w:tcBorders>
              <w:top w:val="nil"/>
              <w:left w:val="nil"/>
              <w:bottom w:val="nil"/>
              <w:right w:val="nil"/>
            </w:tcBorders>
            <w:vAlign w:val="bottom"/>
          </w:tcPr>
          <w:p w14:paraId="5629A350" w14:textId="77777777" w:rsidR="00FE531B" w:rsidRDefault="00FE531B" w:rsidP="00FE531B">
            <w:pPr>
              <w:spacing w:after="0" w:line="240" w:lineRule="auto"/>
              <w:ind w:firstLineChars="100" w:firstLine="200"/>
              <w:rPr>
                <w:rFonts w:cs="Arial"/>
                <w:sz w:val="20"/>
              </w:rPr>
            </w:pPr>
            <w:r>
              <w:rPr>
                <w:rFonts w:cs="Arial"/>
                <w:sz w:val="20"/>
              </w:rPr>
              <w:t>3-4</w:t>
            </w:r>
          </w:p>
        </w:tc>
        <w:tc>
          <w:tcPr>
            <w:tcW w:w="1483" w:type="dxa"/>
            <w:tcBorders>
              <w:top w:val="nil"/>
              <w:left w:val="nil"/>
              <w:bottom w:val="nil"/>
              <w:right w:val="nil"/>
            </w:tcBorders>
            <w:vAlign w:val="bottom"/>
          </w:tcPr>
          <w:p w14:paraId="166B079C" w14:textId="77777777" w:rsidR="00FE531B" w:rsidRDefault="00FE531B" w:rsidP="00FE531B">
            <w:pPr>
              <w:spacing w:after="0" w:line="240" w:lineRule="auto"/>
              <w:jc w:val="center"/>
              <w:rPr>
                <w:rFonts w:cs="Arial"/>
                <w:sz w:val="20"/>
              </w:rPr>
            </w:pPr>
            <w:r>
              <w:rPr>
                <w:rFonts w:cs="Arial"/>
                <w:sz w:val="20"/>
              </w:rPr>
              <w:t>1358 (19.2%)</w:t>
            </w:r>
          </w:p>
        </w:tc>
        <w:tc>
          <w:tcPr>
            <w:tcW w:w="1707" w:type="dxa"/>
            <w:tcBorders>
              <w:top w:val="nil"/>
              <w:left w:val="nil"/>
              <w:bottom w:val="nil"/>
              <w:right w:val="nil"/>
            </w:tcBorders>
            <w:vAlign w:val="bottom"/>
          </w:tcPr>
          <w:p w14:paraId="230FB375" w14:textId="77777777" w:rsidR="00FE531B" w:rsidRDefault="00FE531B" w:rsidP="00FE531B">
            <w:pPr>
              <w:spacing w:after="0" w:line="240" w:lineRule="auto"/>
              <w:jc w:val="center"/>
              <w:rPr>
                <w:rFonts w:cs="Arial"/>
                <w:sz w:val="20"/>
              </w:rPr>
            </w:pPr>
            <w:r>
              <w:rPr>
                <w:rFonts w:cs="Arial"/>
                <w:sz w:val="20"/>
              </w:rPr>
              <w:t>6102 (17.3%)</w:t>
            </w:r>
          </w:p>
        </w:tc>
        <w:tc>
          <w:tcPr>
            <w:tcW w:w="1083" w:type="dxa"/>
            <w:vMerge/>
            <w:tcBorders>
              <w:top w:val="nil"/>
              <w:left w:val="nil"/>
              <w:bottom w:val="nil"/>
              <w:right w:val="nil"/>
            </w:tcBorders>
            <w:vAlign w:val="center"/>
          </w:tcPr>
          <w:p w14:paraId="2C64436E" w14:textId="77777777" w:rsidR="00FE531B" w:rsidRDefault="00FE531B" w:rsidP="00FE531B">
            <w:pPr>
              <w:spacing w:after="0" w:line="240" w:lineRule="auto"/>
              <w:rPr>
                <w:rFonts w:cs="Arial"/>
                <w:sz w:val="20"/>
              </w:rPr>
            </w:pPr>
          </w:p>
        </w:tc>
      </w:tr>
      <w:tr w:rsidR="00FE531B" w14:paraId="2AED03B0" w14:textId="77777777" w:rsidTr="0070364F">
        <w:tc>
          <w:tcPr>
            <w:tcW w:w="3865" w:type="dxa"/>
            <w:tcBorders>
              <w:top w:val="nil"/>
              <w:left w:val="nil"/>
              <w:bottom w:val="nil"/>
              <w:right w:val="nil"/>
            </w:tcBorders>
            <w:vAlign w:val="bottom"/>
          </w:tcPr>
          <w:p w14:paraId="2BEBEE4B" w14:textId="77777777" w:rsidR="00FE531B" w:rsidRDefault="00FE531B" w:rsidP="00FE531B">
            <w:pPr>
              <w:spacing w:after="0" w:line="240" w:lineRule="auto"/>
              <w:ind w:firstLineChars="100" w:firstLine="200"/>
              <w:rPr>
                <w:rFonts w:cs="Arial"/>
                <w:sz w:val="20"/>
              </w:rPr>
            </w:pPr>
            <w:r>
              <w:rPr>
                <w:rFonts w:cs="Arial"/>
                <w:sz w:val="20"/>
              </w:rPr>
              <w:t>5 or more</w:t>
            </w:r>
          </w:p>
        </w:tc>
        <w:tc>
          <w:tcPr>
            <w:tcW w:w="1483" w:type="dxa"/>
            <w:tcBorders>
              <w:top w:val="nil"/>
              <w:left w:val="nil"/>
              <w:bottom w:val="nil"/>
              <w:right w:val="nil"/>
            </w:tcBorders>
            <w:vAlign w:val="bottom"/>
          </w:tcPr>
          <w:p w14:paraId="152183B9" w14:textId="77777777" w:rsidR="00FE531B" w:rsidRDefault="00FE531B" w:rsidP="00FE531B">
            <w:pPr>
              <w:spacing w:after="0" w:line="240" w:lineRule="auto"/>
              <w:jc w:val="center"/>
              <w:rPr>
                <w:rFonts w:cs="Arial"/>
                <w:sz w:val="20"/>
              </w:rPr>
            </w:pPr>
            <w:r>
              <w:rPr>
                <w:rFonts w:cs="Arial"/>
                <w:sz w:val="20"/>
              </w:rPr>
              <w:t>728 (10.3%)</w:t>
            </w:r>
          </w:p>
        </w:tc>
        <w:tc>
          <w:tcPr>
            <w:tcW w:w="1707" w:type="dxa"/>
            <w:tcBorders>
              <w:top w:val="nil"/>
              <w:left w:val="nil"/>
              <w:bottom w:val="nil"/>
              <w:right w:val="nil"/>
            </w:tcBorders>
            <w:vAlign w:val="bottom"/>
          </w:tcPr>
          <w:p w14:paraId="41C706D4" w14:textId="77777777" w:rsidR="00FE531B" w:rsidRDefault="00FE531B" w:rsidP="00FE531B">
            <w:pPr>
              <w:spacing w:after="0" w:line="240" w:lineRule="auto"/>
              <w:jc w:val="center"/>
              <w:rPr>
                <w:rFonts w:cs="Arial"/>
                <w:sz w:val="20"/>
              </w:rPr>
            </w:pPr>
            <w:r>
              <w:rPr>
                <w:rFonts w:cs="Arial"/>
                <w:sz w:val="20"/>
              </w:rPr>
              <w:t>2446 (7.0%)</w:t>
            </w:r>
          </w:p>
        </w:tc>
        <w:tc>
          <w:tcPr>
            <w:tcW w:w="1083" w:type="dxa"/>
            <w:vMerge/>
            <w:tcBorders>
              <w:top w:val="nil"/>
              <w:left w:val="nil"/>
              <w:bottom w:val="nil"/>
              <w:right w:val="nil"/>
            </w:tcBorders>
            <w:vAlign w:val="center"/>
          </w:tcPr>
          <w:p w14:paraId="0B5DDCD1" w14:textId="77777777" w:rsidR="00FE531B" w:rsidRDefault="00FE531B" w:rsidP="00FE531B">
            <w:pPr>
              <w:spacing w:after="0" w:line="240" w:lineRule="auto"/>
              <w:rPr>
                <w:rFonts w:cs="Arial"/>
                <w:sz w:val="20"/>
              </w:rPr>
            </w:pPr>
          </w:p>
        </w:tc>
      </w:tr>
      <w:tr w:rsidR="00FE531B" w14:paraId="5878DA88" w14:textId="77777777" w:rsidTr="0070364F">
        <w:tc>
          <w:tcPr>
            <w:tcW w:w="3865" w:type="dxa"/>
            <w:tcBorders>
              <w:top w:val="nil"/>
              <w:left w:val="nil"/>
              <w:bottom w:val="nil"/>
              <w:right w:val="nil"/>
            </w:tcBorders>
            <w:vAlign w:val="bottom"/>
          </w:tcPr>
          <w:p w14:paraId="61B32E88" w14:textId="77777777" w:rsidR="00FE531B" w:rsidRDefault="00FE531B" w:rsidP="00FE531B">
            <w:pPr>
              <w:spacing w:after="0" w:line="240" w:lineRule="auto"/>
              <w:rPr>
                <w:rFonts w:cs="Arial"/>
                <w:sz w:val="20"/>
              </w:rPr>
            </w:pPr>
            <w:r>
              <w:rPr>
                <w:rFonts w:cs="Arial"/>
                <w:sz w:val="20"/>
              </w:rPr>
              <w:t>Any Prior Use of Inpatient Hospice</w:t>
            </w:r>
          </w:p>
        </w:tc>
        <w:tc>
          <w:tcPr>
            <w:tcW w:w="1483" w:type="dxa"/>
            <w:tcBorders>
              <w:top w:val="nil"/>
              <w:left w:val="nil"/>
              <w:bottom w:val="nil"/>
              <w:right w:val="nil"/>
            </w:tcBorders>
            <w:vAlign w:val="bottom"/>
          </w:tcPr>
          <w:p w14:paraId="320D0F11" w14:textId="77777777" w:rsidR="00FE531B" w:rsidRDefault="00FE531B" w:rsidP="00FE531B">
            <w:pPr>
              <w:spacing w:after="0" w:line="240" w:lineRule="auto"/>
              <w:jc w:val="center"/>
              <w:rPr>
                <w:rFonts w:cs="Arial"/>
                <w:sz w:val="20"/>
              </w:rPr>
            </w:pPr>
            <w:r>
              <w:rPr>
                <w:rFonts w:cs="Arial"/>
                <w:sz w:val="20"/>
              </w:rPr>
              <w:t>1322 (18.7%)</w:t>
            </w:r>
          </w:p>
        </w:tc>
        <w:tc>
          <w:tcPr>
            <w:tcW w:w="1707" w:type="dxa"/>
            <w:tcBorders>
              <w:top w:val="nil"/>
              <w:left w:val="nil"/>
              <w:bottom w:val="nil"/>
              <w:right w:val="nil"/>
            </w:tcBorders>
            <w:vAlign w:val="bottom"/>
          </w:tcPr>
          <w:p w14:paraId="3A07DC16" w14:textId="77777777" w:rsidR="00FE531B" w:rsidRDefault="00FE531B" w:rsidP="00FE531B">
            <w:pPr>
              <w:spacing w:after="0" w:line="240" w:lineRule="auto"/>
              <w:jc w:val="center"/>
              <w:rPr>
                <w:rFonts w:cs="Arial"/>
                <w:sz w:val="20"/>
              </w:rPr>
            </w:pPr>
            <w:r>
              <w:rPr>
                <w:rFonts w:cs="Arial"/>
                <w:sz w:val="20"/>
              </w:rPr>
              <w:t>3151 (9.0%)</w:t>
            </w:r>
          </w:p>
        </w:tc>
        <w:tc>
          <w:tcPr>
            <w:tcW w:w="1083" w:type="dxa"/>
            <w:tcBorders>
              <w:top w:val="nil"/>
              <w:left w:val="nil"/>
              <w:bottom w:val="nil"/>
              <w:right w:val="nil"/>
            </w:tcBorders>
            <w:vAlign w:val="bottom"/>
          </w:tcPr>
          <w:p w14:paraId="5A931AD2" w14:textId="77777777" w:rsidR="00FE531B" w:rsidRDefault="00FE531B" w:rsidP="00FE531B">
            <w:pPr>
              <w:spacing w:after="0" w:line="240" w:lineRule="auto"/>
              <w:jc w:val="center"/>
              <w:rPr>
                <w:rFonts w:cs="Arial"/>
                <w:sz w:val="20"/>
              </w:rPr>
            </w:pPr>
            <w:r>
              <w:rPr>
                <w:rFonts w:cs="Arial"/>
                <w:sz w:val="20"/>
              </w:rPr>
              <w:t>&lt;0.001</w:t>
            </w:r>
          </w:p>
        </w:tc>
      </w:tr>
      <w:tr w:rsidR="00FE531B" w14:paraId="340FE8BB" w14:textId="77777777" w:rsidTr="0070364F">
        <w:tc>
          <w:tcPr>
            <w:tcW w:w="3865" w:type="dxa"/>
            <w:tcBorders>
              <w:top w:val="nil"/>
              <w:left w:val="nil"/>
              <w:bottom w:val="nil"/>
              <w:right w:val="nil"/>
            </w:tcBorders>
            <w:vAlign w:val="bottom"/>
          </w:tcPr>
          <w:p w14:paraId="2F6470FE" w14:textId="77777777" w:rsidR="00FE531B" w:rsidRDefault="00FE531B" w:rsidP="00FE531B">
            <w:pPr>
              <w:spacing w:after="0" w:line="240" w:lineRule="auto"/>
              <w:rPr>
                <w:rFonts w:cs="Arial"/>
                <w:color w:val="000000"/>
                <w:sz w:val="20"/>
              </w:rPr>
            </w:pPr>
            <w:r>
              <w:rPr>
                <w:rFonts w:cs="Arial"/>
                <w:color w:val="000000"/>
                <w:sz w:val="20"/>
              </w:rPr>
              <w:t>Part D Low-Income Subsidy Recipient</w:t>
            </w:r>
          </w:p>
        </w:tc>
        <w:tc>
          <w:tcPr>
            <w:tcW w:w="1483" w:type="dxa"/>
            <w:tcBorders>
              <w:top w:val="nil"/>
              <w:left w:val="nil"/>
              <w:bottom w:val="nil"/>
              <w:right w:val="nil"/>
            </w:tcBorders>
            <w:vAlign w:val="bottom"/>
          </w:tcPr>
          <w:p w14:paraId="3B4F9518" w14:textId="77777777" w:rsidR="00FE531B" w:rsidRDefault="00FE531B" w:rsidP="00FE531B">
            <w:pPr>
              <w:spacing w:after="0" w:line="240" w:lineRule="auto"/>
              <w:jc w:val="center"/>
              <w:rPr>
                <w:rFonts w:cs="Arial"/>
                <w:sz w:val="20"/>
              </w:rPr>
            </w:pPr>
            <w:r>
              <w:rPr>
                <w:rFonts w:cs="Arial"/>
                <w:sz w:val="20"/>
              </w:rPr>
              <w:t>3444 (48.8%)</w:t>
            </w:r>
          </w:p>
        </w:tc>
        <w:tc>
          <w:tcPr>
            <w:tcW w:w="1707" w:type="dxa"/>
            <w:tcBorders>
              <w:top w:val="nil"/>
              <w:left w:val="nil"/>
              <w:bottom w:val="nil"/>
              <w:right w:val="nil"/>
            </w:tcBorders>
            <w:vAlign w:val="bottom"/>
          </w:tcPr>
          <w:p w14:paraId="771784DE" w14:textId="77777777" w:rsidR="00FE531B" w:rsidRDefault="00FE531B" w:rsidP="00FE531B">
            <w:pPr>
              <w:spacing w:after="0" w:line="240" w:lineRule="auto"/>
              <w:jc w:val="center"/>
              <w:rPr>
                <w:rFonts w:cs="Arial"/>
                <w:sz w:val="20"/>
              </w:rPr>
            </w:pPr>
            <w:r>
              <w:rPr>
                <w:rFonts w:cs="Arial"/>
                <w:sz w:val="20"/>
              </w:rPr>
              <w:t>15457 (43.9%)</w:t>
            </w:r>
          </w:p>
        </w:tc>
        <w:tc>
          <w:tcPr>
            <w:tcW w:w="1083" w:type="dxa"/>
            <w:tcBorders>
              <w:top w:val="nil"/>
              <w:left w:val="nil"/>
              <w:bottom w:val="nil"/>
              <w:right w:val="nil"/>
            </w:tcBorders>
            <w:vAlign w:val="bottom"/>
          </w:tcPr>
          <w:p w14:paraId="5C513FF8" w14:textId="77777777" w:rsidR="00FE531B" w:rsidRDefault="00FE531B" w:rsidP="00FE531B">
            <w:pPr>
              <w:spacing w:after="0" w:line="240" w:lineRule="auto"/>
              <w:jc w:val="center"/>
              <w:rPr>
                <w:rFonts w:cs="Arial"/>
                <w:sz w:val="20"/>
              </w:rPr>
            </w:pPr>
            <w:r>
              <w:rPr>
                <w:rFonts w:cs="Arial"/>
                <w:sz w:val="20"/>
              </w:rPr>
              <w:t>&lt;0.001</w:t>
            </w:r>
          </w:p>
        </w:tc>
      </w:tr>
      <w:tr w:rsidR="00FE531B" w14:paraId="2CB48A06" w14:textId="77777777" w:rsidTr="0070364F">
        <w:tc>
          <w:tcPr>
            <w:tcW w:w="3865" w:type="dxa"/>
            <w:tcBorders>
              <w:top w:val="nil"/>
              <w:left w:val="nil"/>
              <w:bottom w:val="nil"/>
              <w:right w:val="nil"/>
            </w:tcBorders>
            <w:vAlign w:val="bottom"/>
          </w:tcPr>
          <w:p w14:paraId="61602D64" w14:textId="77777777" w:rsidR="00FE531B" w:rsidRDefault="00FE531B" w:rsidP="00FE531B">
            <w:pPr>
              <w:spacing w:after="0" w:line="240" w:lineRule="auto"/>
              <w:rPr>
                <w:rFonts w:cs="Arial"/>
                <w:color w:val="000000"/>
                <w:sz w:val="20"/>
              </w:rPr>
            </w:pPr>
            <w:r>
              <w:rPr>
                <w:rFonts w:cs="Arial"/>
                <w:color w:val="000000"/>
                <w:sz w:val="20"/>
              </w:rPr>
              <w:t>Unique Part D Medications in Year Prior to Hospice Admission</w:t>
            </w:r>
          </w:p>
        </w:tc>
        <w:tc>
          <w:tcPr>
            <w:tcW w:w="1483" w:type="dxa"/>
            <w:tcBorders>
              <w:top w:val="nil"/>
              <w:left w:val="nil"/>
              <w:bottom w:val="nil"/>
              <w:right w:val="nil"/>
            </w:tcBorders>
            <w:vAlign w:val="bottom"/>
          </w:tcPr>
          <w:p w14:paraId="41BA3EE7" w14:textId="77777777" w:rsidR="00FE531B" w:rsidRDefault="00FE531B" w:rsidP="00FE531B">
            <w:pPr>
              <w:spacing w:after="0" w:line="240" w:lineRule="auto"/>
              <w:rPr>
                <w:rFonts w:cs="Arial"/>
                <w:color w:val="000000"/>
                <w:sz w:val="20"/>
              </w:rPr>
            </w:pPr>
          </w:p>
        </w:tc>
        <w:tc>
          <w:tcPr>
            <w:tcW w:w="1707" w:type="dxa"/>
            <w:tcBorders>
              <w:top w:val="nil"/>
              <w:left w:val="nil"/>
              <w:bottom w:val="nil"/>
              <w:right w:val="nil"/>
            </w:tcBorders>
            <w:vAlign w:val="bottom"/>
          </w:tcPr>
          <w:p w14:paraId="210BFB23" w14:textId="77777777" w:rsidR="00FE531B" w:rsidRDefault="00FE531B" w:rsidP="00FE531B">
            <w:pPr>
              <w:spacing w:after="0" w:line="240" w:lineRule="auto"/>
              <w:jc w:val="center"/>
              <w:rPr>
                <w:sz w:val="20"/>
              </w:rPr>
            </w:pPr>
          </w:p>
        </w:tc>
        <w:tc>
          <w:tcPr>
            <w:tcW w:w="1083" w:type="dxa"/>
            <w:tcBorders>
              <w:top w:val="nil"/>
              <w:left w:val="nil"/>
              <w:bottom w:val="nil"/>
              <w:right w:val="nil"/>
            </w:tcBorders>
            <w:vAlign w:val="bottom"/>
          </w:tcPr>
          <w:p w14:paraId="63AE31AC" w14:textId="77777777" w:rsidR="00FE531B" w:rsidRDefault="00FE531B" w:rsidP="00FE531B">
            <w:pPr>
              <w:spacing w:after="0" w:line="240" w:lineRule="auto"/>
              <w:jc w:val="center"/>
              <w:rPr>
                <w:sz w:val="20"/>
              </w:rPr>
            </w:pPr>
          </w:p>
        </w:tc>
      </w:tr>
      <w:tr w:rsidR="00FE531B" w14:paraId="73163802" w14:textId="77777777" w:rsidTr="0070364F">
        <w:tc>
          <w:tcPr>
            <w:tcW w:w="3865" w:type="dxa"/>
            <w:tcBorders>
              <w:top w:val="nil"/>
              <w:left w:val="nil"/>
              <w:bottom w:val="nil"/>
              <w:right w:val="nil"/>
            </w:tcBorders>
            <w:vAlign w:val="bottom"/>
          </w:tcPr>
          <w:p w14:paraId="251FC94B" w14:textId="77777777" w:rsidR="00FE531B" w:rsidRDefault="00FE531B" w:rsidP="00FE531B">
            <w:pPr>
              <w:spacing w:after="0" w:line="240" w:lineRule="auto"/>
              <w:ind w:firstLineChars="100" w:firstLine="200"/>
              <w:rPr>
                <w:rFonts w:cs="Arial"/>
                <w:sz w:val="20"/>
              </w:rPr>
            </w:pPr>
            <w:r>
              <w:rPr>
                <w:rFonts w:cs="Arial"/>
                <w:sz w:val="20"/>
              </w:rPr>
              <w:t>Mean (SD)</w:t>
            </w:r>
          </w:p>
        </w:tc>
        <w:tc>
          <w:tcPr>
            <w:tcW w:w="1483" w:type="dxa"/>
            <w:tcBorders>
              <w:top w:val="nil"/>
              <w:left w:val="nil"/>
              <w:bottom w:val="nil"/>
              <w:right w:val="nil"/>
            </w:tcBorders>
            <w:vAlign w:val="bottom"/>
          </w:tcPr>
          <w:p w14:paraId="4F7A162A" w14:textId="77777777" w:rsidR="00FE531B" w:rsidRDefault="00FE531B" w:rsidP="00FE531B">
            <w:pPr>
              <w:spacing w:after="0" w:line="240" w:lineRule="auto"/>
              <w:jc w:val="center"/>
              <w:rPr>
                <w:rFonts w:cs="Arial"/>
                <w:sz w:val="20"/>
              </w:rPr>
            </w:pPr>
            <w:r>
              <w:rPr>
                <w:rFonts w:cs="Arial"/>
                <w:sz w:val="20"/>
              </w:rPr>
              <w:t>15.4 (7.6)</w:t>
            </w:r>
          </w:p>
        </w:tc>
        <w:tc>
          <w:tcPr>
            <w:tcW w:w="1707" w:type="dxa"/>
            <w:tcBorders>
              <w:top w:val="nil"/>
              <w:left w:val="nil"/>
              <w:bottom w:val="nil"/>
              <w:right w:val="nil"/>
            </w:tcBorders>
            <w:vAlign w:val="bottom"/>
          </w:tcPr>
          <w:p w14:paraId="19B133E2" w14:textId="77777777" w:rsidR="00FE531B" w:rsidRDefault="00FE531B" w:rsidP="00FE531B">
            <w:pPr>
              <w:spacing w:after="0" w:line="240" w:lineRule="auto"/>
              <w:jc w:val="center"/>
              <w:rPr>
                <w:rFonts w:cs="Arial"/>
                <w:sz w:val="20"/>
              </w:rPr>
            </w:pPr>
            <w:r>
              <w:rPr>
                <w:rFonts w:cs="Arial"/>
                <w:sz w:val="20"/>
              </w:rPr>
              <w:t>14.2 (7.1)</w:t>
            </w:r>
          </w:p>
        </w:tc>
        <w:tc>
          <w:tcPr>
            <w:tcW w:w="1083" w:type="dxa"/>
            <w:tcBorders>
              <w:top w:val="nil"/>
              <w:left w:val="nil"/>
              <w:bottom w:val="nil"/>
              <w:right w:val="nil"/>
            </w:tcBorders>
            <w:vAlign w:val="bottom"/>
          </w:tcPr>
          <w:p w14:paraId="3E202AC9" w14:textId="77777777" w:rsidR="00FE531B" w:rsidRDefault="00FE531B" w:rsidP="00FE531B">
            <w:pPr>
              <w:spacing w:after="0" w:line="240" w:lineRule="auto"/>
              <w:jc w:val="center"/>
              <w:rPr>
                <w:rFonts w:cs="Arial"/>
                <w:sz w:val="20"/>
              </w:rPr>
            </w:pPr>
            <w:r>
              <w:rPr>
                <w:rFonts w:cs="Arial"/>
                <w:sz w:val="20"/>
              </w:rPr>
              <w:t>&lt;0.001</w:t>
            </w:r>
          </w:p>
        </w:tc>
      </w:tr>
      <w:tr w:rsidR="00FE531B" w14:paraId="5A89D3F9" w14:textId="77777777" w:rsidTr="0070364F">
        <w:tc>
          <w:tcPr>
            <w:tcW w:w="3865" w:type="dxa"/>
            <w:tcBorders>
              <w:top w:val="nil"/>
              <w:left w:val="nil"/>
              <w:bottom w:val="nil"/>
              <w:right w:val="nil"/>
            </w:tcBorders>
            <w:vAlign w:val="bottom"/>
          </w:tcPr>
          <w:p w14:paraId="366FA082" w14:textId="344BEC7B" w:rsidR="00FE531B" w:rsidRDefault="00FE531B" w:rsidP="00FE531B">
            <w:pPr>
              <w:spacing w:after="0" w:line="240" w:lineRule="auto"/>
              <w:rPr>
                <w:rFonts w:cs="Arial"/>
                <w:sz w:val="20"/>
              </w:rPr>
            </w:pPr>
            <w:r>
              <w:rPr>
                <w:rFonts w:cs="Arial"/>
                <w:sz w:val="20"/>
              </w:rPr>
              <w:t>Time from Hospice Admission to Index Date (days)</w:t>
            </w:r>
            <w:r>
              <w:rPr>
                <w:rFonts w:cs="Arial"/>
                <w:sz w:val="20"/>
                <w:vertAlign w:val="superscript"/>
              </w:rPr>
              <w:t>a</w:t>
            </w:r>
          </w:p>
        </w:tc>
        <w:tc>
          <w:tcPr>
            <w:tcW w:w="1483" w:type="dxa"/>
            <w:tcBorders>
              <w:top w:val="nil"/>
              <w:left w:val="nil"/>
              <w:bottom w:val="nil"/>
              <w:right w:val="nil"/>
            </w:tcBorders>
            <w:vAlign w:val="bottom"/>
          </w:tcPr>
          <w:p w14:paraId="736D77C3" w14:textId="77777777" w:rsidR="00FE531B" w:rsidRDefault="00FE531B" w:rsidP="00FE531B">
            <w:pPr>
              <w:spacing w:after="0" w:line="240" w:lineRule="auto"/>
              <w:rPr>
                <w:rFonts w:cs="Arial"/>
                <w:sz w:val="20"/>
              </w:rPr>
            </w:pPr>
          </w:p>
        </w:tc>
        <w:tc>
          <w:tcPr>
            <w:tcW w:w="1707" w:type="dxa"/>
            <w:tcBorders>
              <w:top w:val="nil"/>
              <w:left w:val="nil"/>
              <w:bottom w:val="nil"/>
              <w:right w:val="nil"/>
            </w:tcBorders>
            <w:vAlign w:val="bottom"/>
          </w:tcPr>
          <w:p w14:paraId="49985A31" w14:textId="77777777" w:rsidR="00FE531B" w:rsidRDefault="00FE531B" w:rsidP="00FE531B">
            <w:pPr>
              <w:spacing w:after="0" w:line="240" w:lineRule="auto"/>
              <w:jc w:val="center"/>
              <w:rPr>
                <w:sz w:val="20"/>
              </w:rPr>
            </w:pPr>
          </w:p>
        </w:tc>
        <w:tc>
          <w:tcPr>
            <w:tcW w:w="1083" w:type="dxa"/>
            <w:tcBorders>
              <w:top w:val="nil"/>
              <w:left w:val="nil"/>
              <w:bottom w:val="nil"/>
              <w:right w:val="nil"/>
            </w:tcBorders>
            <w:vAlign w:val="bottom"/>
          </w:tcPr>
          <w:p w14:paraId="74C8E86F" w14:textId="77777777" w:rsidR="00FE531B" w:rsidRDefault="00FE531B" w:rsidP="00FE531B">
            <w:pPr>
              <w:spacing w:after="0" w:line="240" w:lineRule="auto"/>
              <w:jc w:val="center"/>
              <w:rPr>
                <w:sz w:val="20"/>
              </w:rPr>
            </w:pPr>
          </w:p>
        </w:tc>
      </w:tr>
      <w:tr w:rsidR="00FE531B" w14:paraId="6F990FD0" w14:textId="77777777" w:rsidTr="0070364F">
        <w:tc>
          <w:tcPr>
            <w:tcW w:w="3865" w:type="dxa"/>
            <w:tcBorders>
              <w:top w:val="nil"/>
              <w:left w:val="nil"/>
              <w:bottom w:val="nil"/>
              <w:right w:val="nil"/>
            </w:tcBorders>
            <w:vAlign w:val="bottom"/>
          </w:tcPr>
          <w:p w14:paraId="7495D5CA" w14:textId="77777777" w:rsidR="00FE531B" w:rsidRDefault="00FE531B" w:rsidP="00FE531B">
            <w:pPr>
              <w:spacing w:after="0" w:line="240" w:lineRule="auto"/>
              <w:ind w:firstLineChars="100" w:firstLine="200"/>
              <w:rPr>
                <w:rFonts w:cs="Arial"/>
                <w:sz w:val="20"/>
              </w:rPr>
            </w:pPr>
            <w:r>
              <w:rPr>
                <w:rFonts w:cs="Arial"/>
                <w:sz w:val="20"/>
              </w:rPr>
              <w:t>Median (IQR)</w:t>
            </w:r>
          </w:p>
        </w:tc>
        <w:tc>
          <w:tcPr>
            <w:tcW w:w="1483" w:type="dxa"/>
            <w:tcBorders>
              <w:top w:val="nil"/>
              <w:left w:val="nil"/>
              <w:bottom w:val="nil"/>
              <w:right w:val="nil"/>
            </w:tcBorders>
            <w:vAlign w:val="bottom"/>
          </w:tcPr>
          <w:p w14:paraId="33379A86" w14:textId="77777777" w:rsidR="00FE531B" w:rsidRDefault="00FE531B" w:rsidP="00FE531B">
            <w:pPr>
              <w:spacing w:after="0" w:line="240" w:lineRule="auto"/>
              <w:jc w:val="center"/>
              <w:rPr>
                <w:rFonts w:cs="Arial"/>
                <w:sz w:val="20"/>
              </w:rPr>
            </w:pPr>
            <w:r>
              <w:rPr>
                <w:rFonts w:cs="Arial"/>
                <w:sz w:val="20"/>
              </w:rPr>
              <w:t>37 (14-93)</w:t>
            </w:r>
          </w:p>
        </w:tc>
        <w:tc>
          <w:tcPr>
            <w:tcW w:w="1707" w:type="dxa"/>
            <w:tcBorders>
              <w:top w:val="nil"/>
              <w:left w:val="nil"/>
              <w:bottom w:val="nil"/>
              <w:right w:val="nil"/>
            </w:tcBorders>
            <w:vAlign w:val="bottom"/>
          </w:tcPr>
          <w:p w14:paraId="772FCF22" w14:textId="77777777" w:rsidR="00FE531B" w:rsidRDefault="00FE531B" w:rsidP="00FE531B">
            <w:pPr>
              <w:spacing w:after="0" w:line="240" w:lineRule="auto"/>
              <w:jc w:val="center"/>
              <w:rPr>
                <w:rFonts w:cs="Arial"/>
                <w:sz w:val="20"/>
              </w:rPr>
            </w:pPr>
            <w:r>
              <w:rPr>
                <w:rFonts w:cs="Arial"/>
                <w:sz w:val="20"/>
              </w:rPr>
              <w:t>37 (14-93)</w:t>
            </w:r>
          </w:p>
        </w:tc>
        <w:tc>
          <w:tcPr>
            <w:tcW w:w="1083" w:type="dxa"/>
            <w:tcBorders>
              <w:top w:val="nil"/>
              <w:left w:val="nil"/>
              <w:bottom w:val="nil"/>
              <w:right w:val="nil"/>
            </w:tcBorders>
            <w:vAlign w:val="bottom"/>
          </w:tcPr>
          <w:p w14:paraId="002A3DFF" w14:textId="77777777" w:rsidR="00FE531B" w:rsidRDefault="00FE531B" w:rsidP="00FE531B">
            <w:pPr>
              <w:spacing w:after="0" w:line="240" w:lineRule="auto"/>
              <w:jc w:val="center"/>
              <w:rPr>
                <w:rFonts w:cs="Arial"/>
                <w:sz w:val="20"/>
              </w:rPr>
            </w:pPr>
            <w:r>
              <w:rPr>
                <w:rFonts w:cs="Arial"/>
                <w:sz w:val="20"/>
              </w:rPr>
              <w:t>0.63</w:t>
            </w:r>
          </w:p>
        </w:tc>
      </w:tr>
      <w:tr w:rsidR="00FE531B" w14:paraId="7A7A99E6" w14:textId="77777777" w:rsidTr="0070364F">
        <w:tc>
          <w:tcPr>
            <w:tcW w:w="3865" w:type="dxa"/>
            <w:tcBorders>
              <w:top w:val="nil"/>
              <w:left w:val="nil"/>
              <w:bottom w:val="nil"/>
              <w:right w:val="nil"/>
            </w:tcBorders>
            <w:vAlign w:val="bottom"/>
          </w:tcPr>
          <w:p w14:paraId="5E0096E6" w14:textId="77777777" w:rsidR="00FE531B" w:rsidRDefault="00FE531B" w:rsidP="00FE531B">
            <w:pPr>
              <w:spacing w:after="0" w:line="240" w:lineRule="auto"/>
              <w:rPr>
                <w:rFonts w:cs="Arial"/>
                <w:sz w:val="20"/>
              </w:rPr>
            </w:pPr>
            <w:r>
              <w:rPr>
                <w:rFonts w:cs="Arial"/>
                <w:sz w:val="20"/>
              </w:rPr>
              <w:t>Post-index Follow-up (days)</w:t>
            </w:r>
          </w:p>
        </w:tc>
        <w:tc>
          <w:tcPr>
            <w:tcW w:w="1483" w:type="dxa"/>
            <w:tcBorders>
              <w:top w:val="nil"/>
              <w:left w:val="nil"/>
              <w:bottom w:val="nil"/>
              <w:right w:val="nil"/>
            </w:tcBorders>
            <w:vAlign w:val="bottom"/>
          </w:tcPr>
          <w:p w14:paraId="57A9D2D7" w14:textId="77777777" w:rsidR="00FE531B" w:rsidRDefault="00FE531B" w:rsidP="00FE531B">
            <w:pPr>
              <w:spacing w:after="0" w:line="240" w:lineRule="auto"/>
              <w:jc w:val="center"/>
              <w:rPr>
                <w:rFonts w:cs="Arial"/>
                <w:sz w:val="20"/>
              </w:rPr>
            </w:pPr>
          </w:p>
        </w:tc>
        <w:tc>
          <w:tcPr>
            <w:tcW w:w="1707" w:type="dxa"/>
            <w:tcBorders>
              <w:top w:val="nil"/>
              <w:left w:val="nil"/>
              <w:bottom w:val="nil"/>
              <w:right w:val="nil"/>
            </w:tcBorders>
            <w:vAlign w:val="bottom"/>
          </w:tcPr>
          <w:p w14:paraId="290A616A" w14:textId="77777777" w:rsidR="00FE531B" w:rsidRDefault="00FE531B" w:rsidP="00FE531B">
            <w:pPr>
              <w:spacing w:after="0" w:line="240" w:lineRule="auto"/>
              <w:jc w:val="center"/>
              <w:rPr>
                <w:rFonts w:cs="Arial"/>
                <w:sz w:val="20"/>
              </w:rPr>
            </w:pPr>
          </w:p>
        </w:tc>
        <w:tc>
          <w:tcPr>
            <w:tcW w:w="1083" w:type="dxa"/>
            <w:tcBorders>
              <w:top w:val="nil"/>
              <w:left w:val="nil"/>
              <w:bottom w:val="nil"/>
              <w:right w:val="nil"/>
            </w:tcBorders>
            <w:vAlign w:val="bottom"/>
          </w:tcPr>
          <w:p w14:paraId="0E47FB26" w14:textId="77777777" w:rsidR="00FE531B" w:rsidRDefault="00FE531B" w:rsidP="00FE531B">
            <w:pPr>
              <w:spacing w:after="0" w:line="240" w:lineRule="auto"/>
              <w:jc w:val="center"/>
              <w:rPr>
                <w:rFonts w:cs="Arial"/>
                <w:sz w:val="20"/>
              </w:rPr>
            </w:pPr>
          </w:p>
        </w:tc>
      </w:tr>
      <w:tr w:rsidR="00FE531B" w14:paraId="0FEE05DA" w14:textId="77777777" w:rsidTr="0070364F">
        <w:tc>
          <w:tcPr>
            <w:tcW w:w="3865" w:type="dxa"/>
            <w:tcBorders>
              <w:top w:val="nil"/>
              <w:left w:val="nil"/>
              <w:bottom w:val="nil"/>
              <w:right w:val="nil"/>
            </w:tcBorders>
            <w:vAlign w:val="bottom"/>
          </w:tcPr>
          <w:p w14:paraId="4C6EF621" w14:textId="77777777" w:rsidR="00FE531B" w:rsidRDefault="00FE531B" w:rsidP="00FE531B">
            <w:pPr>
              <w:spacing w:after="0" w:line="240" w:lineRule="auto"/>
              <w:ind w:firstLineChars="100" w:firstLine="200"/>
              <w:rPr>
                <w:rFonts w:cs="Arial"/>
                <w:sz w:val="20"/>
              </w:rPr>
            </w:pPr>
            <w:r>
              <w:rPr>
                <w:rFonts w:cs="Arial"/>
                <w:sz w:val="20"/>
              </w:rPr>
              <w:t>&lt;7</w:t>
            </w:r>
          </w:p>
        </w:tc>
        <w:tc>
          <w:tcPr>
            <w:tcW w:w="1483" w:type="dxa"/>
            <w:tcBorders>
              <w:top w:val="nil"/>
              <w:left w:val="nil"/>
              <w:bottom w:val="nil"/>
              <w:right w:val="nil"/>
            </w:tcBorders>
            <w:vAlign w:val="bottom"/>
          </w:tcPr>
          <w:p w14:paraId="57E52747" w14:textId="77777777" w:rsidR="00FE531B" w:rsidRDefault="00FE531B" w:rsidP="00FE531B">
            <w:pPr>
              <w:spacing w:after="0" w:line="240" w:lineRule="auto"/>
              <w:jc w:val="center"/>
              <w:rPr>
                <w:rFonts w:cs="Arial"/>
                <w:sz w:val="20"/>
              </w:rPr>
            </w:pPr>
            <w:r>
              <w:rPr>
                <w:rFonts w:cs="Arial"/>
                <w:sz w:val="20"/>
              </w:rPr>
              <w:t>1404 (19.9%)</w:t>
            </w:r>
          </w:p>
        </w:tc>
        <w:tc>
          <w:tcPr>
            <w:tcW w:w="1707" w:type="dxa"/>
            <w:tcBorders>
              <w:top w:val="nil"/>
              <w:left w:val="nil"/>
              <w:bottom w:val="nil"/>
              <w:right w:val="nil"/>
            </w:tcBorders>
            <w:vAlign w:val="bottom"/>
          </w:tcPr>
          <w:p w14:paraId="0D20C017" w14:textId="77777777" w:rsidR="00FE531B" w:rsidRDefault="00FE531B" w:rsidP="00FE531B">
            <w:pPr>
              <w:spacing w:after="0" w:line="240" w:lineRule="auto"/>
              <w:jc w:val="center"/>
              <w:rPr>
                <w:rFonts w:cs="Arial"/>
                <w:sz w:val="20"/>
              </w:rPr>
            </w:pPr>
            <w:r>
              <w:rPr>
                <w:rFonts w:cs="Arial"/>
                <w:sz w:val="20"/>
              </w:rPr>
              <w:t>50532 (14.4%)</w:t>
            </w:r>
          </w:p>
        </w:tc>
        <w:tc>
          <w:tcPr>
            <w:tcW w:w="1083" w:type="dxa"/>
            <w:vMerge w:val="restart"/>
            <w:tcBorders>
              <w:top w:val="nil"/>
              <w:left w:val="nil"/>
              <w:bottom w:val="nil"/>
              <w:right w:val="nil"/>
            </w:tcBorders>
            <w:vAlign w:val="center"/>
          </w:tcPr>
          <w:p w14:paraId="3C75D80C" w14:textId="77777777" w:rsidR="00FE531B" w:rsidRDefault="00FE531B" w:rsidP="00FE531B">
            <w:pPr>
              <w:spacing w:after="0" w:line="240" w:lineRule="auto"/>
              <w:jc w:val="center"/>
              <w:rPr>
                <w:rFonts w:cs="Arial"/>
                <w:sz w:val="20"/>
              </w:rPr>
            </w:pPr>
            <w:r>
              <w:rPr>
                <w:rFonts w:cs="Arial"/>
                <w:sz w:val="20"/>
              </w:rPr>
              <w:t>&lt;0.001</w:t>
            </w:r>
          </w:p>
        </w:tc>
      </w:tr>
      <w:tr w:rsidR="00FE531B" w14:paraId="0AD26DA1" w14:textId="77777777" w:rsidTr="0070364F">
        <w:tc>
          <w:tcPr>
            <w:tcW w:w="3865" w:type="dxa"/>
            <w:tcBorders>
              <w:top w:val="nil"/>
              <w:left w:val="nil"/>
              <w:right w:val="nil"/>
            </w:tcBorders>
            <w:vAlign w:val="bottom"/>
          </w:tcPr>
          <w:p w14:paraId="3963263B" w14:textId="77777777" w:rsidR="00FE531B" w:rsidRDefault="00FE531B" w:rsidP="00FE531B">
            <w:pPr>
              <w:spacing w:after="0" w:line="240" w:lineRule="auto"/>
              <w:ind w:firstLineChars="100" w:firstLine="200"/>
              <w:rPr>
                <w:rFonts w:cs="Arial"/>
                <w:sz w:val="20"/>
              </w:rPr>
            </w:pPr>
            <w:r>
              <w:rPr>
                <w:rFonts w:cs="Arial"/>
                <w:sz w:val="20"/>
              </w:rPr>
              <w:t>7</w:t>
            </w:r>
          </w:p>
        </w:tc>
        <w:tc>
          <w:tcPr>
            <w:tcW w:w="1483" w:type="dxa"/>
            <w:tcBorders>
              <w:top w:val="nil"/>
              <w:left w:val="nil"/>
              <w:right w:val="nil"/>
            </w:tcBorders>
            <w:vAlign w:val="bottom"/>
          </w:tcPr>
          <w:p w14:paraId="2BBE7B74" w14:textId="77777777" w:rsidR="00FE531B" w:rsidRDefault="00FE531B" w:rsidP="00FE531B">
            <w:pPr>
              <w:spacing w:after="0" w:line="240" w:lineRule="auto"/>
              <w:jc w:val="center"/>
              <w:rPr>
                <w:rFonts w:cs="Arial"/>
                <w:sz w:val="20"/>
              </w:rPr>
            </w:pPr>
            <w:r w:rsidRPr="00AB0C3F">
              <w:rPr>
                <w:rFonts w:cs="Arial"/>
                <w:sz w:val="20"/>
              </w:rPr>
              <w:t xml:space="preserve">5660 (80.1%)  </w:t>
            </w:r>
          </w:p>
        </w:tc>
        <w:tc>
          <w:tcPr>
            <w:tcW w:w="1707" w:type="dxa"/>
            <w:tcBorders>
              <w:top w:val="nil"/>
              <w:left w:val="nil"/>
              <w:right w:val="nil"/>
            </w:tcBorders>
            <w:vAlign w:val="bottom"/>
          </w:tcPr>
          <w:p w14:paraId="4592D8B2" w14:textId="77777777" w:rsidR="00FE531B" w:rsidRDefault="00FE531B" w:rsidP="00FE531B">
            <w:pPr>
              <w:spacing w:after="0" w:line="240" w:lineRule="auto"/>
              <w:jc w:val="center"/>
              <w:rPr>
                <w:rFonts w:cs="Arial"/>
                <w:sz w:val="20"/>
              </w:rPr>
            </w:pPr>
            <w:r w:rsidRPr="00AB0C3F">
              <w:rPr>
                <w:rFonts w:cs="Arial"/>
                <w:sz w:val="20"/>
              </w:rPr>
              <w:t>30136 (85.6%)</w:t>
            </w:r>
          </w:p>
        </w:tc>
        <w:tc>
          <w:tcPr>
            <w:tcW w:w="1083" w:type="dxa"/>
            <w:vMerge/>
            <w:tcBorders>
              <w:top w:val="nil"/>
              <w:left w:val="nil"/>
              <w:right w:val="nil"/>
            </w:tcBorders>
            <w:vAlign w:val="bottom"/>
          </w:tcPr>
          <w:p w14:paraId="2D90106A" w14:textId="77777777" w:rsidR="00FE531B" w:rsidRDefault="00FE531B" w:rsidP="00FE531B">
            <w:pPr>
              <w:jc w:val="center"/>
              <w:rPr>
                <w:rFonts w:cs="Arial"/>
                <w:sz w:val="20"/>
              </w:rPr>
            </w:pPr>
          </w:p>
        </w:tc>
      </w:tr>
    </w:tbl>
    <w:p w14:paraId="03122624" w14:textId="77777777" w:rsidR="00772F0D" w:rsidRDefault="00772F0D" w:rsidP="00E308DA">
      <w:pPr>
        <w:spacing w:after="0" w:line="240" w:lineRule="auto"/>
        <w:rPr>
          <w:rFonts w:cs="Arial"/>
          <w:b/>
          <w:caps/>
          <w:szCs w:val="22"/>
        </w:rPr>
      </w:pPr>
    </w:p>
    <w:p w14:paraId="16364C52" w14:textId="77777777" w:rsidR="00D942F8" w:rsidRDefault="00D942F8" w:rsidP="00E308DA">
      <w:pPr>
        <w:spacing w:after="0" w:line="240" w:lineRule="auto"/>
        <w:rPr>
          <w:rFonts w:cs="Arial"/>
          <w:b/>
          <w:caps/>
          <w:szCs w:val="22"/>
        </w:rPr>
      </w:pPr>
    </w:p>
    <w:p w14:paraId="3C1A99B7" w14:textId="77777777" w:rsidR="00D942F8" w:rsidRDefault="00D942F8" w:rsidP="00E308DA">
      <w:pPr>
        <w:spacing w:after="0" w:line="240" w:lineRule="auto"/>
        <w:rPr>
          <w:rFonts w:cs="Arial"/>
          <w:b/>
          <w:caps/>
          <w:szCs w:val="22"/>
        </w:rPr>
      </w:pPr>
    </w:p>
    <w:p w14:paraId="6387D699" w14:textId="77777777" w:rsidR="00D942F8" w:rsidRDefault="00D942F8" w:rsidP="00E308DA">
      <w:pPr>
        <w:spacing w:after="0" w:line="240" w:lineRule="auto"/>
        <w:rPr>
          <w:rFonts w:cs="Arial"/>
          <w:b/>
          <w:caps/>
          <w:szCs w:val="22"/>
        </w:rPr>
      </w:pPr>
    </w:p>
    <w:p w14:paraId="6D40929B" w14:textId="77777777" w:rsidR="00D942F8" w:rsidRDefault="00D942F8" w:rsidP="00E308DA">
      <w:pPr>
        <w:spacing w:after="0" w:line="240" w:lineRule="auto"/>
        <w:rPr>
          <w:rFonts w:cs="Arial"/>
          <w:b/>
          <w:caps/>
          <w:szCs w:val="22"/>
        </w:rPr>
      </w:pPr>
    </w:p>
    <w:p w14:paraId="014FB3CB" w14:textId="77777777" w:rsidR="00772F0D" w:rsidRDefault="00772F0D" w:rsidP="00E308DA">
      <w:pPr>
        <w:spacing w:after="0" w:line="240" w:lineRule="auto"/>
        <w:rPr>
          <w:rFonts w:cs="Arial"/>
          <w:b/>
          <w:caps/>
          <w:szCs w:val="22"/>
        </w:rPr>
      </w:pPr>
    </w:p>
    <w:p w14:paraId="69B113CA" w14:textId="77777777" w:rsidR="00772F0D" w:rsidRDefault="00772F0D" w:rsidP="00E308DA">
      <w:pPr>
        <w:spacing w:after="0" w:line="240" w:lineRule="auto"/>
        <w:rPr>
          <w:rFonts w:cs="Arial"/>
          <w:b/>
          <w:caps/>
          <w:szCs w:val="22"/>
        </w:rPr>
      </w:pPr>
    </w:p>
    <w:p w14:paraId="49510A32" w14:textId="77777777" w:rsidR="00772F0D" w:rsidRDefault="00772F0D" w:rsidP="00E308DA">
      <w:pPr>
        <w:spacing w:after="0" w:line="240" w:lineRule="auto"/>
        <w:rPr>
          <w:rFonts w:cs="Arial"/>
          <w:b/>
          <w:caps/>
          <w:szCs w:val="22"/>
        </w:rPr>
      </w:pPr>
    </w:p>
    <w:p w14:paraId="4500EEFD" w14:textId="77777777" w:rsidR="00772F0D" w:rsidRDefault="00772F0D" w:rsidP="00E308DA">
      <w:pPr>
        <w:spacing w:after="0" w:line="240" w:lineRule="auto"/>
        <w:rPr>
          <w:rFonts w:cs="Arial"/>
          <w:b/>
          <w:caps/>
          <w:szCs w:val="22"/>
        </w:rPr>
      </w:pPr>
    </w:p>
    <w:p w14:paraId="4FDD3D0C" w14:textId="77777777" w:rsidR="00772F0D" w:rsidRDefault="00772F0D" w:rsidP="00E308DA">
      <w:pPr>
        <w:spacing w:after="0" w:line="240" w:lineRule="auto"/>
        <w:rPr>
          <w:rFonts w:cs="Arial"/>
          <w:b/>
          <w:caps/>
          <w:szCs w:val="22"/>
        </w:rPr>
      </w:pPr>
    </w:p>
    <w:p w14:paraId="757BC6BB" w14:textId="77777777" w:rsidR="00772F0D" w:rsidRDefault="00772F0D" w:rsidP="00E308DA">
      <w:pPr>
        <w:spacing w:after="0" w:line="240" w:lineRule="auto"/>
        <w:rPr>
          <w:rFonts w:cs="Arial"/>
          <w:b/>
          <w:caps/>
          <w:szCs w:val="22"/>
        </w:rPr>
      </w:pPr>
    </w:p>
    <w:p w14:paraId="2883D7D1" w14:textId="77777777" w:rsidR="00772F0D" w:rsidRDefault="00772F0D" w:rsidP="00E308DA">
      <w:pPr>
        <w:spacing w:after="0" w:line="240" w:lineRule="auto"/>
        <w:rPr>
          <w:rFonts w:cs="Arial"/>
          <w:b/>
          <w:caps/>
          <w:szCs w:val="22"/>
        </w:rPr>
      </w:pPr>
    </w:p>
    <w:p w14:paraId="64FB2558" w14:textId="77777777" w:rsidR="00772F0D" w:rsidRDefault="00772F0D" w:rsidP="00E308DA">
      <w:pPr>
        <w:spacing w:after="0" w:line="240" w:lineRule="auto"/>
        <w:rPr>
          <w:rFonts w:cs="Arial"/>
          <w:b/>
          <w:caps/>
          <w:szCs w:val="22"/>
        </w:rPr>
      </w:pPr>
    </w:p>
    <w:p w14:paraId="11D4988F" w14:textId="77777777" w:rsidR="00772F0D" w:rsidRDefault="00772F0D" w:rsidP="00E308DA">
      <w:pPr>
        <w:spacing w:after="0" w:line="240" w:lineRule="auto"/>
        <w:rPr>
          <w:rFonts w:cs="Arial"/>
          <w:b/>
          <w:caps/>
          <w:szCs w:val="22"/>
        </w:rPr>
      </w:pPr>
    </w:p>
    <w:p w14:paraId="23ED5588" w14:textId="77777777" w:rsidR="00772F0D" w:rsidRDefault="00772F0D" w:rsidP="00E308DA">
      <w:pPr>
        <w:spacing w:after="0" w:line="240" w:lineRule="auto"/>
        <w:rPr>
          <w:rFonts w:cs="Arial"/>
          <w:b/>
          <w:caps/>
          <w:szCs w:val="22"/>
        </w:rPr>
      </w:pPr>
    </w:p>
    <w:p w14:paraId="62F702FE" w14:textId="77777777" w:rsidR="00772F0D" w:rsidRDefault="00772F0D" w:rsidP="00E308DA">
      <w:pPr>
        <w:spacing w:after="0" w:line="240" w:lineRule="auto"/>
        <w:rPr>
          <w:rFonts w:cs="Arial"/>
          <w:b/>
          <w:caps/>
          <w:szCs w:val="22"/>
        </w:rPr>
      </w:pPr>
    </w:p>
    <w:p w14:paraId="393ABA24" w14:textId="77777777" w:rsidR="00772F0D" w:rsidRDefault="00772F0D" w:rsidP="00E308DA">
      <w:pPr>
        <w:spacing w:after="0" w:line="240" w:lineRule="auto"/>
        <w:rPr>
          <w:rFonts w:cs="Arial"/>
          <w:b/>
          <w:caps/>
          <w:szCs w:val="22"/>
        </w:rPr>
      </w:pPr>
    </w:p>
    <w:p w14:paraId="1D03D830" w14:textId="77777777" w:rsidR="00772F0D" w:rsidRDefault="00772F0D" w:rsidP="00E308DA">
      <w:pPr>
        <w:spacing w:after="0" w:line="240" w:lineRule="auto"/>
        <w:rPr>
          <w:rFonts w:cs="Arial"/>
          <w:b/>
          <w:caps/>
          <w:szCs w:val="22"/>
        </w:rPr>
      </w:pPr>
    </w:p>
    <w:p w14:paraId="37896C80" w14:textId="77777777" w:rsidR="00772F0D" w:rsidRDefault="00772F0D" w:rsidP="00E308DA">
      <w:pPr>
        <w:spacing w:after="0" w:line="240" w:lineRule="auto"/>
        <w:rPr>
          <w:rFonts w:cs="Arial"/>
          <w:b/>
          <w:caps/>
          <w:szCs w:val="22"/>
        </w:rPr>
      </w:pPr>
    </w:p>
    <w:p w14:paraId="2E1433C8" w14:textId="77777777" w:rsidR="00772F0D" w:rsidRDefault="00772F0D" w:rsidP="00E308DA">
      <w:pPr>
        <w:spacing w:after="0" w:line="240" w:lineRule="auto"/>
        <w:rPr>
          <w:rFonts w:cs="Arial"/>
          <w:b/>
          <w:caps/>
          <w:szCs w:val="22"/>
        </w:rPr>
      </w:pPr>
    </w:p>
    <w:p w14:paraId="58134BDB" w14:textId="77777777" w:rsidR="00772F0D" w:rsidRDefault="00772F0D" w:rsidP="00E308DA">
      <w:pPr>
        <w:spacing w:after="0" w:line="240" w:lineRule="auto"/>
        <w:rPr>
          <w:rFonts w:cs="Arial"/>
          <w:b/>
          <w:caps/>
          <w:szCs w:val="22"/>
        </w:rPr>
      </w:pPr>
    </w:p>
    <w:p w14:paraId="77520658" w14:textId="77777777" w:rsidR="00772F0D" w:rsidRDefault="00772F0D" w:rsidP="00E308DA">
      <w:pPr>
        <w:spacing w:after="0" w:line="240" w:lineRule="auto"/>
        <w:rPr>
          <w:rFonts w:cs="Arial"/>
          <w:b/>
          <w:caps/>
          <w:szCs w:val="22"/>
        </w:rPr>
      </w:pPr>
    </w:p>
    <w:p w14:paraId="20CA4C7D" w14:textId="77777777" w:rsidR="00772F0D" w:rsidRDefault="00772F0D" w:rsidP="00E308DA">
      <w:pPr>
        <w:spacing w:after="0" w:line="240" w:lineRule="auto"/>
        <w:rPr>
          <w:rFonts w:cs="Arial"/>
          <w:b/>
          <w:caps/>
          <w:szCs w:val="22"/>
        </w:rPr>
      </w:pPr>
    </w:p>
    <w:p w14:paraId="0BE52E41" w14:textId="77777777" w:rsidR="00772F0D" w:rsidRDefault="00772F0D" w:rsidP="00E308DA">
      <w:pPr>
        <w:spacing w:after="0" w:line="240" w:lineRule="auto"/>
        <w:rPr>
          <w:rFonts w:cs="Arial"/>
          <w:b/>
          <w:caps/>
          <w:szCs w:val="22"/>
        </w:rPr>
      </w:pPr>
    </w:p>
    <w:p w14:paraId="722C3B18" w14:textId="77777777" w:rsidR="00772F0D" w:rsidRDefault="00772F0D" w:rsidP="00E308DA">
      <w:pPr>
        <w:spacing w:after="0" w:line="240" w:lineRule="auto"/>
        <w:rPr>
          <w:rFonts w:cs="Arial"/>
          <w:b/>
          <w:caps/>
          <w:szCs w:val="22"/>
        </w:rPr>
      </w:pPr>
    </w:p>
    <w:p w14:paraId="25E3EC80" w14:textId="77777777" w:rsidR="00772F0D" w:rsidRDefault="00772F0D" w:rsidP="00E308DA">
      <w:pPr>
        <w:spacing w:after="0" w:line="240" w:lineRule="auto"/>
        <w:rPr>
          <w:rFonts w:cs="Arial"/>
          <w:b/>
          <w:caps/>
          <w:szCs w:val="22"/>
        </w:rPr>
      </w:pPr>
    </w:p>
    <w:p w14:paraId="33F4A9D1" w14:textId="77777777" w:rsidR="00772F0D" w:rsidRDefault="00772F0D" w:rsidP="00E308DA">
      <w:pPr>
        <w:spacing w:after="0" w:line="240" w:lineRule="auto"/>
        <w:rPr>
          <w:rFonts w:cs="Arial"/>
          <w:b/>
          <w:caps/>
          <w:szCs w:val="22"/>
        </w:rPr>
      </w:pPr>
    </w:p>
    <w:p w14:paraId="4C237D0F" w14:textId="77777777" w:rsidR="00772F0D" w:rsidRDefault="00772F0D" w:rsidP="00E308DA">
      <w:pPr>
        <w:spacing w:after="0" w:line="240" w:lineRule="auto"/>
        <w:rPr>
          <w:rFonts w:cs="Arial"/>
          <w:b/>
          <w:caps/>
          <w:szCs w:val="22"/>
        </w:rPr>
      </w:pPr>
    </w:p>
    <w:p w14:paraId="088182E4" w14:textId="77777777" w:rsidR="00772F0D" w:rsidRDefault="00772F0D" w:rsidP="00E308DA">
      <w:pPr>
        <w:spacing w:after="0" w:line="240" w:lineRule="auto"/>
        <w:rPr>
          <w:rFonts w:cs="Arial"/>
          <w:b/>
          <w:caps/>
          <w:szCs w:val="22"/>
        </w:rPr>
      </w:pPr>
    </w:p>
    <w:p w14:paraId="6B872185" w14:textId="77777777" w:rsidR="00772F0D" w:rsidRDefault="00772F0D" w:rsidP="00E308DA">
      <w:pPr>
        <w:spacing w:after="0" w:line="240" w:lineRule="auto"/>
        <w:rPr>
          <w:rFonts w:cs="Arial"/>
          <w:b/>
          <w:caps/>
          <w:szCs w:val="22"/>
        </w:rPr>
      </w:pPr>
    </w:p>
    <w:p w14:paraId="3A1DCA1A" w14:textId="77777777" w:rsidR="00772F0D" w:rsidRDefault="00772F0D" w:rsidP="00E308DA">
      <w:pPr>
        <w:spacing w:after="0" w:line="240" w:lineRule="auto"/>
        <w:rPr>
          <w:rFonts w:cs="Arial"/>
          <w:b/>
          <w:caps/>
          <w:szCs w:val="22"/>
        </w:rPr>
      </w:pPr>
    </w:p>
    <w:p w14:paraId="23DF18BF" w14:textId="77777777" w:rsidR="00772F0D" w:rsidRDefault="00772F0D" w:rsidP="00E308DA">
      <w:pPr>
        <w:spacing w:after="0" w:line="240" w:lineRule="auto"/>
        <w:rPr>
          <w:rFonts w:cs="Arial"/>
          <w:b/>
          <w:caps/>
          <w:szCs w:val="22"/>
        </w:rPr>
      </w:pPr>
    </w:p>
    <w:p w14:paraId="40C50DEF" w14:textId="77777777" w:rsidR="00772F0D" w:rsidRDefault="00772F0D" w:rsidP="00E308DA">
      <w:pPr>
        <w:spacing w:after="0" w:line="240" w:lineRule="auto"/>
        <w:rPr>
          <w:rFonts w:cs="Arial"/>
          <w:b/>
          <w:caps/>
          <w:szCs w:val="22"/>
        </w:rPr>
      </w:pPr>
    </w:p>
    <w:p w14:paraId="62B46CA7" w14:textId="77777777" w:rsidR="00772F0D" w:rsidRDefault="00772F0D" w:rsidP="00E308DA">
      <w:pPr>
        <w:spacing w:after="0" w:line="240" w:lineRule="auto"/>
        <w:rPr>
          <w:rFonts w:cs="Arial"/>
          <w:b/>
          <w:caps/>
          <w:szCs w:val="22"/>
        </w:rPr>
      </w:pPr>
    </w:p>
    <w:p w14:paraId="3EB932E9" w14:textId="77777777" w:rsidR="00772F0D" w:rsidRDefault="00772F0D" w:rsidP="00E308DA">
      <w:pPr>
        <w:spacing w:after="0" w:line="240" w:lineRule="auto"/>
        <w:rPr>
          <w:rFonts w:cs="Arial"/>
          <w:b/>
          <w:caps/>
          <w:szCs w:val="22"/>
        </w:rPr>
      </w:pPr>
    </w:p>
    <w:p w14:paraId="61E2F23A" w14:textId="77777777" w:rsidR="00772F0D" w:rsidRDefault="00772F0D" w:rsidP="00E308DA">
      <w:pPr>
        <w:spacing w:after="0" w:line="240" w:lineRule="auto"/>
        <w:rPr>
          <w:rFonts w:cs="Arial"/>
          <w:b/>
          <w:caps/>
          <w:szCs w:val="22"/>
        </w:rPr>
      </w:pPr>
    </w:p>
    <w:p w14:paraId="5A739640" w14:textId="77777777" w:rsidR="00772F0D" w:rsidRDefault="00772F0D" w:rsidP="00E308DA">
      <w:pPr>
        <w:spacing w:after="0" w:line="240" w:lineRule="auto"/>
        <w:rPr>
          <w:rFonts w:cs="Arial"/>
          <w:b/>
          <w:caps/>
          <w:szCs w:val="22"/>
        </w:rPr>
      </w:pPr>
    </w:p>
    <w:p w14:paraId="1F5806C5" w14:textId="77777777" w:rsidR="00772F0D" w:rsidRDefault="00772F0D" w:rsidP="00E308DA">
      <w:pPr>
        <w:spacing w:after="0" w:line="240" w:lineRule="auto"/>
        <w:rPr>
          <w:rFonts w:cs="Arial"/>
          <w:b/>
          <w:caps/>
          <w:szCs w:val="22"/>
        </w:rPr>
      </w:pPr>
    </w:p>
    <w:p w14:paraId="0F086E2A" w14:textId="77777777" w:rsidR="00772F0D" w:rsidRDefault="00772F0D" w:rsidP="00E308DA">
      <w:pPr>
        <w:spacing w:after="0" w:line="240" w:lineRule="auto"/>
        <w:rPr>
          <w:rFonts w:cs="Arial"/>
          <w:b/>
          <w:caps/>
          <w:szCs w:val="22"/>
        </w:rPr>
      </w:pPr>
    </w:p>
    <w:p w14:paraId="5176F662" w14:textId="77777777" w:rsidR="00772F0D" w:rsidRDefault="00772F0D" w:rsidP="00E308DA">
      <w:pPr>
        <w:spacing w:after="0" w:line="240" w:lineRule="auto"/>
        <w:rPr>
          <w:rFonts w:cs="Arial"/>
          <w:sz w:val="20"/>
        </w:rPr>
      </w:pPr>
    </w:p>
    <w:p w14:paraId="6CF2303B" w14:textId="77777777" w:rsidR="007B74F7" w:rsidRDefault="007B74F7" w:rsidP="00772F0D">
      <w:pPr>
        <w:spacing w:after="0" w:line="240" w:lineRule="auto"/>
        <w:ind w:left="576"/>
        <w:rPr>
          <w:rFonts w:cs="Arial"/>
          <w:sz w:val="20"/>
        </w:rPr>
      </w:pPr>
    </w:p>
    <w:p w14:paraId="22313249" w14:textId="77777777" w:rsidR="007B74F7" w:rsidRDefault="007B74F7" w:rsidP="00772F0D">
      <w:pPr>
        <w:spacing w:after="0" w:line="240" w:lineRule="auto"/>
        <w:ind w:left="576"/>
        <w:rPr>
          <w:rFonts w:cs="Arial"/>
          <w:sz w:val="20"/>
        </w:rPr>
      </w:pPr>
    </w:p>
    <w:p w14:paraId="67228027" w14:textId="319B46FD" w:rsidR="00E308DA" w:rsidRPr="00A320E1" w:rsidRDefault="00E308DA" w:rsidP="00772F0D">
      <w:pPr>
        <w:spacing w:after="0" w:line="240" w:lineRule="auto"/>
        <w:ind w:left="576"/>
        <w:rPr>
          <w:rFonts w:cs="Arial"/>
          <w:sz w:val="20"/>
        </w:rPr>
      </w:pPr>
      <w:r>
        <w:rPr>
          <w:rFonts w:cs="Arial"/>
          <w:sz w:val="20"/>
        </w:rPr>
        <w:t>IQR: interquartile range, SD: standard deviation</w:t>
      </w:r>
    </w:p>
    <w:p w14:paraId="4ACB6751" w14:textId="7A5D803B" w:rsidR="00E308DA" w:rsidRDefault="00FE531B" w:rsidP="00772F0D">
      <w:pPr>
        <w:spacing w:after="0" w:line="240" w:lineRule="auto"/>
        <w:ind w:left="576"/>
        <w:rPr>
          <w:rFonts w:cs="Arial"/>
          <w:sz w:val="20"/>
        </w:rPr>
      </w:pPr>
      <w:r>
        <w:rPr>
          <w:rFonts w:cs="Arial"/>
          <w:sz w:val="20"/>
          <w:vertAlign w:val="superscript"/>
        </w:rPr>
        <w:t>a</w:t>
      </w:r>
      <w:r w:rsidR="00E308DA" w:rsidRPr="00694AAD">
        <w:rPr>
          <w:rFonts w:cs="Arial"/>
          <w:sz w:val="20"/>
        </w:rPr>
        <w:t>Matching variable</w:t>
      </w:r>
      <w:r w:rsidR="003E2940">
        <w:rPr>
          <w:rFonts w:cs="Arial"/>
          <w:sz w:val="20"/>
        </w:rPr>
        <w:t>.</w:t>
      </w:r>
    </w:p>
    <w:p w14:paraId="38FA262E" w14:textId="700D450D" w:rsidR="0070364F" w:rsidRDefault="00FE531B" w:rsidP="00772F0D">
      <w:pPr>
        <w:spacing w:after="0" w:line="240" w:lineRule="auto"/>
        <w:ind w:left="576"/>
        <w:rPr>
          <w:rFonts w:cs="Arial"/>
          <w:sz w:val="20"/>
        </w:rPr>
        <w:sectPr w:rsidR="0070364F" w:rsidSect="00772F0D">
          <w:type w:val="continuous"/>
          <w:pgSz w:w="12240" w:h="15840" w:code="1"/>
          <w:pgMar w:top="1584" w:right="1440" w:bottom="1728" w:left="1440" w:header="720" w:footer="432" w:gutter="0"/>
          <w:cols w:space="720"/>
          <w:docGrid w:linePitch="360"/>
        </w:sectPr>
      </w:pPr>
      <w:r>
        <w:rPr>
          <w:rFonts w:cs="Arial"/>
          <w:sz w:val="20"/>
          <w:vertAlign w:val="superscript"/>
        </w:rPr>
        <w:t>b</w:t>
      </w:r>
      <w:r w:rsidR="00E308DA">
        <w:rPr>
          <w:rFonts w:cs="Arial"/>
          <w:sz w:val="20"/>
        </w:rPr>
        <w:t>Primary hospital discharge occurring in the 12 months prior to hospice admission</w:t>
      </w:r>
      <w:r w:rsidR="003E2940">
        <w:rPr>
          <w:rFonts w:cs="Arial"/>
          <w:sz w:val="20"/>
        </w:rPr>
        <w:t>.</w:t>
      </w:r>
    </w:p>
    <w:p w14:paraId="501E9CBF" w14:textId="2680DF10" w:rsidR="00772F0D" w:rsidRDefault="00772F0D" w:rsidP="00772F0D">
      <w:pPr>
        <w:spacing w:after="0" w:line="240" w:lineRule="auto"/>
        <w:ind w:left="576"/>
        <w:rPr>
          <w:rFonts w:cs="Arial"/>
          <w:sz w:val="20"/>
        </w:rPr>
        <w:sectPr w:rsidR="00772F0D" w:rsidSect="00772F0D">
          <w:type w:val="continuous"/>
          <w:pgSz w:w="12240" w:h="15840" w:code="1"/>
          <w:pgMar w:top="1584" w:right="1440" w:bottom="1728" w:left="1440" w:header="720" w:footer="432" w:gutter="0"/>
          <w:cols w:space="720"/>
          <w:docGrid w:linePitch="360"/>
        </w:sectPr>
      </w:pPr>
    </w:p>
    <w:p w14:paraId="78477872" w14:textId="676AFDEA" w:rsidR="00E308DA" w:rsidRDefault="003E2940" w:rsidP="00772F0D">
      <w:pPr>
        <w:spacing w:after="0" w:line="240" w:lineRule="auto"/>
        <w:jc w:val="center"/>
        <w:rPr>
          <w:rFonts w:cs="Arial"/>
          <w:b/>
          <w:szCs w:val="22"/>
        </w:rPr>
      </w:pPr>
      <w:r>
        <w:rPr>
          <w:rFonts w:cs="Arial"/>
          <w:b/>
          <w:szCs w:val="22"/>
        </w:rPr>
        <w:lastRenderedPageBreak/>
        <w:t>TABLE XVI</w:t>
      </w:r>
    </w:p>
    <w:p w14:paraId="5F03B92A" w14:textId="77777777" w:rsidR="00772F0D" w:rsidRPr="00CF4179" w:rsidRDefault="00772F0D" w:rsidP="00772F0D">
      <w:pPr>
        <w:spacing w:after="0" w:line="240" w:lineRule="auto"/>
        <w:jc w:val="center"/>
        <w:rPr>
          <w:rFonts w:cs="Arial"/>
          <w:b/>
          <w:szCs w:val="22"/>
        </w:rPr>
      </w:pPr>
    </w:p>
    <w:p w14:paraId="3F5B784D" w14:textId="0DB487F7" w:rsidR="00772F0D" w:rsidRPr="00CF4179" w:rsidRDefault="00086B0C" w:rsidP="00086B0C">
      <w:pPr>
        <w:pStyle w:val="Caption"/>
        <w:rPr>
          <w:rFonts w:cs="Arial"/>
          <w:b/>
          <w:caps w:val="0"/>
          <w:szCs w:val="22"/>
        </w:rPr>
      </w:pPr>
      <w:bookmarkStart w:id="138" w:name="_Toc507329285"/>
      <w:r w:rsidRPr="001959DF">
        <w:t>PREVALENCE OF LIMITED BENEFIT MEDICATION DISPENSING FOLLOWING BURDENSOME HEALTH CARE TRANSITIONS</w:t>
      </w:r>
      <w:bookmarkEnd w:id="138"/>
    </w:p>
    <w:tbl>
      <w:tblPr>
        <w:tblStyle w:val="TableGrid"/>
        <w:tblW w:w="0" w:type="auto"/>
        <w:jc w:val="center"/>
        <w:tblLayout w:type="fixed"/>
        <w:tblLook w:val="04A0" w:firstRow="1" w:lastRow="0" w:firstColumn="1" w:lastColumn="0" w:noHBand="0" w:noVBand="1"/>
      </w:tblPr>
      <w:tblGrid>
        <w:gridCol w:w="2245"/>
        <w:gridCol w:w="1620"/>
        <w:gridCol w:w="1620"/>
        <w:gridCol w:w="990"/>
        <w:gridCol w:w="1260"/>
        <w:gridCol w:w="1620"/>
        <w:gridCol w:w="1260"/>
        <w:gridCol w:w="1980"/>
        <w:gridCol w:w="990"/>
      </w:tblGrid>
      <w:tr w:rsidR="00BA39EE" w14:paraId="1A7BE2CA" w14:textId="77777777" w:rsidTr="00A92779">
        <w:trPr>
          <w:trHeight w:hRule="exact" w:val="288"/>
          <w:jc w:val="center"/>
        </w:trPr>
        <w:tc>
          <w:tcPr>
            <w:tcW w:w="2245" w:type="dxa"/>
            <w:tcBorders>
              <w:left w:val="nil"/>
              <w:bottom w:val="nil"/>
              <w:right w:val="nil"/>
            </w:tcBorders>
            <w:vAlign w:val="bottom"/>
          </w:tcPr>
          <w:p w14:paraId="57039C16" w14:textId="77777777" w:rsidR="006F36B5" w:rsidRPr="00CF4179" w:rsidRDefault="006F36B5" w:rsidP="00E82F4D">
            <w:pPr>
              <w:spacing w:after="0" w:line="240" w:lineRule="auto"/>
              <w:rPr>
                <w:rFonts w:cs="Arial"/>
                <w:b/>
                <w:sz w:val="20"/>
              </w:rPr>
            </w:pPr>
          </w:p>
        </w:tc>
        <w:tc>
          <w:tcPr>
            <w:tcW w:w="3240" w:type="dxa"/>
            <w:gridSpan w:val="2"/>
            <w:tcBorders>
              <w:left w:val="nil"/>
              <w:bottom w:val="single" w:sz="4" w:space="0" w:color="auto"/>
              <w:right w:val="nil"/>
            </w:tcBorders>
            <w:vAlign w:val="center"/>
          </w:tcPr>
          <w:p w14:paraId="4087DD5F" w14:textId="04697AEE" w:rsidR="00BA39EE" w:rsidRPr="0072157D" w:rsidRDefault="00A92779" w:rsidP="00A92779">
            <w:pPr>
              <w:spacing w:after="0" w:line="240" w:lineRule="auto"/>
              <w:jc w:val="center"/>
              <w:rPr>
                <w:rFonts w:cs="Arial"/>
                <w:b/>
                <w:color w:val="000000"/>
                <w:sz w:val="20"/>
              </w:rPr>
            </w:pPr>
            <w:r>
              <w:rPr>
                <w:rFonts w:cs="Arial"/>
                <w:b/>
                <w:color w:val="000000"/>
                <w:sz w:val="20"/>
              </w:rPr>
              <w:t>All Patients</w:t>
            </w:r>
          </w:p>
        </w:tc>
        <w:tc>
          <w:tcPr>
            <w:tcW w:w="990" w:type="dxa"/>
            <w:tcBorders>
              <w:left w:val="nil"/>
              <w:bottom w:val="single" w:sz="4" w:space="0" w:color="auto"/>
              <w:right w:val="nil"/>
            </w:tcBorders>
            <w:vAlign w:val="center"/>
          </w:tcPr>
          <w:p w14:paraId="37445623" w14:textId="77777777" w:rsidR="006F36B5" w:rsidRPr="0072157D" w:rsidRDefault="006F36B5" w:rsidP="00E82F4D">
            <w:pPr>
              <w:spacing w:after="0" w:line="240" w:lineRule="auto"/>
              <w:jc w:val="center"/>
              <w:rPr>
                <w:rFonts w:cs="Arial"/>
                <w:b/>
                <w:sz w:val="20"/>
              </w:rPr>
            </w:pPr>
          </w:p>
        </w:tc>
        <w:tc>
          <w:tcPr>
            <w:tcW w:w="6120" w:type="dxa"/>
            <w:gridSpan w:val="4"/>
            <w:tcBorders>
              <w:left w:val="nil"/>
              <w:bottom w:val="single" w:sz="4" w:space="0" w:color="auto"/>
              <w:right w:val="nil"/>
            </w:tcBorders>
            <w:tcMar>
              <w:left w:w="72" w:type="dxa"/>
              <w:right w:w="72" w:type="dxa"/>
            </w:tcMar>
            <w:vAlign w:val="center"/>
          </w:tcPr>
          <w:p w14:paraId="1F39FBFD" w14:textId="77777777" w:rsidR="006F36B5" w:rsidRPr="0072157D" w:rsidRDefault="006F36B5" w:rsidP="00E82F4D">
            <w:pPr>
              <w:spacing w:after="0" w:line="240" w:lineRule="auto"/>
              <w:jc w:val="center"/>
              <w:rPr>
                <w:rFonts w:cs="Arial"/>
                <w:b/>
                <w:color w:val="000000"/>
                <w:sz w:val="20"/>
              </w:rPr>
            </w:pPr>
            <w:r w:rsidRPr="0072157D">
              <w:rPr>
                <w:rFonts w:cs="Arial"/>
                <w:b/>
                <w:color w:val="000000"/>
                <w:sz w:val="20"/>
              </w:rPr>
              <w:t>Patients with Pre-Hospice Admission Use of Medication Class</w:t>
            </w:r>
          </w:p>
        </w:tc>
        <w:tc>
          <w:tcPr>
            <w:tcW w:w="990" w:type="dxa"/>
            <w:tcBorders>
              <w:left w:val="nil"/>
              <w:bottom w:val="single" w:sz="4" w:space="0" w:color="auto"/>
              <w:right w:val="nil"/>
            </w:tcBorders>
            <w:vAlign w:val="center"/>
          </w:tcPr>
          <w:p w14:paraId="0E84DF6C" w14:textId="77777777" w:rsidR="006F36B5" w:rsidRPr="00CF4179" w:rsidRDefault="006F36B5" w:rsidP="00E82F4D">
            <w:pPr>
              <w:spacing w:after="0" w:line="240" w:lineRule="auto"/>
              <w:rPr>
                <w:rFonts w:cs="Arial"/>
                <w:b/>
                <w:sz w:val="20"/>
              </w:rPr>
            </w:pPr>
          </w:p>
        </w:tc>
      </w:tr>
      <w:tr w:rsidR="008B4DA6" w14:paraId="4C9FFB87" w14:textId="77777777" w:rsidTr="00A92779">
        <w:trPr>
          <w:jc w:val="center"/>
        </w:trPr>
        <w:tc>
          <w:tcPr>
            <w:tcW w:w="2245" w:type="dxa"/>
            <w:tcBorders>
              <w:top w:val="nil"/>
              <w:left w:val="nil"/>
              <w:bottom w:val="nil"/>
              <w:right w:val="nil"/>
            </w:tcBorders>
            <w:vAlign w:val="bottom"/>
          </w:tcPr>
          <w:p w14:paraId="1DB82DD6" w14:textId="0B43A10C" w:rsidR="006F36B5" w:rsidRPr="00CF4179" w:rsidRDefault="006F36B5" w:rsidP="00E82F4D">
            <w:pPr>
              <w:spacing w:after="0" w:line="240" w:lineRule="auto"/>
              <w:rPr>
                <w:rFonts w:cs="Arial"/>
                <w:b/>
                <w:sz w:val="20"/>
              </w:rPr>
            </w:pPr>
          </w:p>
        </w:tc>
        <w:tc>
          <w:tcPr>
            <w:tcW w:w="1620" w:type="dxa"/>
            <w:tcBorders>
              <w:top w:val="single" w:sz="4" w:space="0" w:color="auto"/>
              <w:left w:val="nil"/>
              <w:bottom w:val="nil"/>
              <w:right w:val="nil"/>
            </w:tcBorders>
            <w:vAlign w:val="bottom"/>
          </w:tcPr>
          <w:p w14:paraId="3DC32509"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Transitioners</w:t>
            </w:r>
          </w:p>
          <w:p w14:paraId="0270B040"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 xml:space="preserve"> (N=7064)</w:t>
            </w:r>
          </w:p>
        </w:tc>
        <w:tc>
          <w:tcPr>
            <w:tcW w:w="1620" w:type="dxa"/>
            <w:tcBorders>
              <w:top w:val="single" w:sz="4" w:space="0" w:color="auto"/>
              <w:left w:val="nil"/>
              <w:bottom w:val="nil"/>
              <w:right w:val="nil"/>
            </w:tcBorders>
            <w:vAlign w:val="bottom"/>
          </w:tcPr>
          <w:p w14:paraId="382642E5" w14:textId="59896579" w:rsidR="006F36B5" w:rsidRPr="00CF4179" w:rsidRDefault="006F36B5" w:rsidP="00E82F4D">
            <w:pPr>
              <w:spacing w:after="0" w:line="240" w:lineRule="auto"/>
              <w:jc w:val="center"/>
              <w:rPr>
                <w:rFonts w:cs="Arial"/>
                <w:b/>
                <w:color w:val="000000"/>
                <w:sz w:val="20"/>
              </w:rPr>
            </w:pPr>
            <w:r w:rsidRPr="00CF4179">
              <w:rPr>
                <w:rFonts w:cs="Arial"/>
                <w:b/>
                <w:color w:val="000000"/>
                <w:sz w:val="20"/>
              </w:rPr>
              <w:t>Controls (N=35189)</w:t>
            </w:r>
          </w:p>
        </w:tc>
        <w:tc>
          <w:tcPr>
            <w:tcW w:w="990" w:type="dxa"/>
            <w:tcBorders>
              <w:top w:val="single" w:sz="4" w:space="0" w:color="auto"/>
              <w:left w:val="nil"/>
              <w:bottom w:val="nil"/>
              <w:right w:val="nil"/>
            </w:tcBorders>
            <w:vAlign w:val="bottom"/>
          </w:tcPr>
          <w:p w14:paraId="2EE11526" w14:textId="77777777" w:rsidR="006F36B5" w:rsidRPr="00CF4179" w:rsidRDefault="006F36B5" w:rsidP="00E82F4D">
            <w:pPr>
              <w:spacing w:after="0" w:line="240" w:lineRule="auto"/>
              <w:rPr>
                <w:rFonts w:cs="Arial"/>
                <w:b/>
                <w:sz w:val="20"/>
              </w:rPr>
            </w:pPr>
          </w:p>
        </w:tc>
        <w:tc>
          <w:tcPr>
            <w:tcW w:w="2880" w:type="dxa"/>
            <w:gridSpan w:val="2"/>
            <w:tcBorders>
              <w:top w:val="single" w:sz="4" w:space="0" w:color="auto"/>
              <w:left w:val="nil"/>
              <w:bottom w:val="nil"/>
              <w:right w:val="nil"/>
            </w:tcBorders>
          </w:tcPr>
          <w:p w14:paraId="570C4FA1"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Transitioners</w:t>
            </w:r>
          </w:p>
        </w:tc>
        <w:tc>
          <w:tcPr>
            <w:tcW w:w="3240" w:type="dxa"/>
            <w:gridSpan w:val="2"/>
            <w:tcBorders>
              <w:top w:val="single" w:sz="4" w:space="0" w:color="auto"/>
              <w:left w:val="nil"/>
              <w:bottom w:val="nil"/>
              <w:right w:val="nil"/>
            </w:tcBorders>
          </w:tcPr>
          <w:p w14:paraId="0E57C635"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Controls</w:t>
            </w:r>
          </w:p>
        </w:tc>
        <w:tc>
          <w:tcPr>
            <w:tcW w:w="990" w:type="dxa"/>
            <w:tcBorders>
              <w:top w:val="single" w:sz="4" w:space="0" w:color="auto"/>
              <w:left w:val="nil"/>
              <w:bottom w:val="nil"/>
              <w:right w:val="nil"/>
            </w:tcBorders>
          </w:tcPr>
          <w:p w14:paraId="585B9640" w14:textId="77777777" w:rsidR="006F36B5" w:rsidRPr="00CF4179" w:rsidRDefault="006F36B5" w:rsidP="00E82F4D">
            <w:pPr>
              <w:spacing w:after="0" w:line="240" w:lineRule="auto"/>
              <w:rPr>
                <w:rFonts w:cs="Arial"/>
                <w:b/>
                <w:sz w:val="20"/>
              </w:rPr>
            </w:pPr>
          </w:p>
        </w:tc>
      </w:tr>
      <w:tr w:rsidR="008B4DA6" w14:paraId="18A881C0" w14:textId="77777777" w:rsidTr="0072157D">
        <w:trPr>
          <w:jc w:val="center"/>
        </w:trPr>
        <w:tc>
          <w:tcPr>
            <w:tcW w:w="2245" w:type="dxa"/>
            <w:tcBorders>
              <w:top w:val="nil"/>
              <w:left w:val="nil"/>
              <w:bottom w:val="single" w:sz="4" w:space="0" w:color="auto"/>
              <w:right w:val="nil"/>
            </w:tcBorders>
            <w:vAlign w:val="bottom"/>
          </w:tcPr>
          <w:p w14:paraId="3081418F" w14:textId="3C85F2DF" w:rsidR="006F36B5" w:rsidRPr="00CF4179" w:rsidRDefault="00BA39EE" w:rsidP="00E82F4D">
            <w:pPr>
              <w:spacing w:after="0" w:line="240" w:lineRule="auto"/>
              <w:rPr>
                <w:rFonts w:cs="Arial"/>
                <w:b/>
                <w:sz w:val="20"/>
              </w:rPr>
            </w:pPr>
            <w:r w:rsidRPr="00CF4179">
              <w:rPr>
                <w:rFonts w:cs="Arial"/>
                <w:b/>
                <w:sz w:val="20"/>
              </w:rPr>
              <w:t>Medication Class</w:t>
            </w:r>
          </w:p>
        </w:tc>
        <w:tc>
          <w:tcPr>
            <w:tcW w:w="1620" w:type="dxa"/>
            <w:tcBorders>
              <w:top w:val="nil"/>
              <w:left w:val="nil"/>
              <w:bottom w:val="single" w:sz="4" w:space="0" w:color="auto"/>
              <w:right w:val="nil"/>
            </w:tcBorders>
            <w:vAlign w:val="bottom"/>
          </w:tcPr>
          <w:p w14:paraId="69BCEAC8"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 (95% CI)</w:t>
            </w:r>
          </w:p>
        </w:tc>
        <w:tc>
          <w:tcPr>
            <w:tcW w:w="1620" w:type="dxa"/>
            <w:tcBorders>
              <w:top w:val="nil"/>
              <w:left w:val="nil"/>
              <w:bottom w:val="single" w:sz="4" w:space="0" w:color="auto"/>
              <w:right w:val="nil"/>
            </w:tcBorders>
            <w:vAlign w:val="bottom"/>
          </w:tcPr>
          <w:p w14:paraId="0F87E0B6"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 (95% CI)</w:t>
            </w:r>
          </w:p>
        </w:tc>
        <w:tc>
          <w:tcPr>
            <w:tcW w:w="990" w:type="dxa"/>
            <w:tcBorders>
              <w:top w:val="nil"/>
              <w:left w:val="nil"/>
              <w:bottom w:val="single" w:sz="4" w:space="0" w:color="auto"/>
              <w:right w:val="nil"/>
            </w:tcBorders>
            <w:vAlign w:val="bottom"/>
          </w:tcPr>
          <w:p w14:paraId="6AC468BA"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p-value</w:t>
            </w:r>
          </w:p>
        </w:tc>
        <w:tc>
          <w:tcPr>
            <w:tcW w:w="1260" w:type="dxa"/>
            <w:tcBorders>
              <w:top w:val="nil"/>
              <w:left w:val="nil"/>
              <w:bottom w:val="single" w:sz="4" w:space="0" w:color="auto"/>
              <w:right w:val="nil"/>
            </w:tcBorders>
            <w:vAlign w:val="bottom"/>
          </w:tcPr>
          <w:p w14:paraId="741BAB21"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n/N</w:t>
            </w:r>
          </w:p>
        </w:tc>
        <w:tc>
          <w:tcPr>
            <w:tcW w:w="1620" w:type="dxa"/>
            <w:tcBorders>
              <w:top w:val="nil"/>
              <w:left w:val="nil"/>
              <w:bottom w:val="single" w:sz="4" w:space="0" w:color="auto"/>
              <w:right w:val="nil"/>
            </w:tcBorders>
            <w:vAlign w:val="bottom"/>
          </w:tcPr>
          <w:p w14:paraId="64810487"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 (95% CI)</w:t>
            </w:r>
          </w:p>
        </w:tc>
        <w:tc>
          <w:tcPr>
            <w:tcW w:w="1260" w:type="dxa"/>
            <w:tcBorders>
              <w:top w:val="nil"/>
              <w:left w:val="nil"/>
              <w:bottom w:val="single" w:sz="4" w:space="0" w:color="auto"/>
              <w:right w:val="nil"/>
            </w:tcBorders>
            <w:vAlign w:val="bottom"/>
          </w:tcPr>
          <w:p w14:paraId="44978C7B"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n/N</w:t>
            </w:r>
          </w:p>
        </w:tc>
        <w:tc>
          <w:tcPr>
            <w:tcW w:w="1980" w:type="dxa"/>
            <w:tcBorders>
              <w:top w:val="nil"/>
              <w:left w:val="nil"/>
              <w:bottom w:val="single" w:sz="4" w:space="0" w:color="auto"/>
              <w:right w:val="nil"/>
            </w:tcBorders>
            <w:vAlign w:val="bottom"/>
          </w:tcPr>
          <w:p w14:paraId="04F51192"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 (95% CI)</w:t>
            </w:r>
          </w:p>
        </w:tc>
        <w:tc>
          <w:tcPr>
            <w:tcW w:w="990" w:type="dxa"/>
            <w:tcBorders>
              <w:top w:val="nil"/>
              <w:left w:val="nil"/>
              <w:bottom w:val="single" w:sz="4" w:space="0" w:color="auto"/>
              <w:right w:val="nil"/>
            </w:tcBorders>
            <w:vAlign w:val="bottom"/>
          </w:tcPr>
          <w:p w14:paraId="48AFBB12" w14:textId="77777777" w:rsidR="006F36B5" w:rsidRPr="00CF4179" w:rsidRDefault="006F36B5" w:rsidP="00E82F4D">
            <w:pPr>
              <w:spacing w:after="0" w:line="240" w:lineRule="auto"/>
              <w:jc w:val="center"/>
              <w:rPr>
                <w:rFonts w:cs="Arial"/>
                <w:b/>
                <w:color w:val="000000"/>
                <w:sz w:val="20"/>
              </w:rPr>
            </w:pPr>
            <w:r w:rsidRPr="00CF4179">
              <w:rPr>
                <w:rFonts w:cs="Arial"/>
                <w:b/>
                <w:color w:val="000000"/>
                <w:sz w:val="20"/>
              </w:rPr>
              <w:t>p-value</w:t>
            </w:r>
          </w:p>
        </w:tc>
      </w:tr>
      <w:tr w:rsidR="008B4DA6" w14:paraId="1D51259E" w14:textId="77777777" w:rsidTr="0072157D">
        <w:trPr>
          <w:jc w:val="center"/>
        </w:trPr>
        <w:tc>
          <w:tcPr>
            <w:tcW w:w="2245" w:type="dxa"/>
            <w:tcBorders>
              <w:left w:val="nil"/>
              <w:bottom w:val="nil"/>
              <w:right w:val="nil"/>
            </w:tcBorders>
            <w:vAlign w:val="bottom"/>
          </w:tcPr>
          <w:p w14:paraId="13865EEC" w14:textId="0ECC1FB7" w:rsidR="006F36B5" w:rsidRPr="00CF4179" w:rsidRDefault="006F36B5" w:rsidP="00E841BE">
            <w:pPr>
              <w:spacing w:after="0" w:line="240" w:lineRule="auto"/>
              <w:rPr>
                <w:rFonts w:cs="Arial"/>
                <w:color w:val="000000"/>
                <w:sz w:val="20"/>
              </w:rPr>
            </w:pPr>
            <w:r w:rsidRPr="00CF4179">
              <w:rPr>
                <w:rFonts w:cs="Arial"/>
                <w:color w:val="000000"/>
                <w:sz w:val="20"/>
              </w:rPr>
              <w:t xml:space="preserve">Any </w:t>
            </w:r>
            <w:r w:rsidR="00E841BE">
              <w:rPr>
                <w:rFonts w:cs="Arial"/>
                <w:color w:val="000000"/>
                <w:sz w:val="20"/>
              </w:rPr>
              <w:t>LBM</w:t>
            </w:r>
          </w:p>
        </w:tc>
        <w:tc>
          <w:tcPr>
            <w:tcW w:w="1620" w:type="dxa"/>
            <w:tcBorders>
              <w:left w:val="nil"/>
              <w:bottom w:val="nil"/>
              <w:right w:val="nil"/>
            </w:tcBorders>
            <w:tcMar>
              <w:left w:w="86" w:type="dxa"/>
              <w:right w:w="86" w:type="dxa"/>
            </w:tcMar>
            <w:vAlign w:val="bottom"/>
          </w:tcPr>
          <w:p w14:paraId="24F431BE"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17.9 (17.0-18.8)</w:t>
            </w:r>
          </w:p>
        </w:tc>
        <w:tc>
          <w:tcPr>
            <w:tcW w:w="1620" w:type="dxa"/>
            <w:tcBorders>
              <w:left w:val="nil"/>
              <w:bottom w:val="nil"/>
              <w:right w:val="nil"/>
            </w:tcBorders>
            <w:tcMar>
              <w:left w:w="86" w:type="dxa"/>
              <w:right w:w="86" w:type="dxa"/>
            </w:tcMar>
            <w:vAlign w:val="bottom"/>
          </w:tcPr>
          <w:p w14:paraId="47250DBB"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13.9 (13.6-14.3)</w:t>
            </w:r>
          </w:p>
        </w:tc>
        <w:tc>
          <w:tcPr>
            <w:tcW w:w="990" w:type="dxa"/>
            <w:tcBorders>
              <w:top w:val="single" w:sz="4" w:space="0" w:color="auto"/>
              <w:left w:val="nil"/>
              <w:bottom w:val="nil"/>
              <w:right w:val="single" w:sz="4" w:space="0" w:color="auto"/>
            </w:tcBorders>
            <w:tcMar>
              <w:left w:w="86" w:type="dxa"/>
              <w:right w:w="86" w:type="dxa"/>
            </w:tcMar>
            <w:vAlign w:val="bottom"/>
          </w:tcPr>
          <w:p w14:paraId="738C9240"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&lt;0.001</w:t>
            </w:r>
          </w:p>
        </w:tc>
        <w:tc>
          <w:tcPr>
            <w:tcW w:w="1260" w:type="dxa"/>
            <w:tcBorders>
              <w:left w:val="single" w:sz="4" w:space="0" w:color="auto"/>
              <w:bottom w:val="nil"/>
              <w:right w:val="nil"/>
            </w:tcBorders>
            <w:tcMar>
              <w:left w:w="86" w:type="dxa"/>
              <w:right w:w="86" w:type="dxa"/>
            </w:tcMar>
            <w:vAlign w:val="bottom"/>
          </w:tcPr>
          <w:p w14:paraId="3BCEB1EC"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1220/6352</w:t>
            </w:r>
          </w:p>
        </w:tc>
        <w:tc>
          <w:tcPr>
            <w:tcW w:w="1620" w:type="dxa"/>
            <w:tcBorders>
              <w:left w:val="nil"/>
              <w:bottom w:val="nil"/>
              <w:right w:val="nil"/>
            </w:tcBorders>
            <w:tcMar>
              <w:left w:w="86" w:type="dxa"/>
              <w:right w:w="86" w:type="dxa"/>
            </w:tcMar>
            <w:vAlign w:val="bottom"/>
          </w:tcPr>
          <w:p w14:paraId="038C85C7"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19.2 (18.2-20.2)</w:t>
            </w:r>
          </w:p>
        </w:tc>
        <w:tc>
          <w:tcPr>
            <w:tcW w:w="1260" w:type="dxa"/>
            <w:tcBorders>
              <w:left w:val="nil"/>
              <w:bottom w:val="nil"/>
              <w:right w:val="nil"/>
            </w:tcBorders>
            <w:tcMar>
              <w:left w:w="86" w:type="dxa"/>
              <w:right w:w="86" w:type="dxa"/>
            </w:tcMar>
            <w:vAlign w:val="bottom"/>
          </w:tcPr>
          <w:p w14:paraId="40F4CB01"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4828/31020</w:t>
            </w:r>
          </w:p>
        </w:tc>
        <w:tc>
          <w:tcPr>
            <w:tcW w:w="1980" w:type="dxa"/>
            <w:tcBorders>
              <w:left w:val="nil"/>
              <w:bottom w:val="nil"/>
              <w:right w:val="nil"/>
            </w:tcBorders>
            <w:tcMar>
              <w:left w:w="86" w:type="dxa"/>
              <w:right w:w="86" w:type="dxa"/>
            </w:tcMar>
            <w:vAlign w:val="bottom"/>
          </w:tcPr>
          <w:p w14:paraId="0A1CC98C"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15.6 (15.2-16.0)</w:t>
            </w:r>
          </w:p>
        </w:tc>
        <w:tc>
          <w:tcPr>
            <w:tcW w:w="990" w:type="dxa"/>
            <w:tcBorders>
              <w:left w:val="nil"/>
              <w:bottom w:val="nil"/>
              <w:right w:val="nil"/>
            </w:tcBorders>
            <w:tcMar>
              <w:left w:w="86" w:type="dxa"/>
              <w:right w:w="86" w:type="dxa"/>
            </w:tcMar>
            <w:vAlign w:val="bottom"/>
          </w:tcPr>
          <w:p w14:paraId="0D6CADB8"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&lt;0.001</w:t>
            </w:r>
          </w:p>
        </w:tc>
      </w:tr>
      <w:tr w:rsidR="008B4DA6" w14:paraId="25372680" w14:textId="77777777" w:rsidTr="0072157D">
        <w:trPr>
          <w:jc w:val="center"/>
        </w:trPr>
        <w:tc>
          <w:tcPr>
            <w:tcW w:w="2245" w:type="dxa"/>
            <w:tcBorders>
              <w:top w:val="nil"/>
              <w:left w:val="nil"/>
              <w:bottom w:val="nil"/>
              <w:right w:val="nil"/>
            </w:tcBorders>
            <w:vAlign w:val="bottom"/>
          </w:tcPr>
          <w:p w14:paraId="4D1CD399" w14:textId="77777777" w:rsidR="006F36B5" w:rsidRPr="00CF4179" w:rsidRDefault="006F36B5" w:rsidP="00E82F4D">
            <w:pPr>
              <w:spacing w:after="0" w:line="240" w:lineRule="auto"/>
              <w:rPr>
                <w:rFonts w:cs="Arial"/>
                <w:color w:val="000000"/>
                <w:sz w:val="20"/>
              </w:rPr>
            </w:pPr>
            <w:r w:rsidRPr="00CF4179">
              <w:rPr>
                <w:rFonts w:cs="Arial"/>
                <w:color w:val="000000"/>
                <w:sz w:val="20"/>
              </w:rPr>
              <w:t>Antihyperlipidemic</w:t>
            </w:r>
          </w:p>
        </w:tc>
        <w:tc>
          <w:tcPr>
            <w:tcW w:w="1620" w:type="dxa"/>
            <w:tcBorders>
              <w:top w:val="nil"/>
              <w:left w:val="nil"/>
              <w:bottom w:val="nil"/>
              <w:right w:val="nil"/>
            </w:tcBorders>
            <w:tcMar>
              <w:left w:w="86" w:type="dxa"/>
              <w:right w:w="86" w:type="dxa"/>
            </w:tcMar>
            <w:vAlign w:val="bottom"/>
          </w:tcPr>
          <w:p w14:paraId="65EE6D12"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2.9 (2.6-3.4)</w:t>
            </w:r>
          </w:p>
        </w:tc>
        <w:tc>
          <w:tcPr>
            <w:tcW w:w="1620" w:type="dxa"/>
            <w:tcBorders>
              <w:top w:val="nil"/>
              <w:left w:val="nil"/>
              <w:bottom w:val="nil"/>
              <w:right w:val="nil"/>
            </w:tcBorders>
            <w:tcMar>
              <w:left w:w="86" w:type="dxa"/>
              <w:right w:w="86" w:type="dxa"/>
            </w:tcMar>
            <w:vAlign w:val="bottom"/>
          </w:tcPr>
          <w:p w14:paraId="06DB393D"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2.0 (1.9-2.1)</w:t>
            </w:r>
          </w:p>
        </w:tc>
        <w:tc>
          <w:tcPr>
            <w:tcW w:w="990" w:type="dxa"/>
            <w:tcBorders>
              <w:top w:val="nil"/>
              <w:left w:val="nil"/>
              <w:bottom w:val="nil"/>
              <w:right w:val="single" w:sz="4" w:space="0" w:color="auto"/>
            </w:tcBorders>
            <w:tcMar>
              <w:left w:w="86" w:type="dxa"/>
              <w:right w:w="86" w:type="dxa"/>
            </w:tcMar>
            <w:vAlign w:val="bottom"/>
          </w:tcPr>
          <w:p w14:paraId="232F89A4"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&lt;0.001</w:t>
            </w:r>
          </w:p>
        </w:tc>
        <w:tc>
          <w:tcPr>
            <w:tcW w:w="1260" w:type="dxa"/>
            <w:tcBorders>
              <w:top w:val="nil"/>
              <w:left w:val="single" w:sz="4" w:space="0" w:color="auto"/>
              <w:bottom w:val="nil"/>
              <w:right w:val="nil"/>
            </w:tcBorders>
            <w:tcMar>
              <w:left w:w="86" w:type="dxa"/>
              <w:right w:w="86" w:type="dxa"/>
            </w:tcMar>
            <w:vAlign w:val="bottom"/>
          </w:tcPr>
          <w:p w14:paraId="729AC43A"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194/2768</w:t>
            </w:r>
          </w:p>
        </w:tc>
        <w:tc>
          <w:tcPr>
            <w:tcW w:w="1620" w:type="dxa"/>
            <w:tcBorders>
              <w:top w:val="nil"/>
              <w:left w:val="nil"/>
              <w:bottom w:val="nil"/>
              <w:right w:val="nil"/>
            </w:tcBorders>
            <w:tcMar>
              <w:left w:w="86" w:type="dxa"/>
              <w:right w:w="86" w:type="dxa"/>
            </w:tcMar>
            <w:vAlign w:val="bottom"/>
          </w:tcPr>
          <w:p w14:paraId="3666CAC0"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7.0 (6.1-8.0)</w:t>
            </w:r>
          </w:p>
        </w:tc>
        <w:tc>
          <w:tcPr>
            <w:tcW w:w="1260" w:type="dxa"/>
            <w:tcBorders>
              <w:top w:val="nil"/>
              <w:left w:val="nil"/>
              <w:bottom w:val="nil"/>
              <w:right w:val="nil"/>
            </w:tcBorders>
            <w:tcMar>
              <w:left w:w="86" w:type="dxa"/>
              <w:right w:w="86" w:type="dxa"/>
            </w:tcMar>
            <w:vAlign w:val="bottom"/>
          </w:tcPr>
          <w:p w14:paraId="207CEDF6"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671/12804</w:t>
            </w:r>
          </w:p>
        </w:tc>
        <w:tc>
          <w:tcPr>
            <w:tcW w:w="1980" w:type="dxa"/>
            <w:tcBorders>
              <w:top w:val="nil"/>
              <w:left w:val="nil"/>
              <w:bottom w:val="nil"/>
              <w:right w:val="nil"/>
            </w:tcBorders>
            <w:tcMar>
              <w:left w:w="86" w:type="dxa"/>
              <w:right w:w="86" w:type="dxa"/>
            </w:tcMar>
            <w:vAlign w:val="bottom"/>
          </w:tcPr>
          <w:p w14:paraId="73C1B168"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5.2 (4.9-5.6)</w:t>
            </w:r>
          </w:p>
        </w:tc>
        <w:tc>
          <w:tcPr>
            <w:tcW w:w="990" w:type="dxa"/>
            <w:tcBorders>
              <w:top w:val="nil"/>
              <w:left w:val="nil"/>
              <w:bottom w:val="nil"/>
              <w:right w:val="nil"/>
            </w:tcBorders>
            <w:tcMar>
              <w:left w:w="86" w:type="dxa"/>
              <w:right w:w="86" w:type="dxa"/>
            </w:tcMar>
            <w:vAlign w:val="bottom"/>
          </w:tcPr>
          <w:p w14:paraId="68BFE814"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&lt;0.001</w:t>
            </w:r>
          </w:p>
        </w:tc>
      </w:tr>
      <w:tr w:rsidR="008B4DA6" w14:paraId="6AF28BE9" w14:textId="77777777" w:rsidTr="0072157D">
        <w:trPr>
          <w:jc w:val="center"/>
        </w:trPr>
        <w:tc>
          <w:tcPr>
            <w:tcW w:w="2245" w:type="dxa"/>
            <w:tcBorders>
              <w:top w:val="nil"/>
              <w:left w:val="nil"/>
              <w:bottom w:val="nil"/>
              <w:right w:val="nil"/>
            </w:tcBorders>
            <w:vAlign w:val="bottom"/>
          </w:tcPr>
          <w:p w14:paraId="4FCCD12B" w14:textId="77777777" w:rsidR="006F36B5" w:rsidRPr="00CF4179" w:rsidRDefault="006F36B5" w:rsidP="00E82F4D">
            <w:pPr>
              <w:spacing w:after="0" w:line="240" w:lineRule="auto"/>
              <w:rPr>
                <w:rFonts w:cs="Arial"/>
                <w:color w:val="000000"/>
                <w:sz w:val="20"/>
              </w:rPr>
            </w:pPr>
            <w:r w:rsidRPr="00CF4179">
              <w:rPr>
                <w:rFonts w:cs="Arial"/>
                <w:color w:val="000000"/>
                <w:sz w:val="20"/>
              </w:rPr>
              <w:t>Antihypertensive</w:t>
            </w:r>
          </w:p>
        </w:tc>
        <w:tc>
          <w:tcPr>
            <w:tcW w:w="1620" w:type="dxa"/>
            <w:tcBorders>
              <w:top w:val="nil"/>
              <w:left w:val="nil"/>
              <w:bottom w:val="nil"/>
              <w:right w:val="nil"/>
            </w:tcBorders>
            <w:tcMar>
              <w:left w:w="86" w:type="dxa"/>
              <w:right w:w="86" w:type="dxa"/>
            </w:tcMar>
            <w:vAlign w:val="bottom"/>
          </w:tcPr>
          <w:p w14:paraId="7F814232"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8.9 (8.3-9.6)</w:t>
            </w:r>
          </w:p>
        </w:tc>
        <w:tc>
          <w:tcPr>
            <w:tcW w:w="1620" w:type="dxa"/>
            <w:tcBorders>
              <w:top w:val="nil"/>
              <w:left w:val="nil"/>
              <w:bottom w:val="nil"/>
              <w:right w:val="nil"/>
            </w:tcBorders>
            <w:tcMar>
              <w:left w:w="86" w:type="dxa"/>
              <w:right w:w="86" w:type="dxa"/>
            </w:tcMar>
            <w:vAlign w:val="bottom"/>
          </w:tcPr>
          <w:p w14:paraId="1CD587BB"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7.1 (6.8-7.4)</w:t>
            </w:r>
          </w:p>
        </w:tc>
        <w:tc>
          <w:tcPr>
            <w:tcW w:w="990" w:type="dxa"/>
            <w:tcBorders>
              <w:top w:val="nil"/>
              <w:left w:val="nil"/>
              <w:bottom w:val="nil"/>
              <w:right w:val="single" w:sz="4" w:space="0" w:color="auto"/>
            </w:tcBorders>
            <w:tcMar>
              <w:left w:w="86" w:type="dxa"/>
              <w:right w:w="86" w:type="dxa"/>
            </w:tcMar>
            <w:vAlign w:val="bottom"/>
          </w:tcPr>
          <w:p w14:paraId="46C4C54F"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&lt;0.001</w:t>
            </w:r>
          </w:p>
        </w:tc>
        <w:tc>
          <w:tcPr>
            <w:tcW w:w="1260" w:type="dxa"/>
            <w:tcBorders>
              <w:top w:val="nil"/>
              <w:left w:val="single" w:sz="4" w:space="0" w:color="auto"/>
              <w:bottom w:val="nil"/>
              <w:right w:val="nil"/>
            </w:tcBorders>
            <w:tcMar>
              <w:left w:w="86" w:type="dxa"/>
              <w:right w:w="86" w:type="dxa"/>
            </w:tcMar>
            <w:vAlign w:val="bottom"/>
          </w:tcPr>
          <w:p w14:paraId="6DF83F00"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588/5264</w:t>
            </w:r>
          </w:p>
        </w:tc>
        <w:tc>
          <w:tcPr>
            <w:tcW w:w="1620" w:type="dxa"/>
            <w:tcBorders>
              <w:top w:val="nil"/>
              <w:left w:val="nil"/>
              <w:bottom w:val="nil"/>
              <w:right w:val="nil"/>
            </w:tcBorders>
            <w:tcMar>
              <w:left w:w="86" w:type="dxa"/>
              <w:right w:w="86" w:type="dxa"/>
            </w:tcMar>
            <w:vAlign w:val="bottom"/>
          </w:tcPr>
          <w:p w14:paraId="6795DC15"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11.2 (10.3-12.1)</w:t>
            </w:r>
          </w:p>
        </w:tc>
        <w:tc>
          <w:tcPr>
            <w:tcW w:w="1260" w:type="dxa"/>
            <w:tcBorders>
              <w:top w:val="nil"/>
              <w:left w:val="nil"/>
              <w:bottom w:val="nil"/>
              <w:right w:val="nil"/>
            </w:tcBorders>
            <w:tcMar>
              <w:left w:w="86" w:type="dxa"/>
              <w:right w:w="86" w:type="dxa"/>
            </w:tcMar>
            <w:vAlign w:val="bottom"/>
          </w:tcPr>
          <w:p w14:paraId="7B28FFD8"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2418/25213</w:t>
            </w:r>
          </w:p>
        </w:tc>
        <w:tc>
          <w:tcPr>
            <w:tcW w:w="1980" w:type="dxa"/>
            <w:tcBorders>
              <w:top w:val="nil"/>
              <w:left w:val="nil"/>
              <w:bottom w:val="nil"/>
              <w:right w:val="nil"/>
            </w:tcBorders>
            <w:tcMar>
              <w:left w:w="86" w:type="dxa"/>
              <w:right w:w="86" w:type="dxa"/>
            </w:tcMar>
            <w:vAlign w:val="bottom"/>
          </w:tcPr>
          <w:p w14:paraId="6EEC0916"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9.6 (9.2-10.0)</w:t>
            </w:r>
          </w:p>
        </w:tc>
        <w:tc>
          <w:tcPr>
            <w:tcW w:w="990" w:type="dxa"/>
            <w:tcBorders>
              <w:top w:val="nil"/>
              <w:left w:val="nil"/>
              <w:bottom w:val="nil"/>
              <w:right w:val="nil"/>
            </w:tcBorders>
            <w:tcMar>
              <w:left w:w="86" w:type="dxa"/>
              <w:right w:w="86" w:type="dxa"/>
            </w:tcMar>
            <w:vAlign w:val="bottom"/>
          </w:tcPr>
          <w:p w14:paraId="70258880"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&lt;0.001</w:t>
            </w:r>
          </w:p>
        </w:tc>
      </w:tr>
      <w:tr w:rsidR="008B4DA6" w14:paraId="744104F5" w14:textId="77777777" w:rsidTr="0072157D">
        <w:trPr>
          <w:jc w:val="center"/>
        </w:trPr>
        <w:tc>
          <w:tcPr>
            <w:tcW w:w="2245" w:type="dxa"/>
            <w:tcBorders>
              <w:top w:val="nil"/>
              <w:left w:val="nil"/>
              <w:bottom w:val="nil"/>
              <w:right w:val="nil"/>
            </w:tcBorders>
            <w:vAlign w:val="bottom"/>
          </w:tcPr>
          <w:p w14:paraId="75EE5BC2" w14:textId="77777777" w:rsidR="006F36B5" w:rsidRPr="00CF4179" w:rsidRDefault="006F36B5" w:rsidP="00E82F4D">
            <w:pPr>
              <w:spacing w:after="0" w:line="240" w:lineRule="auto"/>
              <w:rPr>
                <w:rFonts w:cs="Arial"/>
                <w:color w:val="000000"/>
                <w:sz w:val="20"/>
              </w:rPr>
            </w:pPr>
            <w:r w:rsidRPr="00CF4179">
              <w:rPr>
                <w:rFonts w:cs="Arial"/>
                <w:color w:val="000000"/>
                <w:sz w:val="20"/>
              </w:rPr>
              <w:t>Oral Antidiabetic</w:t>
            </w:r>
          </w:p>
        </w:tc>
        <w:tc>
          <w:tcPr>
            <w:tcW w:w="1620" w:type="dxa"/>
            <w:tcBorders>
              <w:top w:val="nil"/>
              <w:left w:val="nil"/>
              <w:bottom w:val="nil"/>
              <w:right w:val="nil"/>
            </w:tcBorders>
            <w:tcMar>
              <w:left w:w="86" w:type="dxa"/>
              <w:right w:w="86" w:type="dxa"/>
            </w:tcMar>
            <w:vAlign w:val="bottom"/>
          </w:tcPr>
          <w:p w14:paraId="544313E4"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2.2 (1.9-2.6)</w:t>
            </w:r>
          </w:p>
        </w:tc>
        <w:tc>
          <w:tcPr>
            <w:tcW w:w="1620" w:type="dxa"/>
            <w:tcBorders>
              <w:top w:val="nil"/>
              <w:left w:val="nil"/>
              <w:bottom w:val="nil"/>
              <w:right w:val="nil"/>
            </w:tcBorders>
            <w:tcMar>
              <w:left w:w="86" w:type="dxa"/>
              <w:right w:w="86" w:type="dxa"/>
            </w:tcMar>
            <w:vAlign w:val="bottom"/>
          </w:tcPr>
          <w:p w14:paraId="2C5EF9C1"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1.8 (1.6-1.9)</w:t>
            </w:r>
          </w:p>
        </w:tc>
        <w:tc>
          <w:tcPr>
            <w:tcW w:w="990" w:type="dxa"/>
            <w:tcBorders>
              <w:top w:val="nil"/>
              <w:left w:val="nil"/>
              <w:bottom w:val="nil"/>
              <w:right w:val="single" w:sz="4" w:space="0" w:color="auto"/>
            </w:tcBorders>
            <w:tcMar>
              <w:left w:w="86" w:type="dxa"/>
              <w:right w:w="86" w:type="dxa"/>
            </w:tcMar>
            <w:vAlign w:val="bottom"/>
          </w:tcPr>
          <w:p w14:paraId="52A0387B"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0.01</w:t>
            </w:r>
          </w:p>
        </w:tc>
        <w:tc>
          <w:tcPr>
            <w:tcW w:w="1260" w:type="dxa"/>
            <w:tcBorders>
              <w:top w:val="nil"/>
              <w:left w:val="single" w:sz="4" w:space="0" w:color="auto"/>
              <w:bottom w:val="nil"/>
              <w:right w:val="nil"/>
            </w:tcBorders>
            <w:tcMar>
              <w:left w:w="86" w:type="dxa"/>
              <w:right w:w="86" w:type="dxa"/>
            </w:tcMar>
            <w:vAlign w:val="bottom"/>
          </w:tcPr>
          <w:p w14:paraId="0A215410"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143/1302</w:t>
            </w:r>
          </w:p>
        </w:tc>
        <w:tc>
          <w:tcPr>
            <w:tcW w:w="1620" w:type="dxa"/>
            <w:tcBorders>
              <w:top w:val="nil"/>
              <w:left w:val="nil"/>
              <w:bottom w:val="nil"/>
              <w:right w:val="nil"/>
            </w:tcBorders>
            <w:tcMar>
              <w:left w:w="86" w:type="dxa"/>
              <w:right w:w="86" w:type="dxa"/>
            </w:tcMar>
            <w:vAlign w:val="bottom"/>
          </w:tcPr>
          <w:p w14:paraId="3BA2ABAD"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11.0 (9.3-12.8)</w:t>
            </w:r>
          </w:p>
        </w:tc>
        <w:tc>
          <w:tcPr>
            <w:tcW w:w="1260" w:type="dxa"/>
            <w:tcBorders>
              <w:top w:val="nil"/>
              <w:left w:val="nil"/>
              <w:bottom w:val="nil"/>
              <w:right w:val="nil"/>
            </w:tcBorders>
            <w:tcMar>
              <w:left w:w="86" w:type="dxa"/>
              <w:right w:w="86" w:type="dxa"/>
            </w:tcMar>
            <w:vAlign w:val="bottom"/>
          </w:tcPr>
          <w:p w14:paraId="6AA0D8B9"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598/5593</w:t>
            </w:r>
          </w:p>
        </w:tc>
        <w:tc>
          <w:tcPr>
            <w:tcW w:w="1980" w:type="dxa"/>
            <w:tcBorders>
              <w:top w:val="nil"/>
              <w:left w:val="nil"/>
              <w:bottom w:val="nil"/>
              <w:right w:val="nil"/>
            </w:tcBorders>
            <w:tcMar>
              <w:left w:w="86" w:type="dxa"/>
              <w:right w:w="86" w:type="dxa"/>
            </w:tcMar>
            <w:vAlign w:val="bottom"/>
          </w:tcPr>
          <w:p w14:paraId="37A718FC"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10.7 (9.9-11.5)</w:t>
            </w:r>
          </w:p>
        </w:tc>
        <w:tc>
          <w:tcPr>
            <w:tcW w:w="990" w:type="dxa"/>
            <w:tcBorders>
              <w:top w:val="nil"/>
              <w:left w:val="nil"/>
              <w:bottom w:val="nil"/>
              <w:right w:val="nil"/>
            </w:tcBorders>
            <w:tcMar>
              <w:left w:w="86" w:type="dxa"/>
              <w:right w:w="86" w:type="dxa"/>
            </w:tcMar>
            <w:vAlign w:val="bottom"/>
          </w:tcPr>
          <w:p w14:paraId="207644FB"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0.76</w:t>
            </w:r>
          </w:p>
        </w:tc>
      </w:tr>
      <w:tr w:rsidR="008B4DA6" w14:paraId="3F6181B3" w14:textId="77777777" w:rsidTr="0072157D">
        <w:trPr>
          <w:jc w:val="center"/>
        </w:trPr>
        <w:tc>
          <w:tcPr>
            <w:tcW w:w="2245" w:type="dxa"/>
            <w:tcBorders>
              <w:top w:val="nil"/>
              <w:left w:val="nil"/>
              <w:bottom w:val="nil"/>
              <w:right w:val="nil"/>
            </w:tcBorders>
            <w:vAlign w:val="bottom"/>
          </w:tcPr>
          <w:p w14:paraId="7D68188C" w14:textId="77777777" w:rsidR="006F36B5" w:rsidRPr="00CF4179" w:rsidRDefault="006F36B5" w:rsidP="00E82F4D">
            <w:pPr>
              <w:spacing w:after="0" w:line="240" w:lineRule="auto"/>
              <w:rPr>
                <w:rFonts w:cs="Arial"/>
                <w:color w:val="000000"/>
                <w:sz w:val="20"/>
              </w:rPr>
            </w:pPr>
            <w:r w:rsidRPr="00CF4179">
              <w:rPr>
                <w:rFonts w:cs="Arial"/>
                <w:color w:val="000000"/>
                <w:sz w:val="20"/>
              </w:rPr>
              <w:t>Antiplatelet</w:t>
            </w:r>
          </w:p>
        </w:tc>
        <w:tc>
          <w:tcPr>
            <w:tcW w:w="1620" w:type="dxa"/>
            <w:tcBorders>
              <w:top w:val="nil"/>
              <w:left w:val="nil"/>
              <w:bottom w:val="nil"/>
              <w:right w:val="nil"/>
            </w:tcBorders>
            <w:tcMar>
              <w:left w:w="86" w:type="dxa"/>
              <w:right w:w="86" w:type="dxa"/>
            </w:tcMar>
            <w:vAlign w:val="bottom"/>
          </w:tcPr>
          <w:p w14:paraId="1D82A248"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1.2 (0.9-1.4)</w:t>
            </w:r>
          </w:p>
        </w:tc>
        <w:tc>
          <w:tcPr>
            <w:tcW w:w="1620" w:type="dxa"/>
            <w:tcBorders>
              <w:top w:val="nil"/>
              <w:left w:val="nil"/>
              <w:bottom w:val="nil"/>
              <w:right w:val="nil"/>
            </w:tcBorders>
            <w:tcMar>
              <w:left w:w="86" w:type="dxa"/>
              <w:right w:w="86" w:type="dxa"/>
            </w:tcMar>
            <w:vAlign w:val="bottom"/>
          </w:tcPr>
          <w:p w14:paraId="37985B87"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0.9 (0.8-1.1)</w:t>
            </w:r>
          </w:p>
        </w:tc>
        <w:tc>
          <w:tcPr>
            <w:tcW w:w="990" w:type="dxa"/>
            <w:tcBorders>
              <w:top w:val="nil"/>
              <w:left w:val="nil"/>
              <w:bottom w:val="nil"/>
              <w:right w:val="single" w:sz="4" w:space="0" w:color="auto"/>
            </w:tcBorders>
            <w:tcMar>
              <w:left w:w="86" w:type="dxa"/>
              <w:right w:w="86" w:type="dxa"/>
            </w:tcMar>
            <w:vAlign w:val="bottom"/>
          </w:tcPr>
          <w:p w14:paraId="6AFC2CCC"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0.09</w:t>
            </w:r>
          </w:p>
        </w:tc>
        <w:tc>
          <w:tcPr>
            <w:tcW w:w="1260" w:type="dxa"/>
            <w:tcBorders>
              <w:top w:val="nil"/>
              <w:left w:val="single" w:sz="4" w:space="0" w:color="auto"/>
              <w:bottom w:val="nil"/>
              <w:right w:val="nil"/>
            </w:tcBorders>
            <w:tcMar>
              <w:left w:w="86" w:type="dxa"/>
              <w:right w:w="86" w:type="dxa"/>
            </w:tcMar>
            <w:vAlign w:val="bottom"/>
          </w:tcPr>
          <w:p w14:paraId="6EA3CC61"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68/892</w:t>
            </w:r>
          </w:p>
        </w:tc>
        <w:tc>
          <w:tcPr>
            <w:tcW w:w="1620" w:type="dxa"/>
            <w:tcBorders>
              <w:top w:val="nil"/>
              <w:left w:val="nil"/>
              <w:bottom w:val="nil"/>
              <w:right w:val="nil"/>
            </w:tcBorders>
            <w:tcMar>
              <w:left w:w="86" w:type="dxa"/>
              <w:right w:w="86" w:type="dxa"/>
            </w:tcMar>
            <w:vAlign w:val="bottom"/>
          </w:tcPr>
          <w:p w14:paraId="1CE4A704"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7.6 (6.0-9.6)</w:t>
            </w:r>
          </w:p>
        </w:tc>
        <w:tc>
          <w:tcPr>
            <w:tcW w:w="1260" w:type="dxa"/>
            <w:tcBorders>
              <w:top w:val="nil"/>
              <w:left w:val="nil"/>
              <w:bottom w:val="nil"/>
              <w:right w:val="nil"/>
            </w:tcBorders>
            <w:tcMar>
              <w:left w:w="86" w:type="dxa"/>
              <w:right w:w="86" w:type="dxa"/>
            </w:tcMar>
            <w:vAlign w:val="bottom"/>
          </w:tcPr>
          <w:p w14:paraId="0AE80F03"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313/4108</w:t>
            </w:r>
          </w:p>
        </w:tc>
        <w:tc>
          <w:tcPr>
            <w:tcW w:w="1980" w:type="dxa"/>
            <w:tcBorders>
              <w:top w:val="nil"/>
              <w:left w:val="nil"/>
              <w:bottom w:val="nil"/>
              <w:right w:val="nil"/>
            </w:tcBorders>
            <w:tcMar>
              <w:left w:w="86" w:type="dxa"/>
              <w:right w:w="86" w:type="dxa"/>
            </w:tcMar>
            <w:vAlign w:val="bottom"/>
          </w:tcPr>
          <w:p w14:paraId="03948F4E"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7.6 (6.8-8.5)</w:t>
            </w:r>
          </w:p>
        </w:tc>
        <w:tc>
          <w:tcPr>
            <w:tcW w:w="990" w:type="dxa"/>
            <w:tcBorders>
              <w:top w:val="nil"/>
              <w:left w:val="nil"/>
              <w:bottom w:val="nil"/>
              <w:right w:val="nil"/>
            </w:tcBorders>
            <w:tcMar>
              <w:left w:w="86" w:type="dxa"/>
              <w:right w:w="86" w:type="dxa"/>
            </w:tcMar>
            <w:vAlign w:val="bottom"/>
          </w:tcPr>
          <w:p w14:paraId="754A5310"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1.00</w:t>
            </w:r>
          </w:p>
        </w:tc>
      </w:tr>
      <w:tr w:rsidR="008B4DA6" w14:paraId="2E9EDA3A" w14:textId="77777777" w:rsidTr="0072157D">
        <w:trPr>
          <w:jc w:val="center"/>
        </w:trPr>
        <w:tc>
          <w:tcPr>
            <w:tcW w:w="2245" w:type="dxa"/>
            <w:tcBorders>
              <w:top w:val="nil"/>
              <w:left w:val="nil"/>
              <w:bottom w:val="nil"/>
              <w:right w:val="nil"/>
            </w:tcBorders>
            <w:vAlign w:val="bottom"/>
          </w:tcPr>
          <w:p w14:paraId="1AB997A8" w14:textId="77777777" w:rsidR="006F36B5" w:rsidRPr="00CF4179" w:rsidRDefault="006F36B5" w:rsidP="00E82F4D">
            <w:pPr>
              <w:spacing w:after="0" w:line="240" w:lineRule="auto"/>
              <w:rPr>
                <w:rFonts w:cs="Arial"/>
                <w:color w:val="000000"/>
                <w:sz w:val="20"/>
              </w:rPr>
            </w:pPr>
            <w:r w:rsidRPr="00CF4179">
              <w:rPr>
                <w:rFonts w:cs="Arial"/>
                <w:color w:val="000000"/>
                <w:sz w:val="20"/>
              </w:rPr>
              <w:t>Anti-Dementia</w:t>
            </w:r>
          </w:p>
        </w:tc>
        <w:tc>
          <w:tcPr>
            <w:tcW w:w="1620" w:type="dxa"/>
            <w:tcBorders>
              <w:top w:val="nil"/>
              <w:left w:val="nil"/>
              <w:bottom w:val="nil"/>
              <w:right w:val="nil"/>
            </w:tcBorders>
            <w:tcMar>
              <w:left w:w="86" w:type="dxa"/>
              <w:right w:w="86" w:type="dxa"/>
            </w:tcMar>
            <w:vAlign w:val="bottom"/>
          </w:tcPr>
          <w:p w14:paraId="5CFBC386"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2.6 (2.2-3.0)</w:t>
            </w:r>
          </w:p>
        </w:tc>
        <w:tc>
          <w:tcPr>
            <w:tcW w:w="1620" w:type="dxa"/>
            <w:tcBorders>
              <w:top w:val="nil"/>
              <w:left w:val="nil"/>
              <w:bottom w:val="nil"/>
              <w:right w:val="nil"/>
            </w:tcBorders>
            <w:tcMar>
              <w:left w:w="86" w:type="dxa"/>
              <w:right w:w="86" w:type="dxa"/>
            </w:tcMar>
            <w:vAlign w:val="bottom"/>
          </w:tcPr>
          <w:p w14:paraId="4188CE10"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2.1 (2.0-2.3)</w:t>
            </w:r>
          </w:p>
        </w:tc>
        <w:tc>
          <w:tcPr>
            <w:tcW w:w="990" w:type="dxa"/>
            <w:tcBorders>
              <w:top w:val="nil"/>
              <w:left w:val="nil"/>
              <w:bottom w:val="nil"/>
              <w:right w:val="single" w:sz="4" w:space="0" w:color="auto"/>
            </w:tcBorders>
            <w:tcMar>
              <w:left w:w="86" w:type="dxa"/>
              <w:right w:w="86" w:type="dxa"/>
            </w:tcMar>
            <w:vAlign w:val="bottom"/>
          </w:tcPr>
          <w:p w14:paraId="3856023F"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0.02</w:t>
            </w:r>
          </w:p>
        </w:tc>
        <w:tc>
          <w:tcPr>
            <w:tcW w:w="1260" w:type="dxa"/>
            <w:tcBorders>
              <w:top w:val="nil"/>
              <w:left w:val="single" w:sz="4" w:space="0" w:color="auto"/>
              <w:bottom w:val="nil"/>
              <w:right w:val="nil"/>
            </w:tcBorders>
            <w:tcMar>
              <w:left w:w="86" w:type="dxa"/>
              <w:right w:w="86" w:type="dxa"/>
            </w:tcMar>
            <w:vAlign w:val="bottom"/>
          </w:tcPr>
          <w:p w14:paraId="78C3B64F"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169/1190</w:t>
            </w:r>
          </w:p>
        </w:tc>
        <w:tc>
          <w:tcPr>
            <w:tcW w:w="1620" w:type="dxa"/>
            <w:tcBorders>
              <w:top w:val="nil"/>
              <w:left w:val="nil"/>
              <w:bottom w:val="nil"/>
              <w:right w:val="nil"/>
            </w:tcBorders>
            <w:tcMar>
              <w:left w:w="86" w:type="dxa"/>
              <w:right w:w="86" w:type="dxa"/>
            </w:tcMar>
            <w:vAlign w:val="bottom"/>
          </w:tcPr>
          <w:p w14:paraId="0735FB59"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14.2 (12.3-16.3)</w:t>
            </w:r>
          </w:p>
        </w:tc>
        <w:tc>
          <w:tcPr>
            <w:tcW w:w="1260" w:type="dxa"/>
            <w:tcBorders>
              <w:top w:val="nil"/>
              <w:left w:val="nil"/>
              <w:bottom w:val="nil"/>
              <w:right w:val="nil"/>
            </w:tcBorders>
            <w:tcMar>
              <w:left w:w="86" w:type="dxa"/>
              <w:right w:w="86" w:type="dxa"/>
            </w:tcMar>
            <w:vAlign w:val="bottom"/>
          </w:tcPr>
          <w:p w14:paraId="3CF8488B"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721/6341</w:t>
            </w:r>
          </w:p>
        </w:tc>
        <w:tc>
          <w:tcPr>
            <w:tcW w:w="1980" w:type="dxa"/>
            <w:tcBorders>
              <w:top w:val="nil"/>
              <w:left w:val="nil"/>
              <w:bottom w:val="nil"/>
              <w:right w:val="nil"/>
            </w:tcBorders>
            <w:tcMar>
              <w:left w:w="86" w:type="dxa"/>
              <w:right w:w="86" w:type="dxa"/>
            </w:tcMar>
            <w:vAlign w:val="bottom"/>
          </w:tcPr>
          <w:p w14:paraId="1C03D3B7"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11.4 (10.6-12.2)</w:t>
            </w:r>
          </w:p>
        </w:tc>
        <w:tc>
          <w:tcPr>
            <w:tcW w:w="990" w:type="dxa"/>
            <w:tcBorders>
              <w:top w:val="nil"/>
              <w:left w:val="nil"/>
              <w:bottom w:val="nil"/>
              <w:right w:val="nil"/>
            </w:tcBorders>
            <w:tcMar>
              <w:left w:w="86" w:type="dxa"/>
              <w:right w:w="86" w:type="dxa"/>
            </w:tcMar>
            <w:vAlign w:val="bottom"/>
          </w:tcPr>
          <w:p w14:paraId="59DDD770"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0.006</w:t>
            </w:r>
          </w:p>
        </w:tc>
      </w:tr>
      <w:tr w:rsidR="008B4DA6" w14:paraId="0E8363A1" w14:textId="77777777" w:rsidTr="0072157D">
        <w:trPr>
          <w:jc w:val="center"/>
        </w:trPr>
        <w:tc>
          <w:tcPr>
            <w:tcW w:w="2245" w:type="dxa"/>
            <w:tcBorders>
              <w:top w:val="nil"/>
              <w:left w:val="nil"/>
              <w:bottom w:val="nil"/>
              <w:right w:val="nil"/>
            </w:tcBorders>
            <w:vAlign w:val="bottom"/>
          </w:tcPr>
          <w:p w14:paraId="1F26A42F" w14:textId="77777777" w:rsidR="006F36B5" w:rsidRPr="00CF4179" w:rsidRDefault="006F36B5" w:rsidP="00E82F4D">
            <w:pPr>
              <w:spacing w:after="0" w:line="240" w:lineRule="auto"/>
              <w:rPr>
                <w:rFonts w:cs="Arial"/>
                <w:color w:val="000000"/>
                <w:sz w:val="20"/>
              </w:rPr>
            </w:pPr>
            <w:r w:rsidRPr="00CF4179">
              <w:rPr>
                <w:rFonts w:cs="Arial"/>
                <w:color w:val="000000"/>
                <w:sz w:val="20"/>
              </w:rPr>
              <w:t>Oral Anti-Osteoporotic</w:t>
            </w:r>
          </w:p>
        </w:tc>
        <w:tc>
          <w:tcPr>
            <w:tcW w:w="1620" w:type="dxa"/>
            <w:tcBorders>
              <w:top w:val="nil"/>
              <w:left w:val="nil"/>
              <w:bottom w:val="nil"/>
              <w:right w:val="nil"/>
            </w:tcBorders>
            <w:tcMar>
              <w:left w:w="86" w:type="dxa"/>
              <w:right w:w="86" w:type="dxa"/>
            </w:tcMar>
            <w:vAlign w:val="bottom"/>
          </w:tcPr>
          <w:p w14:paraId="287572FF"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0.5 (0.3-0.6)</w:t>
            </w:r>
          </w:p>
        </w:tc>
        <w:tc>
          <w:tcPr>
            <w:tcW w:w="1620" w:type="dxa"/>
            <w:tcBorders>
              <w:top w:val="nil"/>
              <w:left w:val="nil"/>
              <w:bottom w:val="nil"/>
              <w:right w:val="nil"/>
            </w:tcBorders>
            <w:tcMar>
              <w:left w:w="86" w:type="dxa"/>
              <w:right w:w="86" w:type="dxa"/>
            </w:tcMar>
            <w:vAlign w:val="bottom"/>
          </w:tcPr>
          <w:p w14:paraId="3CC964E6"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0.4 (0.3-0.5)</w:t>
            </w:r>
          </w:p>
        </w:tc>
        <w:tc>
          <w:tcPr>
            <w:tcW w:w="990" w:type="dxa"/>
            <w:tcBorders>
              <w:top w:val="nil"/>
              <w:left w:val="nil"/>
              <w:bottom w:val="nil"/>
              <w:right w:val="single" w:sz="4" w:space="0" w:color="auto"/>
            </w:tcBorders>
            <w:tcMar>
              <w:left w:w="86" w:type="dxa"/>
              <w:right w:w="86" w:type="dxa"/>
            </w:tcMar>
            <w:vAlign w:val="bottom"/>
          </w:tcPr>
          <w:p w14:paraId="1530913E"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0.42</w:t>
            </w:r>
          </w:p>
        </w:tc>
        <w:tc>
          <w:tcPr>
            <w:tcW w:w="1260" w:type="dxa"/>
            <w:tcBorders>
              <w:top w:val="nil"/>
              <w:left w:val="single" w:sz="4" w:space="0" w:color="auto"/>
              <w:bottom w:val="nil"/>
              <w:right w:val="nil"/>
            </w:tcBorders>
            <w:tcMar>
              <w:left w:w="86" w:type="dxa"/>
              <w:right w:w="86" w:type="dxa"/>
            </w:tcMar>
            <w:vAlign w:val="bottom"/>
          </w:tcPr>
          <w:p w14:paraId="627FB596"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32/573</w:t>
            </w:r>
          </w:p>
        </w:tc>
        <w:tc>
          <w:tcPr>
            <w:tcW w:w="1620" w:type="dxa"/>
            <w:tcBorders>
              <w:top w:val="nil"/>
              <w:left w:val="nil"/>
              <w:bottom w:val="nil"/>
              <w:right w:val="nil"/>
            </w:tcBorders>
            <w:tcMar>
              <w:left w:w="86" w:type="dxa"/>
              <w:right w:w="86" w:type="dxa"/>
            </w:tcMar>
            <w:vAlign w:val="bottom"/>
          </w:tcPr>
          <w:p w14:paraId="58661808"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5.6 (3.9-7.8)</w:t>
            </w:r>
          </w:p>
        </w:tc>
        <w:tc>
          <w:tcPr>
            <w:tcW w:w="1260" w:type="dxa"/>
            <w:tcBorders>
              <w:top w:val="nil"/>
              <w:left w:val="nil"/>
              <w:bottom w:val="nil"/>
              <w:right w:val="nil"/>
            </w:tcBorders>
            <w:tcMar>
              <w:left w:w="86" w:type="dxa"/>
              <w:right w:w="86" w:type="dxa"/>
            </w:tcMar>
            <w:vAlign w:val="bottom"/>
          </w:tcPr>
          <w:p w14:paraId="5FB4C1E5"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135/2920</w:t>
            </w:r>
          </w:p>
        </w:tc>
        <w:tc>
          <w:tcPr>
            <w:tcW w:w="1980" w:type="dxa"/>
            <w:tcBorders>
              <w:top w:val="nil"/>
              <w:left w:val="nil"/>
              <w:bottom w:val="nil"/>
              <w:right w:val="nil"/>
            </w:tcBorders>
            <w:tcMar>
              <w:left w:w="86" w:type="dxa"/>
              <w:right w:w="86" w:type="dxa"/>
            </w:tcMar>
            <w:vAlign w:val="bottom"/>
          </w:tcPr>
          <w:p w14:paraId="347F69F9"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4.6 (3.9-5.4)</w:t>
            </w:r>
          </w:p>
        </w:tc>
        <w:tc>
          <w:tcPr>
            <w:tcW w:w="990" w:type="dxa"/>
            <w:tcBorders>
              <w:top w:val="nil"/>
              <w:left w:val="nil"/>
              <w:bottom w:val="nil"/>
              <w:right w:val="nil"/>
            </w:tcBorders>
            <w:tcMar>
              <w:left w:w="86" w:type="dxa"/>
              <w:right w:w="86" w:type="dxa"/>
            </w:tcMar>
            <w:vAlign w:val="bottom"/>
          </w:tcPr>
          <w:p w14:paraId="171151FF"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0.32</w:t>
            </w:r>
          </w:p>
        </w:tc>
      </w:tr>
      <w:tr w:rsidR="008B4DA6" w14:paraId="5A7BDDBA" w14:textId="77777777" w:rsidTr="0072157D">
        <w:trPr>
          <w:jc w:val="center"/>
        </w:trPr>
        <w:tc>
          <w:tcPr>
            <w:tcW w:w="2245" w:type="dxa"/>
            <w:tcBorders>
              <w:top w:val="nil"/>
              <w:left w:val="nil"/>
              <w:right w:val="nil"/>
            </w:tcBorders>
            <w:vAlign w:val="bottom"/>
          </w:tcPr>
          <w:p w14:paraId="6191CF9C" w14:textId="77777777" w:rsidR="006F36B5" w:rsidRPr="00CF4179" w:rsidRDefault="006F36B5" w:rsidP="00E82F4D">
            <w:pPr>
              <w:spacing w:after="0" w:line="240" w:lineRule="auto"/>
              <w:rPr>
                <w:rFonts w:cs="Arial"/>
                <w:color w:val="000000"/>
                <w:sz w:val="20"/>
              </w:rPr>
            </w:pPr>
            <w:r w:rsidRPr="00CF4179">
              <w:rPr>
                <w:rFonts w:cs="Arial"/>
                <w:color w:val="000000"/>
                <w:sz w:val="20"/>
              </w:rPr>
              <w:t>Proton Pump Inhibitor</w:t>
            </w:r>
          </w:p>
        </w:tc>
        <w:tc>
          <w:tcPr>
            <w:tcW w:w="1620" w:type="dxa"/>
            <w:tcBorders>
              <w:top w:val="nil"/>
              <w:left w:val="nil"/>
              <w:right w:val="nil"/>
            </w:tcBorders>
            <w:tcMar>
              <w:left w:w="86" w:type="dxa"/>
              <w:right w:w="86" w:type="dxa"/>
            </w:tcMar>
            <w:vAlign w:val="bottom"/>
          </w:tcPr>
          <w:p w14:paraId="31D66F63"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5.8 (5.3-6.4)</w:t>
            </w:r>
          </w:p>
        </w:tc>
        <w:tc>
          <w:tcPr>
            <w:tcW w:w="1620" w:type="dxa"/>
            <w:tcBorders>
              <w:top w:val="nil"/>
              <w:left w:val="nil"/>
              <w:right w:val="nil"/>
            </w:tcBorders>
            <w:tcMar>
              <w:left w:w="86" w:type="dxa"/>
              <w:right w:w="86" w:type="dxa"/>
            </w:tcMar>
            <w:vAlign w:val="bottom"/>
          </w:tcPr>
          <w:p w14:paraId="0A7BE908"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3.7 (3.5-3.9)</w:t>
            </w:r>
          </w:p>
        </w:tc>
        <w:tc>
          <w:tcPr>
            <w:tcW w:w="990" w:type="dxa"/>
            <w:tcBorders>
              <w:top w:val="nil"/>
              <w:left w:val="nil"/>
              <w:bottom w:val="single" w:sz="4" w:space="0" w:color="auto"/>
              <w:right w:val="single" w:sz="4" w:space="0" w:color="auto"/>
            </w:tcBorders>
            <w:tcMar>
              <w:left w:w="86" w:type="dxa"/>
              <w:right w:w="86" w:type="dxa"/>
            </w:tcMar>
            <w:vAlign w:val="bottom"/>
          </w:tcPr>
          <w:p w14:paraId="4EA796FF"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&lt;0.001</w:t>
            </w:r>
          </w:p>
        </w:tc>
        <w:tc>
          <w:tcPr>
            <w:tcW w:w="1260" w:type="dxa"/>
            <w:tcBorders>
              <w:top w:val="nil"/>
              <w:left w:val="single" w:sz="4" w:space="0" w:color="auto"/>
              <w:right w:val="nil"/>
            </w:tcBorders>
            <w:tcMar>
              <w:left w:w="86" w:type="dxa"/>
              <w:right w:w="86" w:type="dxa"/>
            </w:tcMar>
            <w:vAlign w:val="bottom"/>
          </w:tcPr>
          <w:p w14:paraId="760873DE"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314/2918</w:t>
            </w:r>
          </w:p>
        </w:tc>
        <w:tc>
          <w:tcPr>
            <w:tcW w:w="1620" w:type="dxa"/>
            <w:tcBorders>
              <w:top w:val="nil"/>
              <w:left w:val="nil"/>
              <w:right w:val="nil"/>
            </w:tcBorders>
            <w:tcMar>
              <w:left w:w="86" w:type="dxa"/>
              <w:right w:w="86" w:type="dxa"/>
            </w:tcMar>
            <w:vAlign w:val="bottom"/>
          </w:tcPr>
          <w:p w14:paraId="3D5213F2"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10.8 (9.7-11.9)</w:t>
            </w:r>
          </w:p>
        </w:tc>
        <w:tc>
          <w:tcPr>
            <w:tcW w:w="1260" w:type="dxa"/>
            <w:tcBorders>
              <w:top w:val="nil"/>
              <w:left w:val="nil"/>
              <w:right w:val="nil"/>
            </w:tcBorders>
            <w:tcMar>
              <w:left w:w="86" w:type="dxa"/>
              <w:right w:w="86" w:type="dxa"/>
            </w:tcMar>
            <w:vAlign w:val="bottom"/>
          </w:tcPr>
          <w:p w14:paraId="10D3EDFA"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1124/13208</w:t>
            </w:r>
          </w:p>
        </w:tc>
        <w:tc>
          <w:tcPr>
            <w:tcW w:w="1980" w:type="dxa"/>
            <w:tcBorders>
              <w:top w:val="nil"/>
              <w:left w:val="nil"/>
              <w:right w:val="nil"/>
            </w:tcBorders>
            <w:tcMar>
              <w:left w:w="86" w:type="dxa"/>
              <w:right w:w="86" w:type="dxa"/>
            </w:tcMar>
            <w:vAlign w:val="bottom"/>
          </w:tcPr>
          <w:p w14:paraId="2D5D591A"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8.5 (8.0-9.0)</w:t>
            </w:r>
          </w:p>
        </w:tc>
        <w:tc>
          <w:tcPr>
            <w:tcW w:w="990" w:type="dxa"/>
            <w:tcBorders>
              <w:top w:val="nil"/>
              <w:left w:val="nil"/>
              <w:right w:val="nil"/>
            </w:tcBorders>
            <w:tcMar>
              <w:left w:w="86" w:type="dxa"/>
              <w:right w:w="86" w:type="dxa"/>
            </w:tcMar>
            <w:vAlign w:val="bottom"/>
          </w:tcPr>
          <w:p w14:paraId="713006A5" w14:textId="77777777" w:rsidR="006F36B5" w:rsidRPr="00CF4179" w:rsidRDefault="006F36B5" w:rsidP="00E82F4D">
            <w:pPr>
              <w:spacing w:after="0" w:line="240" w:lineRule="auto"/>
              <w:jc w:val="center"/>
              <w:rPr>
                <w:rFonts w:cs="Arial"/>
                <w:color w:val="000000"/>
                <w:sz w:val="20"/>
              </w:rPr>
            </w:pPr>
            <w:r w:rsidRPr="00CF4179">
              <w:rPr>
                <w:rFonts w:cs="Arial"/>
                <w:color w:val="000000"/>
                <w:sz w:val="20"/>
              </w:rPr>
              <w:t>&lt;0.001</w:t>
            </w:r>
          </w:p>
        </w:tc>
      </w:tr>
    </w:tbl>
    <w:p w14:paraId="72BF1EF9" w14:textId="03FECECB" w:rsidR="008B4DA6" w:rsidRPr="00005779" w:rsidRDefault="008B4DA6" w:rsidP="0072157D">
      <w:pPr>
        <w:spacing w:after="0" w:line="240" w:lineRule="auto"/>
        <w:ind w:left="144"/>
        <w:jc w:val="both"/>
        <w:rPr>
          <w:rFonts w:cs="Arial"/>
          <w:color w:val="000000"/>
          <w:sz w:val="18"/>
          <w:szCs w:val="18"/>
        </w:rPr>
      </w:pPr>
      <w:r w:rsidRPr="00005779">
        <w:rPr>
          <w:rFonts w:cs="Arial"/>
          <w:color w:val="000000"/>
          <w:sz w:val="18"/>
          <w:szCs w:val="18"/>
        </w:rPr>
        <w:t>n: number of patients in stratum</w:t>
      </w:r>
      <w:r>
        <w:rPr>
          <w:rFonts w:cs="Arial"/>
          <w:color w:val="000000"/>
          <w:sz w:val="18"/>
          <w:szCs w:val="18"/>
        </w:rPr>
        <w:t xml:space="preserve"> who received a medication dispensing from the class of interest during follow-up</w:t>
      </w:r>
      <w:r w:rsidRPr="00005779">
        <w:rPr>
          <w:rFonts w:cs="Arial"/>
          <w:color w:val="000000"/>
          <w:sz w:val="18"/>
          <w:szCs w:val="18"/>
        </w:rPr>
        <w:t>; N: total</w:t>
      </w:r>
      <w:r>
        <w:rPr>
          <w:rFonts w:cs="Arial"/>
          <w:color w:val="000000"/>
          <w:sz w:val="18"/>
          <w:szCs w:val="18"/>
        </w:rPr>
        <w:t xml:space="preserve"> number of patients in stratum;</w:t>
      </w:r>
      <w:r w:rsidRPr="00005779">
        <w:rPr>
          <w:rFonts w:cs="Arial"/>
          <w:color w:val="000000"/>
          <w:sz w:val="18"/>
          <w:szCs w:val="18"/>
        </w:rPr>
        <w:t xml:space="preserve"> </w:t>
      </w:r>
      <w:r w:rsidR="0072157D">
        <w:rPr>
          <w:rFonts w:cs="Arial"/>
          <w:color w:val="000000"/>
          <w:sz w:val="18"/>
          <w:szCs w:val="18"/>
        </w:rPr>
        <w:tab/>
      </w:r>
      <w:r w:rsidR="0072157D">
        <w:rPr>
          <w:rFonts w:cs="Arial"/>
          <w:color w:val="000000"/>
          <w:sz w:val="18"/>
          <w:szCs w:val="18"/>
        </w:rPr>
        <w:tab/>
        <w:t xml:space="preserve">          </w:t>
      </w:r>
      <w:r w:rsidR="00BA39EE">
        <w:rPr>
          <w:rFonts w:cs="Arial"/>
          <w:color w:val="000000"/>
          <w:sz w:val="18"/>
          <w:szCs w:val="18"/>
        </w:rPr>
        <w:t xml:space="preserve">CI: confidence </w:t>
      </w:r>
      <w:r w:rsidRPr="00005779">
        <w:rPr>
          <w:rFonts w:cs="Arial"/>
          <w:color w:val="000000"/>
          <w:sz w:val="18"/>
          <w:szCs w:val="18"/>
        </w:rPr>
        <w:t>interval</w:t>
      </w:r>
    </w:p>
    <w:p w14:paraId="7714D3E5" w14:textId="77777777" w:rsidR="00E308DA" w:rsidRDefault="00E308DA" w:rsidP="00E962D1">
      <w:pPr>
        <w:ind w:firstLine="720"/>
        <w:rPr>
          <w:rFonts w:cs="Arial"/>
          <w:szCs w:val="22"/>
        </w:rPr>
      </w:pPr>
    </w:p>
    <w:p w14:paraId="7511DEEA" w14:textId="77777777" w:rsidR="00E308DA" w:rsidRDefault="00E308DA" w:rsidP="00E962D1">
      <w:pPr>
        <w:ind w:firstLine="720"/>
        <w:rPr>
          <w:rFonts w:cs="Arial"/>
          <w:szCs w:val="22"/>
        </w:rPr>
      </w:pPr>
    </w:p>
    <w:p w14:paraId="229BFE8C" w14:textId="77777777" w:rsidR="0070364F" w:rsidRDefault="0070364F" w:rsidP="00E962D1">
      <w:pPr>
        <w:ind w:firstLine="720"/>
        <w:rPr>
          <w:rFonts w:cs="Arial"/>
          <w:szCs w:val="22"/>
        </w:rPr>
        <w:sectPr w:rsidR="0070364F" w:rsidSect="00CF4179">
          <w:pgSz w:w="15840" w:h="12240" w:orient="landscape" w:code="1"/>
          <w:pgMar w:top="1440" w:right="720" w:bottom="1440" w:left="1440" w:header="720" w:footer="432" w:gutter="0"/>
          <w:cols w:space="720"/>
          <w:docGrid w:linePitch="360"/>
        </w:sectPr>
      </w:pPr>
    </w:p>
    <w:p w14:paraId="455FEC9A" w14:textId="60F03161" w:rsidR="00E962D1" w:rsidRPr="001B56C8" w:rsidRDefault="00E962D1" w:rsidP="0072157D">
      <w:pPr>
        <w:ind w:firstLine="720"/>
        <w:rPr>
          <w:rFonts w:cs="Arial"/>
          <w:b/>
          <w:szCs w:val="22"/>
        </w:rPr>
      </w:pPr>
      <w:r w:rsidRPr="00725D15">
        <w:rPr>
          <w:rFonts w:cs="Arial"/>
          <w:szCs w:val="22"/>
        </w:rPr>
        <w:lastRenderedPageBreak/>
        <w:t>In multivariable regression, transitioners were 33% more likely to receive any LBM during follow-up compared to controls (IRR: 1.33, 95% CI: 1.25-1.42) (</w:t>
      </w:r>
      <w:r w:rsidR="002147BB">
        <w:rPr>
          <w:rFonts w:cs="Arial"/>
          <w:b/>
          <w:szCs w:val="22"/>
        </w:rPr>
        <w:t>TABLE XV</w:t>
      </w:r>
      <w:r w:rsidR="00705989">
        <w:rPr>
          <w:rFonts w:cs="Arial"/>
          <w:b/>
          <w:szCs w:val="22"/>
        </w:rPr>
        <w:t>II</w:t>
      </w:r>
      <w:r w:rsidRPr="00725D15">
        <w:rPr>
          <w:rFonts w:cs="Arial"/>
          <w:szCs w:val="22"/>
        </w:rPr>
        <w:t>).  Transitioners were also more likely than controls to receive antihyperlipidemics (IRR: 1.38, 95% CI: 1.13-1.70), antihypertensives (IRR: 1.28, 95% CI: 1.16-1.40) and proton pump inhibitors (IRR: 1.40, 95% CI: 1.20-1.63) during follow-up. When restricting transitioners to those whose first transition was a hospitalization from hospice or immediately following a hospice discharge, transitioners were 56% more likely to receive any LBM compared to matched controls (IRR 1.56, 95% CI: 1.39-1.76) (</w:t>
      </w:r>
      <w:r w:rsidR="002147BB">
        <w:rPr>
          <w:rFonts w:cs="Arial"/>
          <w:b/>
          <w:szCs w:val="22"/>
        </w:rPr>
        <w:t>TABLE XV</w:t>
      </w:r>
      <w:r w:rsidR="00705989">
        <w:rPr>
          <w:rFonts w:cs="Arial"/>
          <w:b/>
          <w:szCs w:val="22"/>
        </w:rPr>
        <w:t>II</w:t>
      </w:r>
      <w:r w:rsidRPr="00725D15">
        <w:rPr>
          <w:rFonts w:cs="Arial"/>
          <w:szCs w:val="22"/>
        </w:rPr>
        <w:t>). Similar patterns to that for all transition types were observed for specific medication classes. Compared to controls, patients experiencing a standalone live hospice discharge were significantly more likely to receive antihypertensives (IRR 1.25, 95% CI: 1.01-1.55), proton pump inhibitors (IRR 1.69, 95% CI: 1.22-2.34), and any LBM (IRR 1.32, 95% CI: 1.15-1.52) (</w:t>
      </w:r>
      <w:r w:rsidR="002147BB">
        <w:rPr>
          <w:rFonts w:cs="Arial"/>
          <w:b/>
          <w:szCs w:val="22"/>
        </w:rPr>
        <w:t>TABLE XV</w:t>
      </w:r>
      <w:r w:rsidR="00705989">
        <w:rPr>
          <w:rFonts w:cs="Arial"/>
          <w:b/>
          <w:szCs w:val="22"/>
        </w:rPr>
        <w:t>II</w:t>
      </w:r>
      <w:r w:rsidRPr="00725D15">
        <w:rPr>
          <w:rFonts w:cs="Arial"/>
          <w:szCs w:val="22"/>
        </w:rPr>
        <w:t xml:space="preserve">). </w:t>
      </w:r>
    </w:p>
    <w:p w14:paraId="164E6321" w14:textId="78127243" w:rsidR="00E962D1" w:rsidRDefault="00E962D1" w:rsidP="00520436">
      <w:pPr>
        <w:ind w:firstLine="720"/>
        <w:rPr>
          <w:rFonts w:cs="Arial"/>
          <w:szCs w:val="22"/>
        </w:rPr>
      </w:pPr>
      <w:r w:rsidRPr="00725D15">
        <w:rPr>
          <w:rFonts w:cs="Arial"/>
          <w:szCs w:val="22"/>
        </w:rPr>
        <w:t>In sensitivity analysis, decreasing the post-index follow-up window from 7 days to 3 days resulted in increased effect sizes for the receipt of any LBM across transition types (</w:t>
      </w:r>
      <w:r w:rsidR="002147BB">
        <w:rPr>
          <w:rFonts w:cs="Arial"/>
          <w:b/>
          <w:szCs w:val="22"/>
        </w:rPr>
        <w:t>TABLE XVIII</w:t>
      </w:r>
      <w:r w:rsidRPr="00725D15">
        <w:rPr>
          <w:rFonts w:cs="Arial"/>
          <w:szCs w:val="22"/>
        </w:rPr>
        <w:t>). Using a 3-day follow-up window, transitioners whose first transition was a hospitalization were over twice as likely to receive any LBM during follow-up compared to controls (IRR 2.11, 95% CI: 1.84-2.41). Conversely, risk estimates decreased when increasing the follow-up window to 14 days. When considering only transitioners with a live hospice discharge as their first health care transition, limiting the allowable hospice enrollment gap to 30 days resulted in no increased risk of receiving a LBM compared to controls (IRR 1.06, 95% CI: 0.89-1.28). The number of days elapsed between hospice admission and the index date appeared to have little impact on the likelihood of subsequently receiving an LBM across all transition types (</w:t>
      </w:r>
      <w:r w:rsidR="00705989">
        <w:rPr>
          <w:rFonts w:cs="Arial"/>
          <w:b/>
          <w:szCs w:val="22"/>
        </w:rPr>
        <w:t>TABLE X</w:t>
      </w:r>
      <w:r w:rsidR="002147BB">
        <w:rPr>
          <w:rFonts w:cs="Arial"/>
          <w:b/>
          <w:szCs w:val="22"/>
        </w:rPr>
        <w:t>VIII</w:t>
      </w:r>
      <w:r w:rsidRPr="00725D15">
        <w:rPr>
          <w:rFonts w:cs="Arial"/>
          <w:szCs w:val="22"/>
        </w:rPr>
        <w:t>).</w:t>
      </w:r>
      <w:r w:rsidR="0095598B">
        <w:rPr>
          <w:rFonts w:cs="Arial"/>
          <w:szCs w:val="22"/>
        </w:rPr>
        <w:t xml:space="preserve"> </w:t>
      </w:r>
      <w:r w:rsidR="001B56C8">
        <w:rPr>
          <w:rFonts w:cs="Arial"/>
          <w:szCs w:val="22"/>
        </w:rPr>
        <w:t xml:space="preserve">Final adjustment variables for each model assessing the association between specific transition type and specific LBM class are presented in </w:t>
      </w:r>
      <w:r w:rsidR="001B56C8">
        <w:rPr>
          <w:rFonts w:cs="Arial"/>
          <w:b/>
          <w:szCs w:val="22"/>
        </w:rPr>
        <w:t>TABLE X</w:t>
      </w:r>
      <w:r w:rsidR="002147BB">
        <w:rPr>
          <w:rFonts w:cs="Arial"/>
          <w:b/>
          <w:szCs w:val="22"/>
        </w:rPr>
        <w:t>I</w:t>
      </w:r>
      <w:r w:rsidR="001B56C8">
        <w:rPr>
          <w:rFonts w:cs="Arial"/>
          <w:b/>
          <w:szCs w:val="22"/>
        </w:rPr>
        <w:t>X.</w:t>
      </w:r>
    </w:p>
    <w:p w14:paraId="2C612474" w14:textId="77777777" w:rsidR="0072157D" w:rsidRPr="00725D15" w:rsidRDefault="0072157D" w:rsidP="00520436">
      <w:pPr>
        <w:ind w:firstLine="720"/>
        <w:rPr>
          <w:rFonts w:cs="Arial"/>
          <w:b/>
          <w:szCs w:val="22"/>
        </w:rPr>
      </w:pPr>
    </w:p>
    <w:p w14:paraId="25C05394" w14:textId="4E9C6185" w:rsidR="0072157D" w:rsidRPr="007C6DC0" w:rsidRDefault="002147BB" w:rsidP="007C6DC0">
      <w:pPr>
        <w:spacing w:after="0" w:line="240" w:lineRule="auto"/>
        <w:jc w:val="center"/>
        <w:rPr>
          <w:b/>
        </w:rPr>
      </w:pPr>
      <w:r>
        <w:rPr>
          <w:b/>
        </w:rPr>
        <w:lastRenderedPageBreak/>
        <w:t>TABLE XVI</w:t>
      </w:r>
      <w:r w:rsidR="0072157D" w:rsidRPr="007C6DC0">
        <w:rPr>
          <w:b/>
        </w:rPr>
        <w:t>I</w:t>
      </w:r>
    </w:p>
    <w:p w14:paraId="51724F6F" w14:textId="77777777" w:rsidR="00A92779" w:rsidRDefault="00A92779" w:rsidP="007C6DC0">
      <w:pPr>
        <w:pStyle w:val="Style2"/>
        <w:spacing w:before="0" w:after="0" w:line="240" w:lineRule="auto"/>
        <w:ind w:left="90"/>
        <w:jc w:val="center"/>
        <w:rPr>
          <w:b/>
          <w:u w:val="none"/>
        </w:rPr>
      </w:pPr>
    </w:p>
    <w:p w14:paraId="295E2ECA" w14:textId="61D0C607" w:rsidR="00A92779" w:rsidRPr="00086B0C" w:rsidRDefault="00086B0C" w:rsidP="002C0F95">
      <w:pPr>
        <w:pStyle w:val="Caption"/>
        <w:ind w:firstLine="180"/>
        <w:rPr>
          <w:caps w:val="0"/>
          <w:vertAlign w:val="superscript"/>
        </w:rPr>
      </w:pPr>
      <w:bookmarkStart w:id="139" w:name="_Toc507329286"/>
      <w:r w:rsidRPr="005F4812">
        <w:t>ASSOCIATION BETWEEN BURDENSOME HEALTH CARE TRANSITIONS AFTER HOSPICE ADMISSION AND DISPENSING</w:t>
      </w:r>
      <w:r>
        <w:t xml:space="preserve"> OF LIMITED BENEFIT MEDICATIONS</w:t>
      </w:r>
      <w:r>
        <w:rPr>
          <w:caps w:val="0"/>
          <w:vertAlign w:val="superscript"/>
        </w:rPr>
        <w:t>a</w:t>
      </w:r>
      <w:bookmarkEnd w:id="139"/>
    </w:p>
    <w:tbl>
      <w:tblPr>
        <w:tblStyle w:val="TableGrid"/>
        <w:tblW w:w="8460" w:type="dxa"/>
        <w:jc w:val="center"/>
        <w:tblLook w:val="04A0" w:firstRow="1" w:lastRow="0" w:firstColumn="1" w:lastColumn="0" w:noHBand="0" w:noVBand="1"/>
      </w:tblPr>
      <w:tblGrid>
        <w:gridCol w:w="2340"/>
        <w:gridCol w:w="1800"/>
        <w:gridCol w:w="2430"/>
        <w:gridCol w:w="1890"/>
      </w:tblGrid>
      <w:tr w:rsidR="005A0401" w14:paraId="667C05C5" w14:textId="77777777" w:rsidTr="00E841BE">
        <w:trPr>
          <w:jc w:val="center"/>
        </w:trPr>
        <w:tc>
          <w:tcPr>
            <w:tcW w:w="2340" w:type="dxa"/>
            <w:tcBorders>
              <w:left w:val="nil"/>
              <w:bottom w:val="nil"/>
              <w:right w:val="nil"/>
            </w:tcBorders>
          </w:tcPr>
          <w:p w14:paraId="2F2C4CF4" w14:textId="77777777" w:rsidR="00A92779" w:rsidRPr="00A92779" w:rsidRDefault="00A92779" w:rsidP="00A92779">
            <w:pPr>
              <w:spacing w:after="0" w:line="240" w:lineRule="auto"/>
              <w:rPr>
                <w:rFonts w:cs="Arial"/>
                <w:b/>
                <w:sz w:val="24"/>
                <w:szCs w:val="24"/>
              </w:rPr>
            </w:pPr>
          </w:p>
        </w:tc>
        <w:tc>
          <w:tcPr>
            <w:tcW w:w="1800" w:type="dxa"/>
            <w:tcBorders>
              <w:left w:val="nil"/>
              <w:bottom w:val="nil"/>
              <w:right w:val="nil"/>
            </w:tcBorders>
          </w:tcPr>
          <w:p w14:paraId="5190F565" w14:textId="77777777" w:rsidR="00A92779" w:rsidRPr="00A92779" w:rsidRDefault="00A92779" w:rsidP="00A92779">
            <w:pPr>
              <w:spacing w:after="0" w:line="240" w:lineRule="auto"/>
              <w:jc w:val="center"/>
              <w:rPr>
                <w:rFonts w:cs="Arial"/>
                <w:b/>
                <w:sz w:val="20"/>
              </w:rPr>
            </w:pPr>
            <w:r w:rsidRPr="00A92779">
              <w:rPr>
                <w:rFonts w:cs="Arial"/>
                <w:b/>
                <w:sz w:val="20"/>
              </w:rPr>
              <w:t>Any Transition</w:t>
            </w:r>
          </w:p>
        </w:tc>
        <w:tc>
          <w:tcPr>
            <w:tcW w:w="2430" w:type="dxa"/>
            <w:tcBorders>
              <w:left w:val="nil"/>
              <w:bottom w:val="nil"/>
              <w:right w:val="nil"/>
            </w:tcBorders>
          </w:tcPr>
          <w:p w14:paraId="41230BD8" w14:textId="420FD151" w:rsidR="00A92779" w:rsidRPr="00A92779" w:rsidRDefault="00A92779" w:rsidP="00DF27BB">
            <w:pPr>
              <w:spacing w:after="0" w:line="240" w:lineRule="auto"/>
              <w:jc w:val="center"/>
              <w:rPr>
                <w:rFonts w:cs="Arial"/>
                <w:b/>
                <w:sz w:val="20"/>
              </w:rPr>
            </w:pPr>
            <w:r w:rsidRPr="00A92779">
              <w:rPr>
                <w:rFonts w:cs="Arial"/>
                <w:b/>
                <w:sz w:val="20"/>
              </w:rPr>
              <w:t>Hospitalization</w:t>
            </w:r>
          </w:p>
        </w:tc>
        <w:tc>
          <w:tcPr>
            <w:tcW w:w="1890" w:type="dxa"/>
            <w:tcBorders>
              <w:left w:val="nil"/>
              <w:bottom w:val="nil"/>
              <w:right w:val="nil"/>
            </w:tcBorders>
            <w:tcMar>
              <w:left w:w="0" w:type="dxa"/>
              <w:right w:w="0" w:type="dxa"/>
            </w:tcMar>
          </w:tcPr>
          <w:p w14:paraId="788A2360" w14:textId="2206D4AC" w:rsidR="00A92779" w:rsidRPr="00A92779" w:rsidRDefault="00A92779" w:rsidP="00DF27BB">
            <w:pPr>
              <w:spacing w:after="0" w:line="240" w:lineRule="auto"/>
              <w:jc w:val="center"/>
              <w:rPr>
                <w:rFonts w:cs="Arial"/>
                <w:b/>
                <w:sz w:val="20"/>
              </w:rPr>
            </w:pPr>
            <w:r w:rsidRPr="00A92779">
              <w:rPr>
                <w:rFonts w:cs="Arial"/>
                <w:b/>
                <w:sz w:val="20"/>
              </w:rPr>
              <w:t>Hospice Discharge</w:t>
            </w:r>
          </w:p>
        </w:tc>
      </w:tr>
      <w:tr w:rsidR="00A92779" w14:paraId="3BAC770B" w14:textId="77777777" w:rsidTr="00E841BE">
        <w:trPr>
          <w:trHeight w:hRule="exact" w:val="288"/>
          <w:jc w:val="center"/>
        </w:trPr>
        <w:tc>
          <w:tcPr>
            <w:tcW w:w="2340" w:type="dxa"/>
            <w:tcBorders>
              <w:top w:val="nil"/>
              <w:left w:val="nil"/>
              <w:bottom w:val="single" w:sz="4" w:space="0" w:color="auto"/>
              <w:right w:val="nil"/>
            </w:tcBorders>
            <w:vAlign w:val="bottom"/>
          </w:tcPr>
          <w:p w14:paraId="3EF645FC" w14:textId="77777777" w:rsidR="00A92779" w:rsidRPr="00A92779" w:rsidRDefault="00A92779" w:rsidP="00A92779">
            <w:pPr>
              <w:spacing w:after="0" w:line="240" w:lineRule="auto"/>
              <w:rPr>
                <w:rFonts w:cs="Arial"/>
                <w:b/>
                <w:bCs/>
                <w:color w:val="000000"/>
                <w:sz w:val="20"/>
              </w:rPr>
            </w:pPr>
            <w:r w:rsidRPr="00A92779">
              <w:rPr>
                <w:rFonts w:cs="Arial"/>
                <w:b/>
                <w:bCs/>
                <w:color w:val="000000"/>
                <w:sz w:val="20"/>
              </w:rPr>
              <w:t>Medication Class</w:t>
            </w:r>
          </w:p>
        </w:tc>
        <w:tc>
          <w:tcPr>
            <w:tcW w:w="6120" w:type="dxa"/>
            <w:gridSpan w:val="3"/>
            <w:tcBorders>
              <w:top w:val="nil"/>
              <w:left w:val="nil"/>
              <w:bottom w:val="single" w:sz="4" w:space="0" w:color="auto"/>
              <w:right w:val="nil"/>
            </w:tcBorders>
            <w:vAlign w:val="bottom"/>
          </w:tcPr>
          <w:p w14:paraId="08E7B236" w14:textId="50F4E07B" w:rsidR="00A92779" w:rsidRPr="00A92779" w:rsidRDefault="00A92779" w:rsidP="00A92779">
            <w:pPr>
              <w:spacing w:after="0" w:line="240" w:lineRule="auto"/>
              <w:jc w:val="center"/>
              <w:rPr>
                <w:rFonts w:cs="Arial"/>
                <w:b/>
                <w:sz w:val="20"/>
              </w:rPr>
            </w:pPr>
            <w:r w:rsidRPr="00A92779">
              <w:rPr>
                <w:rFonts w:cs="Arial"/>
                <w:b/>
                <w:sz w:val="20"/>
              </w:rPr>
              <w:t>Adjusted IRR (95% CI)</w:t>
            </w:r>
          </w:p>
        </w:tc>
      </w:tr>
      <w:tr w:rsidR="005A0401" w14:paraId="4AB4C7CA" w14:textId="77777777" w:rsidTr="00E841BE">
        <w:trPr>
          <w:jc w:val="center"/>
        </w:trPr>
        <w:tc>
          <w:tcPr>
            <w:tcW w:w="2340" w:type="dxa"/>
            <w:tcBorders>
              <w:left w:val="nil"/>
              <w:bottom w:val="nil"/>
              <w:right w:val="nil"/>
            </w:tcBorders>
            <w:vAlign w:val="bottom"/>
          </w:tcPr>
          <w:p w14:paraId="625FA807" w14:textId="473AB630" w:rsidR="00A92779" w:rsidRPr="00334801" w:rsidRDefault="00A92779" w:rsidP="00E841BE">
            <w:pPr>
              <w:spacing w:after="0" w:line="240" w:lineRule="auto"/>
              <w:rPr>
                <w:rFonts w:cs="Arial"/>
                <w:color w:val="000000"/>
                <w:sz w:val="20"/>
              </w:rPr>
            </w:pPr>
            <w:r w:rsidRPr="00334801">
              <w:rPr>
                <w:rFonts w:cs="Arial"/>
                <w:color w:val="000000"/>
                <w:sz w:val="20"/>
              </w:rPr>
              <w:t xml:space="preserve">Any </w:t>
            </w:r>
            <w:r w:rsidR="00E841BE">
              <w:rPr>
                <w:rFonts w:cs="Arial"/>
                <w:color w:val="000000"/>
                <w:sz w:val="20"/>
              </w:rPr>
              <w:t>LBM</w:t>
            </w:r>
          </w:p>
        </w:tc>
        <w:tc>
          <w:tcPr>
            <w:tcW w:w="1800" w:type="dxa"/>
            <w:tcBorders>
              <w:left w:val="nil"/>
              <w:bottom w:val="nil"/>
              <w:right w:val="nil"/>
            </w:tcBorders>
            <w:vAlign w:val="bottom"/>
          </w:tcPr>
          <w:p w14:paraId="0ABDF5E1"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1.33 (1.25-1.42)</w:t>
            </w:r>
          </w:p>
        </w:tc>
        <w:tc>
          <w:tcPr>
            <w:tcW w:w="2430" w:type="dxa"/>
            <w:tcBorders>
              <w:left w:val="nil"/>
              <w:bottom w:val="nil"/>
              <w:right w:val="nil"/>
            </w:tcBorders>
            <w:vAlign w:val="bottom"/>
          </w:tcPr>
          <w:p w14:paraId="348E6A58"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1.56 (1.39-1.76)</w:t>
            </w:r>
          </w:p>
        </w:tc>
        <w:tc>
          <w:tcPr>
            <w:tcW w:w="1890" w:type="dxa"/>
            <w:tcBorders>
              <w:left w:val="nil"/>
              <w:bottom w:val="nil"/>
              <w:right w:val="nil"/>
            </w:tcBorders>
            <w:vAlign w:val="bottom"/>
          </w:tcPr>
          <w:p w14:paraId="56926EE2"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1.32 (1.15-1.52)</w:t>
            </w:r>
          </w:p>
        </w:tc>
      </w:tr>
      <w:tr w:rsidR="005A0401" w14:paraId="32FF03B6" w14:textId="77777777" w:rsidTr="00E841BE">
        <w:trPr>
          <w:jc w:val="center"/>
        </w:trPr>
        <w:tc>
          <w:tcPr>
            <w:tcW w:w="2340" w:type="dxa"/>
            <w:tcBorders>
              <w:top w:val="nil"/>
              <w:left w:val="nil"/>
              <w:bottom w:val="nil"/>
              <w:right w:val="nil"/>
            </w:tcBorders>
            <w:vAlign w:val="bottom"/>
          </w:tcPr>
          <w:p w14:paraId="14617B9C" w14:textId="77777777" w:rsidR="00A92779" w:rsidRPr="00334801" w:rsidRDefault="00A92779" w:rsidP="00A92779">
            <w:pPr>
              <w:spacing w:after="0" w:line="240" w:lineRule="auto"/>
              <w:rPr>
                <w:rFonts w:cs="Arial"/>
                <w:color w:val="000000"/>
                <w:sz w:val="20"/>
              </w:rPr>
            </w:pPr>
            <w:r w:rsidRPr="00334801">
              <w:rPr>
                <w:rFonts w:cs="Arial"/>
                <w:color w:val="000000"/>
                <w:sz w:val="20"/>
              </w:rPr>
              <w:t>Antihyperlipidemic</w:t>
            </w:r>
          </w:p>
        </w:tc>
        <w:tc>
          <w:tcPr>
            <w:tcW w:w="1800" w:type="dxa"/>
            <w:tcBorders>
              <w:top w:val="nil"/>
              <w:left w:val="nil"/>
              <w:bottom w:val="nil"/>
              <w:right w:val="nil"/>
            </w:tcBorders>
            <w:vAlign w:val="bottom"/>
          </w:tcPr>
          <w:p w14:paraId="7ACFC05F"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1.38 (1.13-1.70)</w:t>
            </w:r>
          </w:p>
        </w:tc>
        <w:tc>
          <w:tcPr>
            <w:tcW w:w="2430" w:type="dxa"/>
            <w:tcBorders>
              <w:top w:val="nil"/>
              <w:left w:val="nil"/>
              <w:bottom w:val="nil"/>
              <w:right w:val="nil"/>
            </w:tcBorders>
            <w:vAlign w:val="bottom"/>
          </w:tcPr>
          <w:p w14:paraId="0F13FF44"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1.57 (1.11-2.22)</w:t>
            </w:r>
          </w:p>
        </w:tc>
        <w:tc>
          <w:tcPr>
            <w:tcW w:w="1890" w:type="dxa"/>
            <w:tcBorders>
              <w:top w:val="nil"/>
              <w:left w:val="nil"/>
              <w:bottom w:val="nil"/>
              <w:right w:val="nil"/>
            </w:tcBorders>
            <w:vAlign w:val="bottom"/>
          </w:tcPr>
          <w:p w14:paraId="0D3485D5"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0.98 (0.61-1.57)</w:t>
            </w:r>
          </w:p>
        </w:tc>
      </w:tr>
      <w:tr w:rsidR="005A0401" w14:paraId="3BC9CC9C" w14:textId="77777777" w:rsidTr="00E841BE">
        <w:trPr>
          <w:jc w:val="center"/>
        </w:trPr>
        <w:tc>
          <w:tcPr>
            <w:tcW w:w="2340" w:type="dxa"/>
            <w:tcBorders>
              <w:top w:val="nil"/>
              <w:left w:val="nil"/>
              <w:bottom w:val="nil"/>
              <w:right w:val="nil"/>
            </w:tcBorders>
            <w:vAlign w:val="bottom"/>
          </w:tcPr>
          <w:p w14:paraId="7C3E33F5" w14:textId="77777777" w:rsidR="00A92779" w:rsidRPr="00334801" w:rsidRDefault="00A92779" w:rsidP="00A92779">
            <w:pPr>
              <w:spacing w:after="0" w:line="240" w:lineRule="auto"/>
              <w:rPr>
                <w:rFonts w:cs="Arial"/>
                <w:color w:val="000000"/>
                <w:sz w:val="20"/>
              </w:rPr>
            </w:pPr>
            <w:r w:rsidRPr="00334801">
              <w:rPr>
                <w:rFonts w:cs="Arial"/>
                <w:color w:val="000000"/>
                <w:sz w:val="20"/>
              </w:rPr>
              <w:t>Antihypertensive</w:t>
            </w:r>
          </w:p>
        </w:tc>
        <w:tc>
          <w:tcPr>
            <w:tcW w:w="1800" w:type="dxa"/>
            <w:tcBorders>
              <w:top w:val="nil"/>
              <w:left w:val="nil"/>
              <w:bottom w:val="nil"/>
              <w:right w:val="nil"/>
            </w:tcBorders>
            <w:vAlign w:val="bottom"/>
          </w:tcPr>
          <w:p w14:paraId="795C2BD8"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1.28 (1.16-1.40)</w:t>
            </w:r>
          </w:p>
        </w:tc>
        <w:tc>
          <w:tcPr>
            <w:tcW w:w="2430" w:type="dxa"/>
            <w:tcBorders>
              <w:top w:val="nil"/>
              <w:left w:val="nil"/>
              <w:bottom w:val="nil"/>
              <w:right w:val="nil"/>
            </w:tcBorders>
            <w:vAlign w:val="bottom"/>
          </w:tcPr>
          <w:p w14:paraId="600B08C2"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1.61 (1.36-1.90)</w:t>
            </w:r>
          </w:p>
        </w:tc>
        <w:tc>
          <w:tcPr>
            <w:tcW w:w="1890" w:type="dxa"/>
            <w:tcBorders>
              <w:top w:val="nil"/>
              <w:left w:val="nil"/>
              <w:bottom w:val="nil"/>
              <w:right w:val="nil"/>
            </w:tcBorders>
            <w:vAlign w:val="bottom"/>
          </w:tcPr>
          <w:p w14:paraId="225BEE18"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1.25 (1.01-1.55)</w:t>
            </w:r>
          </w:p>
        </w:tc>
      </w:tr>
      <w:tr w:rsidR="005A0401" w14:paraId="6146A928" w14:textId="77777777" w:rsidTr="00E841BE">
        <w:trPr>
          <w:jc w:val="center"/>
        </w:trPr>
        <w:tc>
          <w:tcPr>
            <w:tcW w:w="2340" w:type="dxa"/>
            <w:tcBorders>
              <w:top w:val="nil"/>
              <w:left w:val="nil"/>
              <w:bottom w:val="nil"/>
              <w:right w:val="nil"/>
            </w:tcBorders>
            <w:vAlign w:val="bottom"/>
          </w:tcPr>
          <w:p w14:paraId="47BB57DC" w14:textId="77777777" w:rsidR="00A92779" w:rsidRPr="00334801" w:rsidRDefault="00A92779" w:rsidP="00A92779">
            <w:pPr>
              <w:spacing w:after="0" w:line="240" w:lineRule="auto"/>
              <w:rPr>
                <w:rFonts w:cs="Arial"/>
                <w:color w:val="000000"/>
                <w:sz w:val="20"/>
              </w:rPr>
            </w:pPr>
            <w:r w:rsidRPr="00334801">
              <w:rPr>
                <w:rFonts w:cs="Arial"/>
                <w:color w:val="000000"/>
                <w:sz w:val="20"/>
              </w:rPr>
              <w:t>Oral Antidiabetic</w:t>
            </w:r>
          </w:p>
        </w:tc>
        <w:tc>
          <w:tcPr>
            <w:tcW w:w="1800" w:type="dxa"/>
            <w:tcBorders>
              <w:top w:val="nil"/>
              <w:left w:val="nil"/>
              <w:bottom w:val="nil"/>
              <w:right w:val="nil"/>
            </w:tcBorders>
            <w:vAlign w:val="bottom"/>
          </w:tcPr>
          <w:p w14:paraId="79266EEE"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1.02 (0.75-1.40)</w:t>
            </w:r>
          </w:p>
        </w:tc>
        <w:tc>
          <w:tcPr>
            <w:tcW w:w="2430" w:type="dxa"/>
            <w:tcBorders>
              <w:top w:val="nil"/>
              <w:left w:val="nil"/>
              <w:bottom w:val="nil"/>
              <w:right w:val="nil"/>
            </w:tcBorders>
            <w:vAlign w:val="bottom"/>
          </w:tcPr>
          <w:p w14:paraId="527AA2C3"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1.34 (0.68-2.61)</w:t>
            </w:r>
          </w:p>
        </w:tc>
        <w:tc>
          <w:tcPr>
            <w:tcW w:w="1890" w:type="dxa"/>
            <w:tcBorders>
              <w:top w:val="nil"/>
              <w:left w:val="nil"/>
              <w:bottom w:val="nil"/>
              <w:right w:val="nil"/>
            </w:tcBorders>
            <w:vAlign w:val="bottom"/>
          </w:tcPr>
          <w:p w14:paraId="45C2E7E2"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0.83 (0.37-1.89)</w:t>
            </w:r>
          </w:p>
        </w:tc>
      </w:tr>
      <w:tr w:rsidR="005A0401" w14:paraId="355F7B5A" w14:textId="77777777" w:rsidTr="00E841BE">
        <w:trPr>
          <w:jc w:val="center"/>
        </w:trPr>
        <w:tc>
          <w:tcPr>
            <w:tcW w:w="2340" w:type="dxa"/>
            <w:tcBorders>
              <w:top w:val="nil"/>
              <w:left w:val="nil"/>
              <w:bottom w:val="nil"/>
              <w:right w:val="nil"/>
            </w:tcBorders>
            <w:vAlign w:val="bottom"/>
          </w:tcPr>
          <w:p w14:paraId="6ED45E7C" w14:textId="77777777" w:rsidR="00A92779" w:rsidRPr="00334801" w:rsidRDefault="00A92779" w:rsidP="00A92779">
            <w:pPr>
              <w:spacing w:after="0" w:line="240" w:lineRule="auto"/>
              <w:rPr>
                <w:rFonts w:cs="Arial"/>
                <w:color w:val="000000"/>
                <w:sz w:val="20"/>
              </w:rPr>
            </w:pPr>
            <w:r w:rsidRPr="00334801">
              <w:rPr>
                <w:rFonts w:cs="Arial"/>
                <w:color w:val="000000"/>
                <w:sz w:val="20"/>
              </w:rPr>
              <w:t>Antiplatelet</w:t>
            </w:r>
          </w:p>
        </w:tc>
        <w:tc>
          <w:tcPr>
            <w:tcW w:w="1800" w:type="dxa"/>
            <w:tcBorders>
              <w:top w:val="nil"/>
              <w:left w:val="nil"/>
              <w:bottom w:val="nil"/>
              <w:right w:val="nil"/>
            </w:tcBorders>
            <w:vAlign w:val="bottom"/>
          </w:tcPr>
          <w:p w14:paraId="6439BE05"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1.30 (0.77-2.20)</w:t>
            </w:r>
          </w:p>
        </w:tc>
        <w:tc>
          <w:tcPr>
            <w:tcW w:w="2430" w:type="dxa"/>
            <w:tcBorders>
              <w:top w:val="nil"/>
              <w:left w:val="nil"/>
              <w:bottom w:val="nil"/>
              <w:right w:val="nil"/>
            </w:tcBorders>
            <w:vAlign w:val="bottom"/>
          </w:tcPr>
          <w:p w14:paraId="163BB324"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1.22 (0.34-4.39)</w:t>
            </w:r>
          </w:p>
        </w:tc>
        <w:tc>
          <w:tcPr>
            <w:tcW w:w="1890" w:type="dxa"/>
            <w:tcBorders>
              <w:top w:val="nil"/>
              <w:left w:val="nil"/>
              <w:bottom w:val="nil"/>
              <w:right w:val="nil"/>
            </w:tcBorders>
            <w:vAlign w:val="bottom"/>
          </w:tcPr>
          <w:p w14:paraId="0B542015"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1.36 (0.26-7.19)</w:t>
            </w:r>
          </w:p>
        </w:tc>
      </w:tr>
      <w:tr w:rsidR="005A0401" w14:paraId="0B04BE46" w14:textId="77777777" w:rsidTr="00E841BE">
        <w:trPr>
          <w:jc w:val="center"/>
        </w:trPr>
        <w:tc>
          <w:tcPr>
            <w:tcW w:w="2340" w:type="dxa"/>
            <w:tcBorders>
              <w:top w:val="nil"/>
              <w:left w:val="nil"/>
              <w:bottom w:val="nil"/>
              <w:right w:val="nil"/>
            </w:tcBorders>
            <w:vAlign w:val="bottom"/>
          </w:tcPr>
          <w:p w14:paraId="2B0C0E9A" w14:textId="77777777" w:rsidR="00A92779" w:rsidRPr="00334801" w:rsidRDefault="00A92779" w:rsidP="00A92779">
            <w:pPr>
              <w:spacing w:after="0" w:line="240" w:lineRule="auto"/>
              <w:rPr>
                <w:rFonts w:cs="Arial"/>
                <w:color w:val="000000"/>
                <w:sz w:val="20"/>
              </w:rPr>
            </w:pPr>
            <w:r w:rsidRPr="00334801">
              <w:rPr>
                <w:rFonts w:cs="Arial"/>
                <w:color w:val="000000"/>
                <w:sz w:val="20"/>
              </w:rPr>
              <w:t>Anti-Dementia</w:t>
            </w:r>
          </w:p>
        </w:tc>
        <w:tc>
          <w:tcPr>
            <w:tcW w:w="1800" w:type="dxa"/>
            <w:tcBorders>
              <w:top w:val="nil"/>
              <w:left w:val="nil"/>
              <w:bottom w:val="nil"/>
              <w:right w:val="nil"/>
            </w:tcBorders>
            <w:vAlign w:val="bottom"/>
          </w:tcPr>
          <w:p w14:paraId="0898FACC"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1.24 (0.97-1.59)</w:t>
            </w:r>
          </w:p>
        </w:tc>
        <w:tc>
          <w:tcPr>
            <w:tcW w:w="2430" w:type="dxa"/>
            <w:tcBorders>
              <w:top w:val="nil"/>
              <w:left w:val="nil"/>
              <w:bottom w:val="nil"/>
              <w:right w:val="nil"/>
            </w:tcBorders>
            <w:vAlign w:val="bottom"/>
          </w:tcPr>
          <w:p w14:paraId="6FDA1735"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0.82 (0.51-1.33)</w:t>
            </w:r>
          </w:p>
        </w:tc>
        <w:tc>
          <w:tcPr>
            <w:tcW w:w="1890" w:type="dxa"/>
            <w:tcBorders>
              <w:top w:val="nil"/>
              <w:left w:val="nil"/>
              <w:bottom w:val="nil"/>
              <w:right w:val="nil"/>
            </w:tcBorders>
            <w:vAlign w:val="bottom"/>
          </w:tcPr>
          <w:p w14:paraId="1CB947D0"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1.55 (0.90-2.66)</w:t>
            </w:r>
          </w:p>
        </w:tc>
      </w:tr>
      <w:tr w:rsidR="005A0401" w14:paraId="76334900" w14:textId="77777777" w:rsidTr="00E841BE">
        <w:trPr>
          <w:jc w:val="center"/>
        </w:trPr>
        <w:tc>
          <w:tcPr>
            <w:tcW w:w="2340" w:type="dxa"/>
            <w:tcBorders>
              <w:top w:val="nil"/>
              <w:left w:val="nil"/>
              <w:bottom w:val="nil"/>
              <w:right w:val="nil"/>
            </w:tcBorders>
            <w:vAlign w:val="bottom"/>
          </w:tcPr>
          <w:p w14:paraId="50043063" w14:textId="77777777" w:rsidR="00A92779" w:rsidRPr="00334801" w:rsidRDefault="00A92779" w:rsidP="00A92779">
            <w:pPr>
              <w:spacing w:after="0" w:line="240" w:lineRule="auto"/>
              <w:rPr>
                <w:rFonts w:cs="Arial"/>
                <w:color w:val="000000"/>
                <w:sz w:val="20"/>
              </w:rPr>
            </w:pPr>
            <w:r w:rsidRPr="00334801">
              <w:rPr>
                <w:rFonts w:cs="Arial"/>
                <w:color w:val="000000"/>
                <w:sz w:val="20"/>
              </w:rPr>
              <w:t>Oral Anti-Osteoporotic</w:t>
            </w:r>
          </w:p>
        </w:tc>
        <w:tc>
          <w:tcPr>
            <w:tcW w:w="1800" w:type="dxa"/>
            <w:tcBorders>
              <w:top w:val="nil"/>
              <w:left w:val="nil"/>
              <w:bottom w:val="nil"/>
              <w:right w:val="nil"/>
            </w:tcBorders>
            <w:vAlign w:val="bottom"/>
          </w:tcPr>
          <w:p w14:paraId="4BC11F34"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1.46 (0.62-3.42)</w:t>
            </w:r>
          </w:p>
        </w:tc>
        <w:tc>
          <w:tcPr>
            <w:tcW w:w="2430" w:type="dxa"/>
            <w:tcBorders>
              <w:top w:val="nil"/>
              <w:left w:val="nil"/>
              <w:bottom w:val="nil"/>
              <w:right w:val="nil"/>
            </w:tcBorders>
            <w:vAlign w:val="bottom"/>
          </w:tcPr>
          <w:p w14:paraId="4AD6F48B"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1.55 (0.10-22.9)</w:t>
            </w:r>
          </w:p>
        </w:tc>
        <w:tc>
          <w:tcPr>
            <w:tcW w:w="1890" w:type="dxa"/>
            <w:tcBorders>
              <w:top w:val="nil"/>
              <w:left w:val="nil"/>
              <w:bottom w:val="nil"/>
              <w:right w:val="nil"/>
            </w:tcBorders>
            <w:vAlign w:val="bottom"/>
          </w:tcPr>
          <w:p w14:paraId="33704C7E"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2.50 (0.23-27.2)</w:t>
            </w:r>
          </w:p>
        </w:tc>
      </w:tr>
      <w:tr w:rsidR="005A0401" w14:paraId="465E768A" w14:textId="77777777" w:rsidTr="00E841BE">
        <w:trPr>
          <w:jc w:val="center"/>
        </w:trPr>
        <w:tc>
          <w:tcPr>
            <w:tcW w:w="2340" w:type="dxa"/>
            <w:tcBorders>
              <w:top w:val="nil"/>
              <w:left w:val="nil"/>
              <w:right w:val="nil"/>
            </w:tcBorders>
            <w:vAlign w:val="bottom"/>
          </w:tcPr>
          <w:p w14:paraId="28846CED" w14:textId="77777777" w:rsidR="00A92779" w:rsidRPr="00334801" w:rsidRDefault="00A92779" w:rsidP="00A92779">
            <w:pPr>
              <w:spacing w:after="0" w:line="240" w:lineRule="auto"/>
              <w:rPr>
                <w:rFonts w:cs="Arial"/>
                <w:color w:val="000000"/>
                <w:sz w:val="20"/>
              </w:rPr>
            </w:pPr>
            <w:r w:rsidRPr="00334801">
              <w:rPr>
                <w:rFonts w:cs="Arial"/>
                <w:color w:val="000000"/>
                <w:sz w:val="20"/>
              </w:rPr>
              <w:t>Proton Pump Inhibitor</w:t>
            </w:r>
          </w:p>
        </w:tc>
        <w:tc>
          <w:tcPr>
            <w:tcW w:w="1800" w:type="dxa"/>
            <w:tcBorders>
              <w:top w:val="nil"/>
              <w:left w:val="nil"/>
              <w:right w:val="nil"/>
            </w:tcBorders>
            <w:vAlign w:val="bottom"/>
          </w:tcPr>
          <w:p w14:paraId="7B539789"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1.40 (1.20-1.63)</w:t>
            </w:r>
          </w:p>
        </w:tc>
        <w:tc>
          <w:tcPr>
            <w:tcW w:w="2430" w:type="dxa"/>
            <w:tcBorders>
              <w:top w:val="nil"/>
              <w:left w:val="nil"/>
              <w:right w:val="nil"/>
            </w:tcBorders>
            <w:vAlign w:val="bottom"/>
          </w:tcPr>
          <w:p w14:paraId="50E961FF"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1.63 (1.25-2.13)</w:t>
            </w:r>
          </w:p>
        </w:tc>
        <w:tc>
          <w:tcPr>
            <w:tcW w:w="1890" w:type="dxa"/>
            <w:tcBorders>
              <w:top w:val="nil"/>
              <w:left w:val="nil"/>
              <w:right w:val="nil"/>
            </w:tcBorders>
            <w:vAlign w:val="bottom"/>
          </w:tcPr>
          <w:p w14:paraId="24615DF6" w14:textId="77777777" w:rsidR="00A92779" w:rsidRPr="00334801" w:rsidRDefault="00A92779" w:rsidP="00A92779">
            <w:pPr>
              <w:spacing w:after="0" w:line="240" w:lineRule="auto"/>
              <w:jc w:val="center"/>
              <w:rPr>
                <w:rFonts w:cs="Arial"/>
                <w:color w:val="000000"/>
                <w:sz w:val="20"/>
              </w:rPr>
            </w:pPr>
            <w:r w:rsidRPr="00334801">
              <w:rPr>
                <w:rFonts w:cs="Arial"/>
                <w:color w:val="000000"/>
                <w:sz w:val="20"/>
              </w:rPr>
              <w:t>1.69 (1.22-2.34)</w:t>
            </w:r>
          </w:p>
        </w:tc>
      </w:tr>
    </w:tbl>
    <w:p w14:paraId="32479095" w14:textId="77777777" w:rsidR="00A92779" w:rsidRDefault="00A92779" w:rsidP="00E841BE">
      <w:pPr>
        <w:spacing w:after="0" w:line="240" w:lineRule="auto"/>
        <w:ind w:left="432"/>
        <w:rPr>
          <w:rFonts w:cs="Arial"/>
          <w:sz w:val="20"/>
        </w:rPr>
      </w:pPr>
      <w:r w:rsidRPr="00334801">
        <w:rPr>
          <w:rFonts w:cs="Arial"/>
          <w:sz w:val="20"/>
        </w:rPr>
        <w:t>CI: confidence interval; IRR: incidence rate ratio</w:t>
      </w:r>
    </w:p>
    <w:p w14:paraId="7E826F21" w14:textId="605618A3" w:rsidR="00A92779" w:rsidRDefault="00A92779" w:rsidP="00E841BE">
      <w:pPr>
        <w:spacing w:after="0" w:line="240" w:lineRule="auto"/>
        <w:ind w:left="432"/>
        <w:rPr>
          <w:rFonts w:cs="Arial"/>
          <w:sz w:val="20"/>
        </w:rPr>
      </w:pPr>
      <w:r>
        <w:rPr>
          <w:rFonts w:cs="Arial"/>
          <w:sz w:val="20"/>
          <w:vertAlign w:val="superscript"/>
        </w:rPr>
        <w:t>a</w:t>
      </w:r>
      <w:r>
        <w:rPr>
          <w:rFonts w:cs="Arial"/>
          <w:sz w:val="20"/>
        </w:rPr>
        <w:t>Among patients with pre-hospice admission use of medication class of interest</w:t>
      </w:r>
      <w:r w:rsidR="002147BB">
        <w:rPr>
          <w:rFonts w:cs="Arial"/>
          <w:sz w:val="20"/>
        </w:rPr>
        <w:t>.</w:t>
      </w:r>
    </w:p>
    <w:p w14:paraId="6CEE3E5F" w14:textId="1B88ACDB" w:rsidR="00A92779" w:rsidRDefault="00A92779" w:rsidP="00E841BE">
      <w:pPr>
        <w:spacing w:after="0" w:line="240" w:lineRule="auto"/>
        <w:ind w:left="432"/>
        <w:rPr>
          <w:rFonts w:cs="Arial"/>
          <w:sz w:val="20"/>
        </w:rPr>
      </w:pPr>
      <w:r>
        <w:rPr>
          <w:rFonts w:cs="Arial"/>
          <w:sz w:val="20"/>
          <w:vertAlign w:val="superscript"/>
        </w:rPr>
        <w:t>b</w:t>
      </w:r>
      <w:r>
        <w:rPr>
          <w:rFonts w:cs="Arial"/>
          <w:sz w:val="20"/>
        </w:rPr>
        <w:t xml:space="preserve">See </w:t>
      </w:r>
      <w:r>
        <w:rPr>
          <w:rFonts w:cs="Arial"/>
          <w:b/>
          <w:sz w:val="20"/>
        </w:rPr>
        <w:t>TABLE X</w:t>
      </w:r>
      <w:r w:rsidR="002147BB">
        <w:rPr>
          <w:rFonts w:cs="Arial"/>
          <w:b/>
          <w:sz w:val="20"/>
        </w:rPr>
        <w:t>I</w:t>
      </w:r>
      <w:r>
        <w:rPr>
          <w:rFonts w:cs="Arial"/>
          <w:b/>
          <w:sz w:val="20"/>
        </w:rPr>
        <w:t>X</w:t>
      </w:r>
      <w:r>
        <w:rPr>
          <w:rFonts w:cs="Arial"/>
          <w:sz w:val="20"/>
        </w:rPr>
        <w:t xml:space="preserve"> for final model adjustment variables</w:t>
      </w:r>
      <w:r w:rsidR="002147BB">
        <w:rPr>
          <w:rFonts w:cs="Arial"/>
          <w:sz w:val="20"/>
        </w:rPr>
        <w:t>.</w:t>
      </w:r>
    </w:p>
    <w:p w14:paraId="68286D87" w14:textId="77777777" w:rsidR="00CC576E" w:rsidRDefault="00CC576E" w:rsidP="005A0401">
      <w:pPr>
        <w:spacing w:after="0" w:line="240" w:lineRule="auto"/>
        <w:rPr>
          <w:rFonts w:cs="Arial"/>
          <w:sz w:val="20"/>
        </w:rPr>
      </w:pPr>
    </w:p>
    <w:p w14:paraId="71FEC8B4" w14:textId="77777777" w:rsidR="00CC576E" w:rsidRDefault="00CC576E" w:rsidP="00CC576E">
      <w:pPr>
        <w:spacing w:after="0" w:line="240" w:lineRule="auto"/>
        <w:ind w:left="576"/>
        <w:rPr>
          <w:rFonts w:cs="Arial"/>
          <w:sz w:val="20"/>
        </w:rPr>
      </w:pPr>
    </w:p>
    <w:p w14:paraId="56669A79" w14:textId="77777777" w:rsidR="00CC576E" w:rsidRDefault="00CC576E" w:rsidP="00CC576E">
      <w:pPr>
        <w:spacing w:after="0" w:line="240" w:lineRule="auto"/>
        <w:ind w:left="576"/>
        <w:rPr>
          <w:rFonts w:cs="Arial"/>
          <w:sz w:val="20"/>
        </w:rPr>
      </w:pPr>
    </w:p>
    <w:p w14:paraId="3941022D" w14:textId="77777777" w:rsidR="00CC576E" w:rsidRDefault="00CC576E" w:rsidP="00CC576E">
      <w:pPr>
        <w:spacing w:after="0" w:line="240" w:lineRule="auto"/>
        <w:ind w:left="576"/>
        <w:rPr>
          <w:rFonts w:cs="Arial"/>
          <w:sz w:val="20"/>
        </w:rPr>
      </w:pPr>
    </w:p>
    <w:p w14:paraId="1674D42E" w14:textId="77777777" w:rsidR="0095598B" w:rsidRDefault="0095598B" w:rsidP="00CC576E">
      <w:pPr>
        <w:spacing w:after="0" w:line="240" w:lineRule="auto"/>
        <w:ind w:left="576"/>
        <w:rPr>
          <w:rFonts w:cs="Arial"/>
          <w:sz w:val="20"/>
        </w:rPr>
      </w:pPr>
    </w:p>
    <w:p w14:paraId="1AFCAA5A" w14:textId="77777777" w:rsidR="0095598B" w:rsidRDefault="0095598B" w:rsidP="00CC576E">
      <w:pPr>
        <w:spacing w:after="0" w:line="240" w:lineRule="auto"/>
        <w:ind w:left="576"/>
        <w:rPr>
          <w:rFonts w:cs="Arial"/>
          <w:sz w:val="20"/>
        </w:rPr>
      </w:pPr>
    </w:p>
    <w:p w14:paraId="6A1FF6AA" w14:textId="77777777" w:rsidR="0095598B" w:rsidRDefault="0095598B" w:rsidP="00CC576E">
      <w:pPr>
        <w:spacing w:after="0" w:line="240" w:lineRule="auto"/>
        <w:ind w:left="576"/>
        <w:rPr>
          <w:rFonts w:cs="Arial"/>
          <w:sz w:val="20"/>
        </w:rPr>
      </w:pPr>
    </w:p>
    <w:p w14:paraId="0DFD599C" w14:textId="77777777" w:rsidR="00CC576E" w:rsidRDefault="00CC576E" w:rsidP="00CC576E">
      <w:pPr>
        <w:spacing w:after="0" w:line="240" w:lineRule="auto"/>
        <w:ind w:left="576"/>
        <w:rPr>
          <w:rFonts w:cs="Arial"/>
          <w:sz w:val="20"/>
        </w:rPr>
      </w:pPr>
    </w:p>
    <w:p w14:paraId="4B63604E" w14:textId="16FC584C" w:rsidR="00CC576E" w:rsidRDefault="002147BB" w:rsidP="00CC576E">
      <w:pPr>
        <w:spacing w:after="0" w:line="240" w:lineRule="auto"/>
        <w:ind w:left="576"/>
        <w:jc w:val="center"/>
        <w:rPr>
          <w:rFonts w:cs="Arial"/>
          <w:b/>
          <w:szCs w:val="22"/>
        </w:rPr>
      </w:pPr>
      <w:r>
        <w:rPr>
          <w:rFonts w:cs="Arial"/>
          <w:b/>
          <w:szCs w:val="22"/>
        </w:rPr>
        <w:t>TABLE XVIII</w:t>
      </w:r>
    </w:p>
    <w:p w14:paraId="53EEBBDF" w14:textId="77777777" w:rsidR="00CC576E" w:rsidRPr="00CC576E" w:rsidRDefault="00CC576E" w:rsidP="00CC576E">
      <w:pPr>
        <w:spacing w:after="0" w:line="240" w:lineRule="auto"/>
        <w:ind w:left="576"/>
        <w:jc w:val="center"/>
        <w:rPr>
          <w:rFonts w:cs="Arial"/>
          <w:b/>
          <w:szCs w:val="22"/>
        </w:rPr>
      </w:pPr>
    </w:p>
    <w:p w14:paraId="08AA4A7C" w14:textId="3F37C765" w:rsidR="00CC576E" w:rsidRDefault="00086B0C" w:rsidP="002C0F95">
      <w:pPr>
        <w:pStyle w:val="Caption"/>
        <w:ind w:firstLine="90"/>
        <w:rPr>
          <w:rFonts w:cs="Arial"/>
          <w:caps w:val="0"/>
          <w:szCs w:val="22"/>
        </w:rPr>
      </w:pPr>
      <w:bookmarkStart w:id="140" w:name="_Toc507329287"/>
      <w:r w:rsidRPr="00F956C9">
        <w:t>SENSITIVITY ANALYSES AND STRATIFICATION BY TIME FROM HOSPICE ADMISSION TO INDEX DATE FOR THE ASSOCIATION BETWEEN BURDENSOME HEALTH CARE TRANSITIONS AND DISPENSING OF ONE OR MORE LIMITED BENEFIT MEDICATIONS</w:t>
      </w:r>
      <w:bookmarkEnd w:id="140"/>
    </w:p>
    <w:tbl>
      <w:tblPr>
        <w:tblStyle w:val="TableGrid"/>
        <w:tblW w:w="0" w:type="auto"/>
        <w:jc w:val="center"/>
        <w:tblLook w:val="04A0" w:firstRow="1" w:lastRow="0" w:firstColumn="1" w:lastColumn="0" w:noHBand="0" w:noVBand="1"/>
      </w:tblPr>
      <w:tblGrid>
        <w:gridCol w:w="2337"/>
        <w:gridCol w:w="2158"/>
        <w:gridCol w:w="1800"/>
        <w:gridCol w:w="2340"/>
      </w:tblGrid>
      <w:tr w:rsidR="00CC576E" w14:paraId="5EAE4E6D" w14:textId="77777777" w:rsidTr="0095598B">
        <w:trPr>
          <w:trHeight w:hRule="exact" w:val="288"/>
          <w:jc w:val="center"/>
        </w:trPr>
        <w:tc>
          <w:tcPr>
            <w:tcW w:w="2337" w:type="dxa"/>
            <w:tcBorders>
              <w:left w:val="nil"/>
              <w:bottom w:val="nil"/>
              <w:right w:val="nil"/>
            </w:tcBorders>
          </w:tcPr>
          <w:p w14:paraId="06A3FCEA" w14:textId="77777777" w:rsidR="00CC576E" w:rsidRPr="005A0401" w:rsidRDefault="00CC576E" w:rsidP="00CC576E">
            <w:pPr>
              <w:spacing w:after="0" w:line="240" w:lineRule="auto"/>
              <w:rPr>
                <w:rFonts w:cs="Arial"/>
                <w:b/>
                <w:sz w:val="20"/>
              </w:rPr>
            </w:pPr>
          </w:p>
        </w:tc>
        <w:tc>
          <w:tcPr>
            <w:tcW w:w="2158" w:type="dxa"/>
            <w:tcBorders>
              <w:left w:val="nil"/>
              <w:bottom w:val="nil"/>
              <w:right w:val="nil"/>
            </w:tcBorders>
          </w:tcPr>
          <w:p w14:paraId="5C2A50A2" w14:textId="77777777" w:rsidR="00CC576E" w:rsidRPr="005A0401" w:rsidRDefault="00CC576E" w:rsidP="00CC576E">
            <w:pPr>
              <w:spacing w:after="0" w:line="240" w:lineRule="auto"/>
              <w:jc w:val="center"/>
              <w:rPr>
                <w:rFonts w:cs="Arial"/>
                <w:b/>
                <w:sz w:val="20"/>
              </w:rPr>
            </w:pPr>
            <w:r w:rsidRPr="005A0401">
              <w:rPr>
                <w:rFonts w:cs="Arial"/>
                <w:b/>
                <w:sz w:val="20"/>
              </w:rPr>
              <w:t>Any Transition</w:t>
            </w:r>
          </w:p>
        </w:tc>
        <w:tc>
          <w:tcPr>
            <w:tcW w:w="1800" w:type="dxa"/>
            <w:tcBorders>
              <w:left w:val="nil"/>
              <w:bottom w:val="nil"/>
              <w:right w:val="nil"/>
            </w:tcBorders>
          </w:tcPr>
          <w:p w14:paraId="5E643675" w14:textId="62DC8B03" w:rsidR="00CC576E" w:rsidRPr="005A0401" w:rsidRDefault="005A0401" w:rsidP="005A0401">
            <w:pPr>
              <w:spacing w:after="0" w:line="240" w:lineRule="auto"/>
              <w:jc w:val="center"/>
              <w:rPr>
                <w:rFonts w:cs="Arial"/>
                <w:b/>
                <w:sz w:val="20"/>
              </w:rPr>
            </w:pPr>
            <w:r>
              <w:rPr>
                <w:rFonts w:cs="Arial"/>
                <w:b/>
                <w:sz w:val="20"/>
              </w:rPr>
              <w:t>Hospitalization</w:t>
            </w:r>
          </w:p>
        </w:tc>
        <w:tc>
          <w:tcPr>
            <w:tcW w:w="2340" w:type="dxa"/>
            <w:tcBorders>
              <w:left w:val="nil"/>
              <w:bottom w:val="nil"/>
              <w:right w:val="nil"/>
            </w:tcBorders>
          </w:tcPr>
          <w:p w14:paraId="458A1E04" w14:textId="41CDDD8A" w:rsidR="00CC576E" w:rsidRPr="005A0401" w:rsidRDefault="00CC576E" w:rsidP="005A0401">
            <w:pPr>
              <w:spacing w:after="0" w:line="240" w:lineRule="auto"/>
              <w:jc w:val="center"/>
              <w:rPr>
                <w:rFonts w:cs="Arial"/>
                <w:b/>
                <w:sz w:val="20"/>
              </w:rPr>
            </w:pPr>
            <w:r w:rsidRPr="005A0401">
              <w:rPr>
                <w:rFonts w:cs="Arial"/>
                <w:b/>
                <w:sz w:val="20"/>
              </w:rPr>
              <w:t>Hospice Discharge</w:t>
            </w:r>
          </w:p>
        </w:tc>
      </w:tr>
      <w:tr w:rsidR="00CC576E" w14:paraId="23EF24AA" w14:textId="77777777" w:rsidTr="005A0401">
        <w:trPr>
          <w:trHeight w:hRule="exact" w:val="288"/>
          <w:jc w:val="center"/>
        </w:trPr>
        <w:tc>
          <w:tcPr>
            <w:tcW w:w="2337" w:type="dxa"/>
            <w:tcBorders>
              <w:top w:val="nil"/>
              <w:left w:val="nil"/>
              <w:bottom w:val="single" w:sz="4" w:space="0" w:color="auto"/>
              <w:right w:val="nil"/>
            </w:tcBorders>
            <w:vAlign w:val="bottom"/>
          </w:tcPr>
          <w:p w14:paraId="600396AB" w14:textId="77777777" w:rsidR="00CC576E" w:rsidRPr="005A0401" w:rsidRDefault="00CC576E" w:rsidP="00CC576E">
            <w:pPr>
              <w:spacing w:after="0" w:line="240" w:lineRule="auto"/>
              <w:rPr>
                <w:rFonts w:cs="Arial"/>
                <w:b/>
                <w:sz w:val="20"/>
              </w:rPr>
            </w:pPr>
            <w:r w:rsidRPr="005A0401">
              <w:rPr>
                <w:rFonts w:cs="Arial"/>
                <w:b/>
                <w:sz w:val="20"/>
              </w:rPr>
              <w:t>Analysis</w:t>
            </w:r>
          </w:p>
        </w:tc>
        <w:tc>
          <w:tcPr>
            <w:tcW w:w="6298" w:type="dxa"/>
            <w:gridSpan w:val="3"/>
            <w:tcBorders>
              <w:top w:val="nil"/>
              <w:left w:val="nil"/>
              <w:bottom w:val="single" w:sz="4" w:space="0" w:color="auto"/>
              <w:right w:val="nil"/>
            </w:tcBorders>
            <w:vAlign w:val="bottom"/>
          </w:tcPr>
          <w:p w14:paraId="04B80D9E" w14:textId="5E9EABD8" w:rsidR="00CC576E" w:rsidRPr="005A0401" w:rsidRDefault="00CC576E" w:rsidP="00CC576E">
            <w:pPr>
              <w:spacing w:after="0" w:line="240" w:lineRule="auto"/>
              <w:jc w:val="center"/>
              <w:rPr>
                <w:rFonts w:cs="Arial"/>
                <w:b/>
                <w:sz w:val="20"/>
              </w:rPr>
            </w:pPr>
            <w:r w:rsidRPr="005A0401">
              <w:rPr>
                <w:rFonts w:cs="Arial"/>
                <w:b/>
                <w:sz w:val="20"/>
              </w:rPr>
              <w:t>Adjusted IRR (95% CI)</w:t>
            </w:r>
          </w:p>
        </w:tc>
      </w:tr>
      <w:tr w:rsidR="00CC576E" w14:paraId="687D0BE8" w14:textId="77777777" w:rsidTr="005A0401">
        <w:trPr>
          <w:jc w:val="center"/>
        </w:trPr>
        <w:tc>
          <w:tcPr>
            <w:tcW w:w="2337" w:type="dxa"/>
            <w:tcBorders>
              <w:left w:val="nil"/>
              <w:bottom w:val="nil"/>
              <w:right w:val="nil"/>
            </w:tcBorders>
            <w:vAlign w:val="bottom"/>
          </w:tcPr>
          <w:p w14:paraId="285E656D" w14:textId="77777777" w:rsidR="00CC576E" w:rsidRPr="00172CD8" w:rsidRDefault="00CC576E" w:rsidP="00CC576E">
            <w:pPr>
              <w:spacing w:after="0" w:line="240" w:lineRule="auto"/>
              <w:rPr>
                <w:rFonts w:cs="Arial"/>
                <w:color w:val="000000"/>
                <w:sz w:val="20"/>
              </w:rPr>
            </w:pPr>
            <w:r w:rsidRPr="00172CD8">
              <w:rPr>
                <w:rFonts w:cs="Arial"/>
                <w:color w:val="000000"/>
                <w:sz w:val="20"/>
              </w:rPr>
              <w:t>Base Case</w:t>
            </w:r>
          </w:p>
        </w:tc>
        <w:tc>
          <w:tcPr>
            <w:tcW w:w="2158" w:type="dxa"/>
            <w:tcBorders>
              <w:left w:val="nil"/>
              <w:bottom w:val="nil"/>
              <w:right w:val="nil"/>
            </w:tcBorders>
            <w:vAlign w:val="bottom"/>
          </w:tcPr>
          <w:p w14:paraId="4865CE01"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1.33 (1.25-1.42)</w:t>
            </w:r>
          </w:p>
        </w:tc>
        <w:tc>
          <w:tcPr>
            <w:tcW w:w="1800" w:type="dxa"/>
            <w:tcBorders>
              <w:left w:val="nil"/>
              <w:bottom w:val="nil"/>
              <w:right w:val="nil"/>
            </w:tcBorders>
            <w:vAlign w:val="bottom"/>
          </w:tcPr>
          <w:p w14:paraId="049CDA2D"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1.56 (1.39-1.76)</w:t>
            </w:r>
          </w:p>
        </w:tc>
        <w:tc>
          <w:tcPr>
            <w:tcW w:w="2340" w:type="dxa"/>
            <w:tcBorders>
              <w:left w:val="nil"/>
              <w:bottom w:val="nil"/>
              <w:right w:val="nil"/>
            </w:tcBorders>
            <w:vAlign w:val="bottom"/>
          </w:tcPr>
          <w:p w14:paraId="106AB3B6"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1.32 (1.15-1.52)</w:t>
            </w:r>
          </w:p>
        </w:tc>
      </w:tr>
      <w:tr w:rsidR="00CC576E" w14:paraId="19269899" w14:textId="77777777" w:rsidTr="005A0401">
        <w:trPr>
          <w:jc w:val="center"/>
        </w:trPr>
        <w:tc>
          <w:tcPr>
            <w:tcW w:w="2337" w:type="dxa"/>
            <w:tcBorders>
              <w:top w:val="nil"/>
              <w:left w:val="nil"/>
              <w:bottom w:val="nil"/>
              <w:right w:val="nil"/>
            </w:tcBorders>
            <w:vAlign w:val="bottom"/>
          </w:tcPr>
          <w:p w14:paraId="203EA55D" w14:textId="77777777" w:rsidR="00CC576E" w:rsidRPr="00172CD8" w:rsidRDefault="00CC576E" w:rsidP="00CC576E">
            <w:pPr>
              <w:spacing w:after="0" w:line="240" w:lineRule="auto"/>
              <w:rPr>
                <w:rFonts w:cs="Arial"/>
                <w:color w:val="000000"/>
                <w:sz w:val="20"/>
              </w:rPr>
            </w:pPr>
            <w:r>
              <w:rPr>
                <w:rFonts w:cs="Arial"/>
                <w:color w:val="000000"/>
                <w:sz w:val="20"/>
              </w:rPr>
              <w:t>Varied Allowable Discharge Gap (≤</w:t>
            </w:r>
            <w:r w:rsidRPr="00172CD8">
              <w:rPr>
                <w:rFonts w:cs="Arial"/>
                <w:color w:val="000000"/>
                <w:sz w:val="20"/>
              </w:rPr>
              <w:t>30d</w:t>
            </w:r>
            <w:r>
              <w:rPr>
                <w:rFonts w:cs="Arial"/>
                <w:color w:val="000000"/>
                <w:sz w:val="20"/>
              </w:rPr>
              <w:t>)</w:t>
            </w:r>
          </w:p>
        </w:tc>
        <w:tc>
          <w:tcPr>
            <w:tcW w:w="2158" w:type="dxa"/>
            <w:tcBorders>
              <w:top w:val="nil"/>
              <w:left w:val="nil"/>
              <w:bottom w:val="nil"/>
              <w:right w:val="nil"/>
            </w:tcBorders>
            <w:vAlign w:val="center"/>
          </w:tcPr>
          <w:p w14:paraId="1E5AB1B6"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1.34 (1.25-1.44)</w:t>
            </w:r>
          </w:p>
        </w:tc>
        <w:tc>
          <w:tcPr>
            <w:tcW w:w="1800" w:type="dxa"/>
            <w:tcBorders>
              <w:top w:val="nil"/>
              <w:left w:val="nil"/>
              <w:bottom w:val="nil"/>
              <w:right w:val="nil"/>
            </w:tcBorders>
            <w:vAlign w:val="center"/>
          </w:tcPr>
          <w:p w14:paraId="18604D30"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NA</w:t>
            </w:r>
          </w:p>
        </w:tc>
        <w:tc>
          <w:tcPr>
            <w:tcW w:w="2340" w:type="dxa"/>
            <w:tcBorders>
              <w:top w:val="nil"/>
              <w:left w:val="nil"/>
              <w:bottom w:val="nil"/>
              <w:right w:val="nil"/>
            </w:tcBorders>
            <w:vAlign w:val="center"/>
          </w:tcPr>
          <w:p w14:paraId="417DFB83"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1.06 (0.89-1.28)</w:t>
            </w:r>
          </w:p>
        </w:tc>
      </w:tr>
      <w:tr w:rsidR="00CC576E" w14:paraId="6F48BAFF" w14:textId="77777777" w:rsidTr="005A0401">
        <w:trPr>
          <w:jc w:val="center"/>
        </w:trPr>
        <w:tc>
          <w:tcPr>
            <w:tcW w:w="2337" w:type="dxa"/>
            <w:tcBorders>
              <w:top w:val="nil"/>
              <w:left w:val="nil"/>
              <w:bottom w:val="nil"/>
              <w:right w:val="nil"/>
            </w:tcBorders>
            <w:vAlign w:val="bottom"/>
          </w:tcPr>
          <w:p w14:paraId="78B8EE69" w14:textId="77777777" w:rsidR="00CC576E" w:rsidRPr="00172CD8" w:rsidRDefault="00CC576E" w:rsidP="00CC576E">
            <w:pPr>
              <w:spacing w:after="0" w:line="240" w:lineRule="auto"/>
              <w:rPr>
                <w:rFonts w:cs="Arial"/>
                <w:color w:val="000000"/>
                <w:sz w:val="20"/>
              </w:rPr>
            </w:pPr>
            <w:r>
              <w:rPr>
                <w:rFonts w:cs="Arial"/>
                <w:color w:val="000000"/>
                <w:sz w:val="20"/>
              </w:rPr>
              <w:t>Varied Allowable Discharge Gap (≤18</w:t>
            </w:r>
            <w:r w:rsidRPr="00172CD8">
              <w:rPr>
                <w:rFonts w:cs="Arial"/>
                <w:color w:val="000000"/>
                <w:sz w:val="20"/>
              </w:rPr>
              <w:t>0d</w:t>
            </w:r>
            <w:r>
              <w:rPr>
                <w:rFonts w:cs="Arial"/>
                <w:color w:val="000000"/>
                <w:sz w:val="20"/>
              </w:rPr>
              <w:t>)</w:t>
            </w:r>
          </w:p>
        </w:tc>
        <w:tc>
          <w:tcPr>
            <w:tcW w:w="2158" w:type="dxa"/>
            <w:tcBorders>
              <w:top w:val="nil"/>
              <w:left w:val="nil"/>
              <w:bottom w:val="nil"/>
              <w:right w:val="nil"/>
            </w:tcBorders>
            <w:vAlign w:val="center"/>
          </w:tcPr>
          <w:p w14:paraId="699F2143"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1.39 (1.30-1.47)</w:t>
            </w:r>
          </w:p>
        </w:tc>
        <w:tc>
          <w:tcPr>
            <w:tcW w:w="1800" w:type="dxa"/>
            <w:tcBorders>
              <w:top w:val="nil"/>
              <w:left w:val="nil"/>
              <w:bottom w:val="nil"/>
              <w:right w:val="nil"/>
            </w:tcBorders>
            <w:vAlign w:val="center"/>
          </w:tcPr>
          <w:p w14:paraId="18CBEF91"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NA</w:t>
            </w:r>
          </w:p>
        </w:tc>
        <w:tc>
          <w:tcPr>
            <w:tcW w:w="2340" w:type="dxa"/>
            <w:tcBorders>
              <w:top w:val="nil"/>
              <w:left w:val="nil"/>
              <w:bottom w:val="nil"/>
              <w:right w:val="nil"/>
            </w:tcBorders>
            <w:vAlign w:val="center"/>
          </w:tcPr>
          <w:p w14:paraId="62B25A8D"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1.41 (1.25-1.59)</w:t>
            </w:r>
          </w:p>
        </w:tc>
      </w:tr>
      <w:tr w:rsidR="00CC576E" w14:paraId="0DEE4929" w14:textId="77777777" w:rsidTr="005A0401">
        <w:trPr>
          <w:jc w:val="center"/>
        </w:trPr>
        <w:tc>
          <w:tcPr>
            <w:tcW w:w="2337" w:type="dxa"/>
            <w:tcBorders>
              <w:top w:val="nil"/>
              <w:left w:val="nil"/>
              <w:bottom w:val="nil"/>
              <w:right w:val="nil"/>
            </w:tcBorders>
            <w:vAlign w:val="bottom"/>
          </w:tcPr>
          <w:p w14:paraId="543AB86E" w14:textId="77777777" w:rsidR="00CC576E" w:rsidRPr="00172CD8" w:rsidRDefault="00CC576E" w:rsidP="00CC576E">
            <w:pPr>
              <w:spacing w:after="0" w:line="240" w:lineRule="auto"/>
              <w:rPr>
                <w:rFonts w:cs="Arial"/>
                <w:color w:val="000000"/>
                <w:sz w:val="20"/>
              </w:rPr>
            </w:pPr>
            <w:r>
              <w:rPr>
                <w:rFonts w:cs="Arial"/>
                <w:color w:val="000000"/>
                <w:sz w:val="20"/>
              </w:rPr>
              <w:t>Varied F</w:t>
            </w:r>
            <w:r w:rsidRPr="00172CD8">
              <w:rPr>
                <w:rFonts w:cs="Arial"/>
                <w:color w:val="000000"/>
                <w:sz w:val="20"/>
              </w:rPr>
              <w:t>ollow-up</w:t>
            </w:r>
            <w:r>
              <w:rPr>
                <w:rFonts w:cs="Arial"/>
                <w:color w:val="000000"/>
                <w:sz w:val="20"/>
              </w:rPr>
              <w:t xml:space="preserve"> (3d)</w:t>
            </w:r>
          </w:p>
        </w:tc>
        <w:tc>
          <w:tcPr>
            <w:tcW w:w="2158" w:type="dxa"/>
            <w:tcBorders>
              <w:top w:val="nil"/>
              <w:left w:val="nil"/>
              <w:bottom w:val="nil"/>
              <w:right w:val="nil"/>
            </w:tcBorders>
            <w:vAlign w:val="bottom"/>
          </w:tcPr>
          <w:p w14:paraId="6BC22E19"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1.55 (1.43-1.68)</w:t>
            </w:r>
          </w:p>
        </w:tc>
        <w:tc>
          <w:tcPr>
            <w:tcW w:w="1800" w:type="dxa"/>
            <w:tcBorders>
              <w:top w:val="nil"/>
              <w:left w:val="nil"/>
              <w:bottom w:val="nil"/>
              <w:right w:val="nil"/>
            </w:tcBorders>
            <w:vAlign w:val="bottom"/>
          </w:tcPr>
          <w:p w14:paraId="136F62A1"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2.11 (1.84-2.41)</w:t>
            </w:r>
          </w:p>
        </w:tc>
        <w:tc>
          <w:tcPr>
            <w:tcW w:w="2340" w:type="dxa"/>
            <w:tcBorders>
              <w:top w:val="nil"/>
              <w:left w:val="nil"/>
              <w:bottom w:val="nil"/>
              <w:right w:val="nil"/>
            </w:tcBorders>
            <w:vAlign w:val="bottom"/>
          </w:tcPr>
          <w:p w14:paraId="3327838B"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1.40 (1.17-1.66)</w:t>
            </w:r>
          </w:p>
        </w:tc>
      </w:tr>
      <w:tr w:rsidR="00CC576E" w14:paraId="20B0A1DA" w14:textId="77777777" w:rsidTr="005A0401">
        <w:trPr>
          <w:jc w:val="center"/>
        </w:trPr>
        <w:tc>
          <w:tcPr>
            <w:tcW w:w="2337" w:type="dxa"/>
            <w:tcBorders>
              <w:top w:val="nil"/>
              <w:left w:val="nil"/>
              <w:bottom w:val="nil"/>
              <w:right w:val="nil"/>
            </w:tcBorders>
            <w:vAlign w:val="bottom"/>
          </w:tcPr>
          <w:p w14:paraId="09795F52" w14:textId="77777777" w:rsidR="00CC576E" w:rsidRPr="00172CD8" w:rsidRDefault="00CC576E" w:rsidP="00CC576E">
            <w:pPr>
              <w:spacing w:after="0" w:line="240" w:lineRule="auto"/>
              <w:rPr>
                <w:rFonts w:cs="Arial"/>
                <w:color w:val="000000"/>
                <w:sz w:val="20"/>
              </w:rPr>
            </w:pPr>
            <w:r>
              <w:rPr>
                <w:rFonts w:cs="Arial"/>
                <w:color w:val="000000"/>
                <w:sz w:val="20"/>
              </w:rPr>
              <w:t>Varied Follow-up (14d)</w:t>
            </w:r>
          </w:p>
        </w:tc>
        <w:tc>
          <w:tcPr>
            <w:tcW w:w="2158" w:type="dxa"/>
            <w:tcBorders>
              <w:top w:val="nil"/>
              <w:left w:val="nil"/>
              <w:bottom w:val="nil"/>
              <w:right w:val="nil"/>
            </w:tcBorders>
            <w:vAlign w:val="bottom"/>
          </w:tcPr>
          <w:p w14:paraId="104A93D3"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1.22 (1.16-1.29)</w:t>
            </w:r>
          </w:p>
        </w:tc>
        <w:tc>
          <w:tcPr>
            <w:tcW w:w="1800" w:type="dxa"/>
            <w:tcBorders>
              <w:top w:val="nil"/>
              <w:left w:val="nil"/>
              <w:bottom w:val="nil"/>
              <w:right w:val="nil"/>
            </w:tcBorders>
            <w:vAlign w:val="bottom"/>
          </w:tcPr>
          <w:p w14:paraId="1815C0A0"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1.39 (1.26-1.54)</w:t>
            </w:r>
          </w:p>
        </w:tc>
        <w:tc>
          <w:tcPr>
            <w:tcW w:w="2340" w:type="dxa"/>
            <w:tcBorders>
              <w:top w:val="nil"/>
              <w:left w:val="nil"/>
              <w:bottom w:val="nil"/>
              <w:right w:val="nil"/>
            </w:tcBorders>
            <w:vAlign w:val="bottom"/>
          </w:tcPr>
          <w:p w14:paraId="158B6BBB"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1.17 (1.04-1.31)</w:t>
            </w:r>
          </w:p>
        </w:tc>
      </w:tr>
      <w:tr w:rsidR="00CC576E" w14:paraId="337ED82A" w14:textId="77777777" w:rsidTr="005A0401">
        <w:trPr>
          <w:jc w:val="center"/>
        </w:trPr>
        <w:tc>
          <w:tcPr>
            <w:tcW w:w="2337" w:type="dxa"/>
            <w:tcBorders>
              <w:top w:val="nil"/>
              <w:left w:val="nil"/>
              <w:bottom w:val="nil"/>
              <w:right w:val="nil"/>
            </w:tcBorders>
            <w:vAlign w:val="bottom"/>
          </w:tcPr>
          <w:p w14:paraId="333DF586" w14:textId="77777777" w:rsidR="00CC576E" w:rsidRPr="00172CD8" w:rsidRDefault="00CC576E" w:rsidP="00CC576E">
            <w:pPr>
              <w:spacing w:after="0" w:line="240" w:lineRule="auto"/>
              <w:rPr>
                <w:rFonts w:cs="Arial"/>
                <w:color w:val="000000"/>
                <w:sz w:val="20"/>
              </w:rPr>
            </w:pPr>
            <w:r>
              <w:rPr>
                <w:rFonts w:cs="Arial"/>
                <w:color w:val="000000"/>
                <w:sz w:val="20"/>
              </w:rPr>
              <w:t>Time to Index</w:t>
            </w:r>
            <w:r w:rsidRPr="00172CD8">
              <w:rPr>
                <w:rFonts w:cs="Arial"/>
                <w:color w:val="000000"/>
                <w:sz w:val="20"/>
              </w:rPr>
              <w:t xml:space="preserve"> &lt;14d</w:t>
            </w:r>
          </w:p>
        </w:tc>
        <w:tc>
          <w:tcPr>
            <w:tcW w:w="2158" w:type="dxa"/>
            <w:tcBorders>
              <w:top w:val="nil"/>
              <w:left w:val="nil"/>
              <w:bottom w:val="nil"/>
              <w:right w:val="nil"/>
            </w:tcBorders>
            <w:vAlign w:val="bottom"/>
          </w:tcPr>
          <w:p w14:paraId="6B00DA89"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1.26 (1.09-1.45)</w:t>
            </w:r>
          </w:p>
        </w:tc>
        <w:tc>
          <w:tcPr>
            <w:tcW w:w="1800" w:type="dxa"/>
            <w:tcBorders>
              <w:top w:val="nil"/>
              <w:left w:val="nil"/>
              <w:bottom w:val="nil"/>
              <w:right w:val="nil"/>
            </w:tcBorders>
            <w:vAlign w:val="bottom"/>
          </w:tcPr>
          <w:p w14:paraId="1ACCB734"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1.39 (1.04-1.86)</w:t>
            </w:r>
          </w:p>
        </w:tc>
        <w:tc>
          <w:tcPr>
            <w:tcW w:w="2340" w:type="dxa"/>
            <w:tcBorders>
              <w:top w:val="nil"/>
              <w:left w:val="nil"/>
              <w:bottom w:val="nil"/>
              <w:right w:val="nil"/>
            </w:tcBorders>
            <w:vAlign w:val="bottom"/>
          </w:tcPr>
          <w:p w14:paraId="3A9CFC10"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1.26 (0.96-1.65)</w:t>
            </w:r>
          </w:p>
        </w:tc>
      </w:tr>
      <w:tr w:rsidR="00CC576E" w14:paraId="3484C7FD" w14:textId="77777777" w:rsidTr="005A0401">
        <w:trPr>
          <w:jc w:val="center"/>
        </w:trPr>
        <w:tc>
          <w:tcPr>
            <w:tcW w:w="2337" w:type="dxa"/>
            <w:tcBorders>
              <w:top w:val="nil"/>
              <w:left w:val="nil"/>
              <w:bottom w:val="nil"/>
              <w:right w:val="nil"/>
            </w:tcBorders>
            <w:vAlign w:val="bottom"/>
          </w:tcPr>
          <w:p w14:paraId="2437A1BF" w14:textId="77777777" w:rsidR="00CC576E" w:rsidRPr="00172CD8" w:rsidRDefault="00CC576E" w:rsidP="00CC576E">
            <w:pPr>
              <w:spacing w:after="0" w:line="240" w:lineRule="auto"/>
              <w:rPr>
                <w:rFonts w:cs="Arial"/>
                <w:color w:val="000000"/>
                <w:sz w:val="20"/>
              </w:rPr>
            </w:pPr>
            <w:r>
              <w:rPr>
                <w:rFonts w:cs="Arial"/>
                <w:color w:val="000000"/>
                <w:sz w:val="20"/>
              </w:rPr>
              <w:t>Time to Index</w:t>
            </w:r>
            <w:r w:rsidRPr="00172CD8">
              <w:rPr>
                <w:rFonts w:cs="Arial"/>
                <w:color w:val="000000"/>
                <w:sz w:val="20"/>
              </w:rPr>
              <w:t xml:space="preserve"> 15-29d</w:t>
            </w:r>
          </w:p>
        </w:tc>
        <w:tc>
          <w:tcPr>
            <w:tcW w:w="2158" w:type="dxa"/>
            <w:tcBorders>
              <w:top w:val="nil"/>
              <w:left w:val="nil"/>
              <w:bottom w:val="nil"/>
              <w:right w:val="nil"/>
            </w:tcBorders>
            <w:vAlign w:val="bottom"/>
          </w:tcPr>
          <w:p w14:paraId="0544D1BD"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1.32 (1.13-1.55)</w:t>
            </w:r>
          </w:p>
        </w:tc>
        <w:tc>
          <w:tcPr>
            <w:tcW w:w="1800" w:type="dxa"/>
            <w:tcBorders>
              <w:top w:val="nil"/>
              <w:left w:val="nil"/>
              <w:bottom w:val="nil"/>
              <w:right w:val="nil"/>
            </w:tcBorders>
            <w:vAlign w:val="bottom"/>
          </w:tcPr>
          <w:p w14:paraId="3C2EFFB9"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1.77 (1.36-2.30)</w:t>
            </w:r>
          </w:p>
        </w:tc>
        <w:tc>
          <w:tcPr>
            <w:tcW w:w="2340" w:type="dxa"/>
            <w:tcBorders>
              <w:top w:val="nil"/>
              <w:left w:val="nil"/>
              <w:bottom w:val="nil"/>
              <w:right w:val="nil"/>
            </w:tcBorders>
            <w:vAlign w:val="bottom"/>
          </w:tcPr>
          <w:p w14:paraId="721541A8"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1.47 (1.01-2.13)</w:t>
            </w:r>
          </w:p>
        </w:tc>
      </w:tr>
      <w:tr w:rsidR="00CC576E" w14:paraId="3C3C3EBA" w14:textId="77777777" w:rsidTr="005A0401">
        <w:trPr>
          <w:jc w:val="center"/>
        </w:trPr>
        <w:tc>
          <w:tcPr>
            <w:tcW w:w="2337" w:type="dxa"/>
            <w:tcBorders>
              <w:top w:val="nil"/>
              <w:left w:val="nil"/>
              <w:bottom w:val="nil"/>
              <w:right w:val="nil"/>
            </w:tcBorders>
            <w:vAlign w:val="bottom"/>
          </w:tcPr>
          <w:p w14:paraId="64F8F56C" w14:textId="77777777" w:rsidR="00CC576E" w:rsidRPr="00172CD8" w:rsidRDefault="00CC576E" w:rsidP="00CC576E">
            <w:pPr>
              <w:spacing w:after="0" w:line="240" w:lineRule="auto"/>
              <w:rPr>
                <w:rFonts w:cs="Arial"/>
                <w:color w:val="000000"/>
                <w:sz w:val="20"/>
              </w:rPr>
            </w:pPr>
            <w:r>
              <w:rPr>
                <w:rFonts w:cs="Arial"/>
                <w:color w:val="000000"/>
                <w:sz w:val="20"/>
              </w:rPr>
              <w:t>Time to Index</w:t>
            </w:r>
            <w:r w:rsidRPr="00172CD8">
              <w:rPr>
                <w:rFonts w:cs="Arial"/>
                <w:color w:val="000000"/>
                <w:sz w:val="20"/>
              </w:rPr>
              <w:t xml:space="preserve"> 30-89d</w:t>
            </w:r>
          </w:p>
        </w:tc>
        <w:tc>
          <w:tcPr>
            <w:tcW w:w="2158" w:type="dxa"/>
            <w:tcBorders>
              <w:top w:val="nil"/>
              <w:left w:val="nil"/>
              <w:bottom w:val="nil"/>
              <w:right w:val="nil"/>
            </w:tcBorders>
            <w:vAlign w:val="bottom"/>
          </w:tcPr>
          <w:p w14:paraId="3DEC1922"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1.37 (1.22-1.54)</w:t>
            </w:r>
          </w:p>
        </w:tc>
        <w:tc>
          <w:tcPr>
            <w:tcW w:w="1800" w:type="dxa"/>
            <w:tcBorders>
              <w:top w:val="nil"/>
              <w:left w:val="nil"/>
              <w:bottom w:val="nil"/>
              <w:right w:val="nil"/>
            </w:tcBorders>
            <w:vAlign w:val="bottom"/>
          </w:tcPr>
          <w:p w14:paraId="258D1295"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1.64 (1.35-2.00)</w:t>
            </w:r>
          </w:p>
        </w:tc>
        <w:tc>
          <w:tcPr>
            <w:tcW w:w="2340" w:type="dxa"/>
            <w:tcBorders>
              <w:top w:val="nil"/>
              <w:left w:val="nil"/>
              <w:bottom w:val="nil"/>
              <w:right w:val="nil"/>
            </w:tcBorders>
            <w:vAlign w:val="bottom"/>
          </w:tcPr>
          <w:p w14:paraId="300EA0D1"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1.25 (0.92-1.69)</w:t>
            </w:r>
          </w:p>
        </w:tc>
      </w:tr>
      <w:tr w:rsidR="00CC576E" w14:paraId="64CEF9A1" w14:textId="77777777" w:rsidTr="005A0401">
        <w:trPr>
          <w:jc w:val="center"/>
        </w:trPr>
        <w:tc>
          <w:tcPr>
            <w:tcW w:w="2337" w:type="dxa"/>
            <w:tcBorders>
              <w:top w:val="nil"/>
              <w:left w:val="nil"/>
              <w:bottom w:val="nil"/>
              <w:right w:val="nil"/>
            </w:tcBorders>
            <w:vAlign w:val="bottom"/>
          </w:tcPr>
          <w:p w14:paraId="6E3F4660" w14:textId="77777777" w:rsidR="00CC576E" w:rsidRPr="00172CD8" w:rsidRDefault="00CC576E" w:rsidP="00CC576E">
            <w:pPr>
              <w:spacing w:after="0" w:line="240" w:lineRule="auto"/>
              <w:rPr>
                <w:rFonts w:cs="Arial"/>
                <w:color w:val="000000"/>
                <w:sz w:val="20"/>
              </w:rPr>
            </w:pPr>
            <w:r>
              <w:rPr>
                <w:rFonts w:cs="Arial"/>
                <w:color w:val="000000"/>
                <w:sz w:val="20"/>
              </w:rPr>
              <w:t>Time to Index</w:t>
            </w:r>
            <w:r w:rsidRPr="00172CD8">
              <w:rPr>
                <w:rFonts w:cs="Arial"/>
                <w:color w:val="000000"/>
                <w:sz w:val="20"/>
              </w:rPr>
              <w:t xml:space="preserve"> 90-179d</w:t>
            </w:r>
          </w:p>
        </w:tc>
        <w:tc>
          <w:tcPr>
            <w:tcW w:w="2158" w:type="dxa"/>
            <w:tcBorders>
              <w:top w:val="nil"/>
              <w:left w:val="nil"/>
              <w:bottom w:val="nil"/>
              <w:right w:val="nil"/>
            </w:tcBorders>
            <w:vAlign w:val="bottom"/>
          </w:tcPr>
          <w:p w14:paraId="0C7BC4CB"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1.27 (1.07-1.49)</w:t>
            </w:r>
          </w:p>
        </w:tc>
        <w:tc>
          <w:tcPr>
            <w:tcW w:w="1800" w:type="dxa"/>
            <w:tcBorders>
              <w:top w:val="nil"/>
              <w:left w:val="nil"/>
              <w:bottom w:val="nil"/>
              <w:right w:val="nil"/>
            </w:tcBorders>
            <w:vAlign w:val="bottom"/>
          </w:tcPr>
          <w:p w14:paraId="0339533A"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1.35 (1.00-1.83)</w:t>
            </w:r>
          </w:p>
        </w:tc>
        <w:tc>
          <w:tcPr>
            <w:tcW w:w="2340" w:type="dxa"/>
            <w:tcBorders>
              <w:top w:val="nil"/>
              <w:left w:val="nil"/>
              <w:bottom w:val="nil"/>
              <w:right w:val="nil"/>
            </w:tcBorders>
            <w:vAlign w:val="bottom"/>
          </w:tcPr>
          <w:p w14:paraId="493A8361"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1.25 (0.89-1.77)</w:t>
            </w:r>
          </w:p>
        </w:tc>
      </w:tr>
      <w:tr w:rsidR="00CC576E" w14:paraId="5B41B225" w14:textId="77777777" w:rsidTr="005A0401">
        <w:trPr>
          <w:jc w:val="center"/>
        </w:trPr>
        <w:tc>
          <w:tcPr>
            <w:tcW w:w="2337" w:type="dxa"/>
            <w:tcBorders>
              <w:top w:val="nil"/>
              <w:left w:val="nil"/>
              <w:right w:val="nil"/>
            </w:tcBorders>
            <w:vAlign w:val="bottom"/>
          </w:tcPr>
          <w:p w14:paraId="734B7AB7" w14:textId="77777777" w:rsidR="00CC576E" w:rsidRPr="00172CD8" w:rsidRDefault="00CC576E" w:rsidP="00CC576E">
            <w:pPr>
              <w:spacing w:after="0" w:line="240" w:lineRule="auto"/>
              <w:rPr>
                <w:rFonts w:cs="Arial"/>
                <w:color w:val="000000"/>
                <w:sz w:val="20"/>
              </w:rPr>
            </w:pPr>
            <w:r>
              <w:rPr>
                <w:rFonts w:cs="Arial"/>
                <w:color w:val="000000"/>
                <w:sz w:val="20"/>
              </w:rPr>
              <w:t>Time to Index</w:t>
            </w:r>
            <w:r w:rsidRPr="00172CD8">
              <w:rPr>
                <w:rFonts w:cs="Arial"/>
                <w:color w:val="000000"/>
                <w:sz w:val="20"/>
              </w:rPr>
              <w:t xml:space="preserve"> 180d</w:t>
            </w:r>
            <w:r>
              <w:rPr>
                <w:rFonts w:cs="Arial"/>
                <w:color w:val="000000"/>
                <w:sz w:val="20"/>
              </w:rPr>
              <w:t>+</w:t>
            </w:r>
          </w:p>
        </w:tc>
        <w:tc>
          <w:tcPr>
            <w:tcW w:w="2158" w:type="dxa"/>
            <w:tcBorders>
              <w:top w:val="nil"/>
              <w:left w:val="nil"/>
              <w:right w:val="nil"/>
            </w:tcBorders>
            <w:vAlign w:val="bottom"/>
          </w:tcPr>
          <w:p w14:paraId="31AFA788"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1.44 (1.21-1.72)</w:t>
            </w:r>
          </w:p>
        </w:tc>
        <w:tc>
          <w:tcPr>
            <w:tcW w:w="1800" w:type="dxa"/>
            <w:tcBorders>
              <w:top w:val="nil"/>
              <w:left w:val="nil"/>
              <w:right w:val="nil"/>
            </w:tcBorders>
            <w:vAlign w:val="bottom"/>
          </w:tcPr>
          <w:p w14:paraId="3ABAD95C"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1.60 (1.16-2.21)</w:t>
            </w:r>
          </w:p>
        </w:tc>
        <w:tc>
          <w:tcPr>
            <w:tcW w:w="2340" w:type="dxa"/>
            <w:tcBorders>
              <w:top w:val="nil"/>
              <w:left w:val="nil"/>
              <w:right w:val="nil"/>
            </w:tcBorders>
            <w:vAlign w:val="bottom"/>
          </w:tcPr>
          <w:p w14:paraId="2D3166CE" w14:textId="77777777" w:rsidR="00CC576E" w:rsidRPr="00172CD8" w:rsidRDefault="00CC576E" w:rsidP="00CC576E">
            <w:pPr>
              <w:spacing w:after="0" w:line="240" w:lineRule="auto"/>
              <w:jc w:val="center"/>
              <w:rPr>
                <w:rFonts w:cs="Arial"/>
                <w:color w:val="000000"/>
                <w:sz w:val="20"/>
              </w:rPr>
            </w:pPr>
            <w:r w:rsidRPr="00172CD8">
              <w:rPr>
                <w:rFonts w:cs="Arial"/>
                <w:color w:val="000000"/>
                <w:sz w:val="20"/>
              </w:rPr>
              <w:t>1.33 (0.93-1.90)</w:t>
            </w:r>
          </w:p>
        </w:tc>
      </w:tr>
    </w:tbl>
    <w:p w14:paraId="4BE1F5EA" w14:textId="0994334B" w:rsidR="00CC576E" w:rsidRDefault="00CC576E" w:rsidP="005A0401">
      <w:pPr>
        <w:spacing w:after="0" w:line="240" w:lineRule="auto"/>
        <w:ind w:left="288"/>
        <w:rPr>
          <w:rFonts w:cs="Arial"/>
          <w:sz w:val="20"/>
        </w:rPr>
      </w:pPr>
      <w:r w:rsidRPr="00334801">
        <w:rPr>
          <w:rFonts w:cs="Arial"/>
          <w:sz w:val="20"/>
        </w:rPr>
        <w:t>CI: confidence interval; IRR: incidence rate ratio</w:t>
      </w:r>
      <w:r w:rsidR="00FC041D">
        <w:rPr>
          <w:rFonts w:cs="Arial"/>
          <w:sz w:val="20"/>
        </w:rPr>
        <w:t>; NA: not applicable</w:t>
      </w:r>
    </w:p>
    <w:p w14:paraId="50A72620" w14:textId="158067EA" w:rsidR="0095598B" w:rsidRDefault="00CC576E" w:rsidP="005A0401">
      <w:pPr>
        <w:spacing w:after="0" w:line="240" w:lineRule="auto"/>
        <w:ind w:left="288"/>
        <w:rPr>
          <w:rFonts w:cs="Arial"/>
          <w:b/>
          <w:sz w:val="20"/>
        </w:rPr>
        <w:sectPr w:rsidR="0095598B" w:rsidSect="007C6DC0">
          <w:pgSz w:w="12240" w:h="15840"/>
          <w:pgMar w:top="1440" w:right="1440" w:bottom="1440" w:left="1440" w:header="720" w:footer="720" w:gutter="0"/>
          <w:cols w:space="720"/>
          <w:docGrid w:linePitch="360"/>
        </w:sectPr>
      </w:pPr>
      <w:r>
        <w:rPr>
          <w:rFonts w:cs="Arial"/>
          <w:sz w:val="20"/>
          <w:vertAlign w:val="superscript"/>
        </w:rPr>
        <w:t>a</w:t>
      </w:r>
      <w:r w:rsidRPr="000C724E">
        <w:rPr>
          <w:rFonts w:cs="Arial"/>
          <w:sz w:val="20"/>
        </w:rPr>
        <w:t xml:space="preserve">Models adjusted for same </w:t>
      </w:r>
      <w:r>
        <w:rPr>
          <w:rFonts w:cs="Arial"/>
          <w:sz w:val="20"/>
        </w:rPr>
        <w:t>confounders</w:t>
      </w:r>
      <w:r w:rsidRPr="000C724E">
        <w:rPr>
          <w:rFonts w:cs="Arial"/>
          <w:sz w:val="20"/>
        </w:rPr>
        <w:t xml:space="preserve"> as in base case analysis for association between transitions and subsequent receipt of any limited benefit medication</w:t>
      </w:r>
      <w:r w:rsidR="005A0401">
        <w:rPr>
          <w:rFonts w:cs="Arial"/>
          <w:sz w:val="20"/>
        </w:rPr>
        <w:t xml:space="preserve">. See </w:t>
      </w:r>
      <w:r w:rsidR="005A0401">
        <w:rPr>
          <w:rFonts w:cs="Arial"/>
          <w:b/>
          <w:sz w:val="20"/>
        </w:rPr>
        <w:t>TABLE X</w:t>
      </w:r>
      <w:r w:rsidR="00FC041D">
        <w:rPr>
          <w:rFonts w:cs="Arial"/>
          <w:b/>
          <w:sz w:val="20"/>
        </w:rPr>
        <w:t>I</w:t>
      </w:r>
      <w:r w:rsidR="005A0401">
        <w:rPr>
          <w:rFonts w:cs="Arial"/>
          <w:b/>
          <w:sz w:val="20"/>
        </w:rPr>
        <w:t>X.</w:t>
      </w:r>
    </w:p>
    <w:p w14:paraId="36A400E7" w14:textId="280B32C3" w:rsidR="00CC576E" w:rsidRPr="005A0401" w:rsidRDefault="00CC576E" w:rsidP="005A0401">
      <w:pPr>
        <w:spacing w:after="0" w:line="240" w:lineRule="auto"/>
        <w:ind w:left="288"/>
        <w:rPr>
          <w:rFonts w:cs="Arial"/>
          <w:b/>
          <w:sz w:val="20"/>
        </w:rPr>
        <w:sectPr w:rsidR="00CC576E" w:rsidRPr="005A0401" w:rsidSect="0095598B">
          <w:type w:val="continuous"/>
          <w:pgSz w:w="12240" w:h="15840"/>
          <w:pgMar w:top="1440" w:right="1440" w:bottom="1440" w:left="1440" w:header="720" w:footer="720" w:gutter="0"/>
          <w:cols w:space="720"/>
          <w:docGrid w:linePitch="360"/>
        </w:sectPr>
      </w:pPr>
    </w:p>
    <w:p w14:paraId="237734AB" w14:textId="0A2E00AE" w:rsidR="00A92779" w:rsidRPr="007C6DC0" w:rsidRDefault="0095598B" w:rsidP="007B74F7">
      <w:pPr>
        <w:tabs>
          <w:tab w:val="left" w:pos="9360"/>
        </w:tabs>
        <w:spacing w:after="0" w:line="240" w:lineRule="auto"/>
        <w:jc w:val="center"/>
        <w:rPr>
          <w:b/>
        </w:rPr>
      </w:pPr>
      <w:r w:rsidRPr="007C6DC0">
        <w:rPr>
          <w:b/>
        </w:rPr>
        <w:lastRenderedPageBreak/>
        <w:t>TABLE X</w:t>
      </w:r>
      <w:r w:rsidR="00425E4F">
        <w:rPr>
          <w:b/>
        </w:rPr>
        <w:t>I</w:t>
      </w:r>
      <w:r w:rsidRPr="007C6DC0">
        <w:rPr>
          <w:b/>
        </w:rPr>
        <w:t>X</w:t>
      </w:r>
    </w:p>
    <w:p w14:paraId="23F72667" w14:textId="77777777" w:rsidR="0095598B" w:rsidRDefault="0095598B" w:rsidP="007C6DC0">
      <w:pPr>
        <w:pStyle w:val="Style2"/>
        <w:spacing w:before="0" w:after="0" w:line="240" w:lineRule="auto"/>
        <w:jc w:val="center"/>
        <w:rPr>
          <w:b/>
          <w:caps/>
          <w:u w:val="none"/>
        </w:rPr>
      </w:pPr>
    </w:p>
    <w:p w14:paraId="71D4C600" w14:textId="5DDE28D7" w:rsidR="0095598B" w:rsidRPr="002C7160" w:rsidRDefault="00086B0C" w:rsidP="00086B0C">
      <w:pPr>
        <w:pStyle w:val="Caption"/>
        <w:ind w:hanging="90"/>
        <w:rPr>
          <w:caps w:val="0"/>
        </w:rPr>
      </w:pPr>
      <w:bookmarkStart w:id="141" w:name="_Toc507329288"/>
      <w:r w:rsidRPr="00CF3D29">
        <w:t>MODEL ADJUSTMENT VARIABLES FOR ASSOCIATIONS BETWEEN BURDENSOME HEALTH CARE TRANSITIONS AFTER HOSPICE ADMISSION AND DISPENSING OF LIMITED BENEFIT MEDICATIONS</w:t>
      </w:r>
      <w:bookmarkEnd w:id="141"/>
    </w:p>
    <w:tbl>
      <w:tblPr>
        <w:tblStyle w:val="TableGrid"/>
        <w:tblW w:w="13585" w:type="dxa"/>
        <w:tblLook w:val="04A0" w:firstRow="1" w:lastRow="0" w:firstColumn="1" w:lastColumn="0" w:noHBand="0" w:noVBand="1"/>
      </w:tblPr>
      <w:tblGrid>
        <w:gridCol w:w="2245"/>
        <w:gridCol w:w="2340"/>
        <w:gridCol w:w="9000"/>
      </w:tblGrid>
      <w:tr w:rsidR="0095598B" w14:paraId="690B60AE" w14:textId="77777777" w:rsidTr="00A32EFB">
        <w:trPr>
          <w:trHeight w:hRule="exact" w:val="288"/>
        </w:trPr>
        <w:tc>
          <w:tcPr>
            <w:tcW w:w="2245" w:type="dxa"/>
            <w:tcBorders>
              <w:left w:val="nil"/>
              <w:bottom w:val="nil"/>
              <w:right w:val="nil"/>
            </w:tcBorders>
            <w:vAlign w:val="bottom"/>
          </w:tcPr>
          <w:p w14:paraId="019225B9" w14:textId="77777777" w:rsidR="0095598B" w:rsidRPr="00A32EFB" w:rsidRDefault="0095598B" w:rsidP="0095598B">
            <w:pPr>
              <w:spacing w:after="0" w:line="240" w:lineRule="auto"/>
              <w:rPr>
                <w:rFonts w:cs="Arial"/>
                <w:b/>
                <w:sz w:val="24"/>
                <w:szCs w:val="24"/>
              </w:rPr>
            </w:pPr>
          </w:p>
        </w:tc>
        <w:tc>
          <w:tcPr>
            <w:tcW w:w="2340" w:type="dxa"/>
            <w:tcBorders>
              <w:left w:val="nil"/>
              <w:bottom w:val="nil"/>
              <w:right w:val="nil"/>
            </w:tcBorders>
          </w:tcPr>
          <w:p w14:paraId="5EBDE95F" w14:textId="77777777" w:rsidR="0095598B" w:rsidRPr="00A32EFB" w:rsidRDefault="0095598B" w:rsidP="0095598B">
            <w:pPr>
              <w:spacing w:after="0" w:line="240" w:lineRule="auto"/>
              <w:jc w:val="center"/>
              <w:rPr>
                <w:rFonts w:cs="Arial"/>
                <w:b/>
                <w:sz w:val="20"/>
              </w:rPr>
            </w:pPr>
            <w:r w:rsidRPr="00A32EFB">
              <w:rPr>
                <w:rFonts w:cs="Arial"/>
                <w:b/>
                <w:sz w:val="20"/>
              </w:rPr>
              <w:t>Any Transition</w:t>
            </w:r>
          </w:p>
        </w:tc>
        <w:tc>
          <w:tcPr>
            <w:tcW w:w="9000" w:type="dxa"/>
            <w:tcBorders>
              <w:left w:val="nil"/>
              <w:bottom w:val="nil"/>
              <w:right w:val="nil"/>
            </w:tcBorders>
          </w:tcPr>
          <w:p w14:paraId="36AEC013" w14:textId="5DF1D03F" w:rsidR="0095598B" w:rsidRPr="00A32EFB" w:rsidRDefault="0095598B" w:rsidP="0095598B">
            <w:pPr>
              <w:spacing w:after="0" w:line="240" w:lineRule="auto"/>
              <w:jc w:val="center"/>
              <w:rPr>
                <w:rFonts w:cs="Arial"/>
                <w:b/>
                <w:sz w:val="20"/>
                <w:vertAlign w:val="superscript"/>
              </w:rPr>
            </w:pPr>
            <w:r w:rsidRPr="00A32EFB">
              <w:rPr>
                <w:rFonts w:cs="Arial"/>
                <w:b/>
                <w:sz w:val="20"/>
              </w:rPr>
              <w:t>Model Adjustment Variables</w:t>
            </w:r>
            <w:r w:rsidR="00A32EFB" w:rsidRPr="00A32EFB">
              <w:rPr>
                <w:rFonts w:cs="Arial"/>
                <w:b/>
                <w:sz w:val="20"/>
                <w:vertAlign w:val="superscript"/>
              </w:rPr>
              <w:t>a</w:t>
            </w:r>
          </w:p>
        </w:tc>
      </w:tr>
      <w:tr w:rsidR="0095598B" w14:paraId="472CADE3" w14:textId="77777777" w:rsidTr="00A32EFB">
        <w:trPr>
          <w:trHeight w:hRule="exact" w:val="288"/>
        </w:trPr>
        <w:tc>
          <w:tcPr>
            <w:tcW w:w="2245" w:type="dxa"/>
            <w:tcBorders>
              <w:top w:val="nil"/>
              <w:left w:val="nil"/>
              <w:bottom w:val="single" w:sz="4" w:space="0" w:color="auto"/>
              <w:right w:val="nil"/>
            </w:tcBorders>
            <w:vAlign w:val="bottom"/>
          </w:tcPr>
          <w:p w14:paraId="7488F3DC" w14:textId="77777777" w:rsidR="0095598B" w:rsidRPr="00A32EFB" w:rsidRDefault="0095598B" w:rsidP="0095598B">
            <w:pPr>
              <w:spacing w:after="0" w:line="240" w:lineRule="auto"/>
              <w:rPr>
                <w:rFonts w:cs="Arial"/>
                <w:b/>
                <w:bCs/>
                <w:color w:val="000000"/>
                <w:sz w:val="20"/>
              </w:rPr>
            </w:pPr>
            <w:r w:rsidRPr="00A32EFB">
              <w:rPr>
                <w:rFonts w:cs="Arial"/>
                <w:b/>
                <w:bCs/>
                <w:color w:val="000000"/>
                <w:sz w:val="20"/>
              </w:rPr>
              <w:t>Medication Class</w:t>
            </w:r>
          </w:p>
        </w:tc>
        <w:tc>
          <w:tcPr>
            <w:tcW w:w="2340" w:type="dxa"/>
            <w:tcBorders>
              <w:top w:val="nil"/>
              <w:left w:val="nil"/>
              <w:bottom w:val="single" w:sz="4" w:space="0" w:color="auto"/>
              <w:right w:val="nil"/>
            </w:tcBorders>
            <w:vAlign w:val="bottom"/>
          </w:tcPr>
          <w:p w14:paraId="45003A67" w14:textId="77777777" w:rsidR="0095598B" w:rsidRPr="00A32EFB" w:rsidRDefault="0095598B" w:rsidP="0095598B">
            <w:pPr>
              <w:spacing w:after="0" w:line="240" w:lineRule="auto"/>
              <w:jc w:val="center"/>
              <w:rPr>
                <w:rFonts w:cs="Arial"/>
                <w:b/>
                <w:sz w:val="20"/>
              </w:rPr>
            </w:pPr>
            <w:r w:rsidRPr="00A32EFB">
              <w:rPr>
                <w:rFonts w:cs="Arial"/>
                <w:b/>
                <w:sz w:val="20"/>
              </w:rPr>
              <w:t>Adjusted IRR (95% CI)</w:t>
            </w:r>
          </w:p>
        </w:tc>
        <w:tc>
          <w:tcPr>
            <w:tcW w:w="9000" w:type="dxa"/>
            <w:tcBorders>
              <w:top w:val="nil"/>
              <w:left w:val="nil"/>
              <w:bottom w:val="single" w:sz="4" w:space="0" w:color="auto"/>
              <w:right w:val="nil"/>
            </w:tcBorders>
            <w:vAlign w:val="bottom"/>
          </w:tcPr>
          <w:p w14:paraId="34CD6872" w14:textId="77777777" w:rsidR="0095598B" w:rsidRPr="00A32EFB" w:rsidRDefault="0095598B" w:rsidP="0095598B">
            <w:pPr>
              <w:spacing w:after="0" w:line="240" w:lineRule="auto"/>
              <w:jc w:val="center"/>
              <w:rPr>
                <w:rFonts w:cs="Arial"/>
                <w:b/>
                <w:sz w:val="20"/>
              </w:rPr>
            </w:pPr>
          </w:p>
        </w:tc>
      </w:tr>
      <w:tr w:rsidR="0095598B" w14:paraId="1DA7E8A4" w14:textId="77777777" w:rsidTr="001B56C8">
        <w:tc>
          <w:tcPr>
            <w:tcW w:w="2245" w:type="dxa"/>
            <w:tcBorders>
              <w:left w:val="nil"/>
              <w:bottom w:val="nil"/>
              <w:right w:val="nil"/>
            </w:tcBorders>
            <w:vAlign w:val="bottom"/>
          </w:tcPr>
          <w:p w14:paraId="1817BA74" w14:textId="12331A1C" w:rsidR="0095598B" w:rsidRPr="00334801" w:rsidRDefault="0095598B" w:rsidP="00E841BE">
            <w:pPr>
              <w:spacing w:after="0" w:line="240" w:lineRule="auto"/>
              <w:rPr>
                <w:rFonts w:cs="Arial"/>
                <w:color w:val="000000"/>
                <w:sz w:val="20"/>
              </w:rPr>
            </w:pPr>
            <w:r w:rsidRPr="00334801">
              <w:rPr>
                <w:rFonts w:cs="Arial"/>
                <w:color w:val="000000"/>
                <w:sz w:val="20"/>
              </w:rPr>
              <w:t>Any</w:t>
            </w:r>
            <w:r w:rsidR="00E841BE">
              <w:rPr>
                <w:rFonts w:cs="Arial"/>
                <w:color w:val="000000"/>
                <w:sz w:val="20"/>
              </w:rPr>
              <w:t xml:space="preserve"> LBM</w:t>
            </w:r>
          </w:p>
        </w:tc>
        <w:tc>
          <w:tcPr>
            <w:tcW w:w="2340" w:type="dxa"/>
            <w:tcBorders>
              <w:left w:val="nil"/>
              <w:bottom w:val="nil"/>
              <w:right w:val="nil"/>
            </w:tcBorders>
            <w:vAlign w:val="center"/>
          </w:tcPr>
          <w:p w14:paraId="6158B793"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1.33 (1.25-1.42)</w:t>
            </w:r>
          </w:p>
        </w:tc>
        <w:tc>
          <w:tcPr>
            <w:tcW w:w="9000" w:type="dxa"/>
            <w:tcBorders>
              <w:left w:val="nil"/>
              <w:bottom w:val="nil"/>
              <w:right w:val="nil"/>
            </w:tcBorders>
            <w:vAlign w:val="center"/>
          </w:tcPr>
          <w:p w14:paraId="23876E87"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w:t>
            </w:r>
          </w:p>
        </w:tc>
      </w:tr>
      <w:tr w:rsidR="0095598B" w14:paraId="1B05A794" w14:textId="77777777" w:rsidTr="00A32EFB">
        <w:tc>
          <w:tcPr>
            <w:tcW w:w="2245" w:type="dxa"/>
            <w:tcBorders>
              <w:top w:val="nil"/>
              <w:left w:val="nil"/>
              <w:bottom w:val="nil"/>
              <w:right w:val="nil"/>
            </w:tcBorders>
            <w:vAlign w:val="bottom"/>
          </w:tcPr>
          <w:p w14:paraId="4D94ACE0" w14:textId="77777777" w:rsidR="0095598B" w:rsidRPr="00334801" w:rsidRDefault="0095598B" w:rsidP="0095598B">
            <w:pPr>
              <w:spacing w:after="0" w:line="240" w:lineRule="auto"/>
              <w:rPr>
                <w:rFonts w:cs="Arial"/>
                <w:color w:val="000000"/>
                <w:sz w:val="20"/>
              </w:rPr>
            </w:pPr>
            <w:r w:rsidRPr="00334801">
              <w:rPr>
                <w:rFonts w:cs="Arial"/>
                <w:color w:val="000000"/>
                <w:sz w:val="20"/>
              </w:rPr>
              <w:t>Antihyperlipidemic</w:t>
            </w:r>
          </w:p>
        </w:tc>
        <w:tc>
          <w:tcPr>
            <w:tcW w:w="2340" w:type="dxa"/>
            <w:tcBorders>
              <w:top w:val="nil"/>
              <w:left w:val="nil"/>
              <w:bottom w:val="nil"/>
              <w:right w:val="nil"/>
            </w:tcBorders>
            <w:vAlign w:val="bottom"/>
          </w:tcPr>
          <w:p w14:paraId="5BB8EA49"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1.38 (1.13-1.70)</w:t>
            </w:r>
          </w:p>
        </w:tc>
        <w:tc>
          <w:tcPr>
            <w:tcW w:w="9000" w:type="dxa"/>
            <w:tcBorders>
              <w:top w:val="nil"/>
              <w:left w:val="nil"/>
              <w:bottom w:val="nil"/>
              <w:right w:val="nil"/>
            </w:tcBorders>
            <w:vAlign w:val="bottom"/>
          </w:tcPr>
          <w:p w14:paraId="6000D559"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 coronary atherosclerosis</w:t>
            </w:r>
          </w:p>
        </w:tc>
      </w:tr>
      <w:tr w:rsidR="0095598B" w14:paraId="06A412F4" w14:textId="77777777" w:rsidTr="00A32EFB">
        <w:tc>
          <w:tcPr>
            <w:tcW w:w="2245" w:type="dxa"/>
            <w:tcBorders>
              <w:top w:val="nil"/>
              <w:left w:val="nil"/>
              <w:bottom w:val="nil"/>
              <w:right w:val="nil"/>
            </w:tcBorders>
            <w:vAlign w:val="bottom"/>
          </w:tcPr>
          <w:p w14:paraId="42FA8FFD" w14:textId="77777777" w:rsidR="0095598B" w:rsidRPr="00334801" w:rsidRDefault="0095598B" w:rsidP="0095598B">
            <w:pPr>
              <w:spacing w:after="0" w:line="240" w:lineRule="auto"/>
              <w:rPr>
                <w:rFonts w:cs="Arial"/>
                <w:color w:val="000000"/>
                <w:sz w:val="20"/>
              </w:rPr>
            </w:pPr>
            <w:r w:rsidRPr="00334801">
              <w:rPr>
                <w:rFonts w:cs="Arial"/>
                <w:color w:val="000000"/>
                <w:sz w:val="20"/>
              </w:rPr>
              <w:t>Antihypertensive</w:t>
            </w:r>
          </w:p>
        </w:tc>
        <w:tc>
          <w:tcPr>
            <w:tcW w:w="2340" w:type="dxa"/>
            <w:tcBorders>
              <w:top w:val="nil"/>
              <w:left w:val="nil"/>
              <w:bottom w:val="nil"/>
              <w:right w:val="nil"/>
            </w:tcBorders>
            <w:vAlign w:val="bottom"/>
          </w:tcPr>
          <w:p w14:paraId="2172B1BB"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1.28 (1.16-1.40)</w:t>
            </w:r>
          </w:p>
        </w:tc>
        <w:tc>
          <w:tcPr>
            <w:tcW w:w="9000" w:type="dxa"/>
            <w:tcBorders>
              <w:top w:val="nil"/>
              <w:left w:val="nil"/>
              <w:bottom w:val="nil"/>
              <w:right w:val="nil"/>
            </w:tcBorders>
            <w:vAlign w:val="bottom"/>
          </w:tcPr>
          <w:p w14:paraId="48191E16"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w:t>
            </w:r>
          </w:p>
        </w:tc>
      </w:tr>
      <w:tr w:rsidR="0095598B" w14:paraId="5FD496A5" w14:textId="77777777" w:rsidTr="00A32EFB">
        <w:tc>
          <w:tcPr>
            <w:tcW w:w="2245" w:type="dxa"/>
            <w:tcBorders>
              <w:top w:val="nil"/>
              <w:left w:val="nil"/>
              <w:bottom w:val="nil"/>
              <w:right w:val="nil"/>
            </w:tcBorders>
            <w:vAlign w:val="bottom"/>
          </w:tcPr>
          <w:p w14:paraId="5F77CFC3" w14:textId="77777777" w:rsidR="0095598B" w:rsidRPr="00334801" w:rsidRDefault="0095598B" w:rsidP="0095598B">
            <w:pPr>
              <w:spacing w:after="0" w:line="240" w:lineRule="auto"/>
              <w:rPr>
                <w:rFonts w:cs="Arial"/>
                <w:color w:val="000000"/>
                <w:sz w:val="20"/>
              </w:rPr>
            </w:pPr>
            <w:r w:rsidRPr="00334801">
              <w:rPr>
                <w:rFonts w:cs="Arial"/>
                <w:color w:val="000000"/>
                <w:sz w:val="20"/>
              </w:rPr>
              <w:t>Oral Antidiabetic</w:t>
            </w:r>
          </w:p>
        </w:tc>
        <w:tc>
          <w:tcPr>
            <w:tcW w:w="2340" w:type="dxa"/>
            <w:tcBorders>
              <w:top w:val="nil"/>
              <w:left w:val="nil"/>
              <w:bottom w:val="nil"/>
              <w:right w:val="nil"/>
            </w:tcBorders>
            <w:vAlign w:val="bottom"/>
          </w:tcPr>
          <w:p w14:paraId="126A63BA"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1.02 (0.75-1.40)</w:t>
            </w:r>
          </w:p>
        </w:tc>
        <w:tc>
          <w:tcPr>
            <w:tcW w:w="9000" w:type="dxa"/>
            <w:tcBorders>
              <w:top w:val="nil"/>
              <w:left w:val="nil"/>
              <w:bottom w:val="nil"/>
              <w:right w:val="nil"/>
            </w:tcBorders>
            <w:vAlign w:val="bottom"/>
          </w:tcPr>
          <w:p w14:paraId="1680A207"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 diabetes</w:t>
            </w:r>
          </w:p>
        </w:tc>
      </w:tr>
      <w:tr w:rsidR="0095598B" w14:paraId="77B8342C" w14:textId="77777777" w:rsidTr="001B56C8">
        <w:tc>
          <w:tcPr>
            <w:tcW w:w="2245" w:type="dxa"/>
            <w:tcBorders>
              <w:top w:val="nil"/>
              <w:left w:val="nil"/>
              <w:bottom w:val="nil"/>
              <w:right w:val="nil"/>
            </w:tcBorders>
            <w:vAlign w:val="center"/>
          </w:tcPr>
          <w:p w14:paraId="79A4294E" w14:textId="77777777" w:rsidR="0095598B" w:rsidRPr="00334801" w:rsidRDefault="0095598B" w:rsidP="0095598B">
            <w:pPr>
              <w:spacing w:after="0" w:line="240" w:lineRule="auto"/>
              <w:rPr>
                <w:rFonts w:cs="Arial"/>
                <w:color w:val="000000"/>
                <w:sz w:val="20"/>
              </w:rPr>
            </w:pPr>
            <w:r w:rsidRPr="00334801">
              <w:rPr>
                <w:rFonts w:cs="Arial"/>
                <w:color w:val="000000"/>
                <w:sz w:val="20"/>
              </w:rPr>
              <w:t>Antiplatelet</w:t>
            </w:r>
          </w:p>
        </w:tc>
        <w:tc>
          <w:tcPr>
            <w:tcW w:w="2340" w:type="dxa"/>
            <w:tcBorders>
              <w:top w:val="nil"/>
              <w:left w:val="nil"/>
              <w:bottom w:val="nil"/>
              <w:right w:val="nil"/>
            </w:tcBorders>
            <w:vAlign w:val="center"/>
          </w:tcPr>
          <w:p w14:paraId="29D18EB9"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1.30 (0.77-2.20)</w:t>
            </w:r>
          </w:p>
        </w:tc>
        <w:tc>
          <w:tcPr>
            <w:tcW w:w="9000" w:type="dxa"/>
            <w:tcBorders>
              <w:top w:val="nil"/>
              <w:left w:val="nil"/>
              <w:bottom w:val="nil"/>
              <w:right w:val="nil"/>
            </w:tcBorders>
            <w:vAlign w:val="center"/>
          </w:tcPr>
          <w:p w14:paraId="675D0C92" w14:textId="77777777" w:rsidR="0095598B" w:rsidRPr="006D0DBA" w:rsidRDefault="0095598B" w:rsidP="0095598B">
            <w:pPr>
              <w:spacing w:after="0" w:line="240" w:lineRule="auto"/>
              <w:rPr>
                <w:rFonts w:cs="Arial"/>
                <w:b/>
                <w:color w:val="000000"/>
                <w:sz w:val="20"/>
              </w:rPr>
            </w:pPr>
            <w:r>
              <w:rPr>
                <w:rFonts w:cs="Arial"/>
                <w:color w:val="000000"/>
                <w:sz w:val="20"/>
              </w:rPr>
              <w:t>any prior use of inpatient hospice, post-index follow-up, coronary atherosclerosis, diabetes, hypertension</w:t>
            </w:r>
          </w:p>
        </w:tc>
      </w:tr>
      <w:tr w:rsidR="0095598B" w14:paraId="6165BE6D" w14:textId="77777777" w:rsidTr="001B56C8">
        <w:tc>
          <w:tcPr>
            <w:tcW w:w="2245" w:type="dxa"/>
            <w:tcBorders>
              <w:top w:val="nil"/>
              <w:left w:val="nil"/>
              <w:bottom w:val="nil"/>
              <w:right w:val="nil"/>
            </w:tcBorders>
            <w:vAlign w:val="center"/>
          </w:tcPr>
          <w:p w14:paraId="70B674D7" w14:textId="77777777" w:rsidR="0095598B" w:rsidRPr="00334801" w:rsidRDefault="0095598B" w:rsidP="0095598B">
            <w:pPr>
              <w:spacing w:after="0" w:line="240" w:lineRule="auto"/>
              <w:rPr>
                <w:rFonts w:cs="Arial"/>
                <w:color w:val="000000"/>
                <w:sz w:val="20"/>
              </w:rPr>
            </w:pPr>
            <w:r w:rsidRPr="00334801">
              <w:rPr>
                <w:rFonts w:cs="Arial"/>
                <w:color w:val="000000"/>
                <w:sz w:val="20"/>
              </w:rPr>
              <w:t>Anti-Dementia</w:t>
            </w:r>
          </w:p>
        </w:tc>
        <w:tc>
          <w:tcPr>
            <w:tcW w:w="2340" w:type="dxa"/>
            <w:tcBorders>
              <w:top w:val="nil"/>
              <w:left w:val="nil"/>
              <w:bottom w:val="nil"/>
              <w:right w:val="nil"/>
            </w:tcBorders>
            <w:vAlign w:val="center"/>
          </w:tcPr>
          <w:p w14:paraId="22AD5BDC"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1.24 (0.97-1.59)</w:t>
            </w:r>
          </w:p>
        </w:tc>
        <w:tc>
          <w:tcPr>
            <w:tcW w:w="9000" w:type="dxa"/>
            <w:tcBorders>
              <w:top w:val="nil"/>
              <w:left w:val="nil"/>
              <w:bottom w:val="nil"/>
              <w:right w:val="nil"/>
            </w:tcBorders>
            <w:vAlign w:val="center"/>
          </w:tcPr>
          <w:p w14:paraId="6FA9D538"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 number of LBM classes used prior to hospice</w:t>
            </w:r>
          </w:p>
        </w:tc>
      </w:tr>
      <w:tr w:rsidR="0095598B" w14:paraId="38B5FDF1" w14:textId="77777777" w:rsidTr="00A32EFB">
        <w:tc>
          <w:tcPr>
            <w:tcW w:w="2245" w:type="dxa"/>
            <w:tcBorders>
              <w:top w:val="nil"/>
              <w:left w:val="nil"/>
              <w:bottom w:val="nil"/>
              <w:right w:val="nil"/>
            </w:tcBorders>
            <w:vAlign w:val="bottom"/>
          </w:tcPr>
          <w:p w14:paraId="174749D2" w14:textId="77777777" w:rsidR="0095598B" w:rsidRPr="00334801" w:rsidRDefault="0095598B" w:rsidP="0095598B">
            <w:pPr>
              <w:spacing w:after="0" w:line="240" w:lineRule="auto"/>
              <w:rPr>
                <w:rFonts w:cs="Arial"/>
                <w:color w:val="000000"/>
                <w:sz w:val="20"/>
              </w:rPr>
            </w:pPr>
            <w:r w:rsidRPr="00334801">
              <w:rPr>
                <w:rFonts w:cs="Arial"/>
                <w:color w:val="000000"/>
                <w:sz w:val="20"/>
              </w:rPr>
              <w:t>Oral Anti-Osteoporotic</w:t>
            </w:r>
          </w:p>
        </w:tc>
        <w:tc>
          <w:tcPr>
            <w:tcW w:w="2340" w:type="dxa"/>
            <w:tcBorders>
              <w:top w:val="nil"/>
              <w:left w:val="nil"/>
              <w:bottom w:val="nil"/>
              <w:right w:val="nil"/>
            </w:tcBorders>
            <w:vAlign w:val="bottom"/>
          </w:tcPr>
          <w:p w14:paraId="24E7B82F"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1.46 (0.62-3.42)</w:t>
            </w:r>
          </w:p>
        </w:tc>
        <w:tc>
          <w:tcPr>
            <w:tcW w:w="9000" w:type="dxa"/>
            <w:tcBorders>
              <w:top w:val="nil"/>
              <w:left w:val="nil"/>
              <w:bottom w:val="nil"/>
              <w:right w:val="nil"/>
            </w:tcBorders>
            <w:vAlign w:val="bottom"/>
          </w:tcPr>
          <w:p w14:paraId="6891B412"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 liver disease, recent myocardial infarction</w:t>
            </w:r>
          </w:p>
        </w:tc>
      </w:tr>
      <w:tr w:rsidR="0095598B" w14:paraId="24ECDAAE" w14:textId="77777777" w:rsidTr="00A32EFB">
        <w:tc>
          <w:tcPr>
            <w:tcW w:w="2245" w:type="dxa"/>
            <w:tcBorders>
              <w:top w:val="nil"/>
              <w:left w:val="nil"/>
              <w:bottom w:val="nil"/>
              <w:right w:val="nil"/>
            </w:tcBorders>
            <w:vAlign w:val="bottom"/>
          </w:tcPr>
          <w:p w14:paraId="38DBD381" w14:textId="77777777" w:rsidR="0095598B" w:rsidRPr="00334801" w:rsidRDefault="0095598B" w:rsidP="0095598B">
            <w:pPr>
              <w:spacing w:after="0" w:line="240" w:lineRule="auto"/>
              <w:rPr>
                <w:rFonts w:cs="Arial"/>
                <w:color w:val="000000"/>
                <w:sz w:val="20"/>
              </w:rPr>
            </w:pPr>
            <w:r w:rsidRPr="00334801">
              <w:rPr>
                <w:rFonts w:cs="Arial"/>
                <w:color w:val="000000"/>
                <w:sz w:val="20"/>
              </w:rPr>
              <w:t>Proton Pump Inhibitor</w:t>
            </w:r>
          </w:p>
        </w:tc>
        <w:tc>
          <w:tcPr>
            <w:tcW w:w="2340" w:type="dxa"/>
            <w:tcBorders>
              <w:top w:val="nil"/>
              <w:left w:val="nil"/>
              <w:bottom w:val="nil"/>
              <w:right w:val="nil"/>
            </w:tcBorders>
            <w:vAlign w:val="bottom"/>
          </w:tcPr>
          <w:p w14:paraId="644DC43E"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1.40 (1.20-1.63)</w:t>
            </w:r>
          </w:p>
        </w:tc>
        <w:tc>
          <w:tcPr>
            <w:tcW w:w="9000" w:type="dxa"/>
            <w:tcBorders>
              <w:top w:val="nil"/>
              <w:left w:val="nil"/>
              <w:bottom w:val="nil"/>
              <w:right w:val="nil"/>
            </w:tcBorders>
            <w:vAlign w:val="bottom"/>
          </w:tcPr>
          <w:p w14:paraId="166E6A33"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w:t>
            </w:r>
          </w:p>
        </w:tc>
      </w:tr>
      <w:tr w:rsidR="0095598B" w14:paraId="43938AFA" w14:textId="77777777" w:rsidTr="00CF47EB">
        <w:trPr>
          <w:trHeight w:hRule="exact" w:val="288"/>
        </w:trPr>
        <w:tc>
          <w:tcPr>
            <w:tcW w:w="2245" w:type="dxa"/>
            <w:tcBorders>
              <w:top w:val="single" w:sz="4" w:space="0" w:color="auto"/>
              <w:left w:val="nil"/>
              <w:bottom w:val="nil"/>
              <w:right w:val="nil"/>
            </w:tcBorders>
            <w:vAlign w:val="bottom"/>
          </w:tcPr>
          <w:p w14:paraId="7600DE16" w14:textId="77777777" w:rsidR="0095598B" w:rsidRPr="00334801" w:rsidRDefault="0095598B" w:rsidP="0095598B">
            <w:pPr>
              <w:spacing w:after="0" w:line="240" w:lineRule="auto"/>
              <w:rPr>
                <w:rFonts w:cs="Arial"/>
                <w:color w:val="000000"/>
                <w:sz w:val="20"/>
              </w:rPr>
            </w:pPr>
          </w:p>
        </w:tc>
        <w:tc>
          <w:tcPr>
            <w:tcW w:w="2340" w:type="dxa"/>
            <w:tcBorders>
              <w:top w:val="single" w:sz="4" w:space="0" w:color="auto"/>
              <w:left w:val="nil"/>
              <w:bottom w:val="nil"/>
              <w:right w:val="nil"/>
            </w:tcBorders>
          </w:tcPr>
          <w:p w14:paraId="1A54E3BC" w14:textId="20CEF8A0" w:rsidR="0095598B" w:rsidRPr="00DB5BB9" w:rsidRDefault="0095598B" w:rsidP="00A32EFB">
            <w:pPr>
              <w:spacing w:after="0" w:line="240" w:lineRule="auto"/>
              <w:jc w:val="center"/>
              <w:rPr>
                <w:rFonts w:cs="Arial"/>
                <w:b/>
                <w:color w:val="000000"/>
                <w:sz w:val="20"/>
              </w:rPr>
            </w:pPr>
            <w:r w:rsidRPr="00DB5BB9">
              <w:rPr>
                <w:rFonts w:cs="Arial"/>
                <w:b/>
                <w:sz w:val="20"/>
              </w:rPr>
              <w:t>Hospitalization</w:t>
            </w:r>
          </w:p>
        </w:tc>
        <w:tc>
          <w:tcPr>
            <w:tcW w:w="9000" w:type="dxa"/>
            <w:tcBorders>
              <w:top w:val="single" w:sz="4" w:space="0" w:color="auto"/>
              <w:left w:val="nil"/>
              <w:bottom w:val="nil"/>
              <w:right w:val="nil"/>
            </w:tcBorders>
          </w:tcPr>
          <w:p w14:paraId="45B172F2" w14:textId="3508E13C" w:rsidR="0095598B" w:rsidRPr="00334801" w:rsidRDefault="00CF47EB" w:rsidP="00CF47EB">
            <w:pPr>
              <w:spacing w:after="0" w:line="240" w:lineRule="auto"/>
              <w:jc w:val="center"/>
              <w:rPr>
                <w:rFonts w:cs="Arial"/>
                <w:color w:val="000000"/>
                <w:sz w:val="20"/>
              </w:rPr>
            </w:pPr>
            <w:r w:rsidRPr="00A32EFB">
              <w:rPr>
                <w:rFonts w:cs="Arial"/>
                <w:b/>
                <w:sz w:val="20"/>
              </w:rPr>
              <w:t>Model Adjustment Variables</w:t>
            </w:r>
            <w:r w:rsidRPr="00A32EFB">
              <w:rPr>
                <w:rFonts w:cs="Arial"/>
                <w:b/>
                <w:sz w:val="20"/>
                <w:vertAlign w:val="superscript"/>
              </w:rPr>
              <w:t>a</w:t>
            </w:r>
          </w:p>
        </w:tc>
      </w:tr>
      <w:tr w:rsidR="0095598B" w14:paraId="3508F722" w14:textId="77777777" w:rsidTr="00A32EFB">
        <w:trPr>
          <w:trHeight w:hRule="exact" w:val="288"/>
        </w:trPr>
        <w:tc>
          <w:tcPr>
            <w:tcW w:w="2245" w:type="dxa"/>
            <w:tcBorders>
              <w:top w:val="nil"/>
              <w:left w:val="nil"/>
              <w:bottom w:val="single" w:sz="4" w:space="0" w:color="auto"/>
              <w:right w:val="nil"/>
            </w:tcBorders>
            <w:vAlign w:val="bottom"/>
          </w:tcPr>
          <w:p w14:paraId="0E47633A" w14:textId="5AA49E7B" w:rsidR="0095598B" w:rsidRPr="00334801" w:rsidRDefault="00CF47EB" w:rsidP="0095598B">
            <w:pPr>
              <w:spacing w:after="0" w:line="240" w:lineRule="auto"/>
              <w:rPr>
                <w:rFonts w:cs="Arial"/>
                <w:color w:val="000000"/>
                <w:sz w:val="20"/>
              </w:rPr>
            </w:pPr>
            <w:r w:rsidRPr="00A32EFB">
              <w:rPr>
                <w:rFonts w:cs="Arial"/>
                <w:b/>
                <w:bCs/>
                <w:color w:val="000000"/>
                <w:sz w:val="20"/>
              </w:rPr>
              <w:t>Medication Class</w:t>
            </w:r>
          </w:p>
        </w:tc>
        <w:tc>
          <w:tcPr>
            <w:tcW w:w="2340" w:type="dxa"/>
            <w:tcBorders>
              <w:top w:val="nil"/>
              <w:left w:val="nil"/>
              <w:bottom w:val="single" w:sz="4" w:space="0" w:color="auto"/>
              <w:right w:val="nil"/>
            </w:tcBorders>
            <w:vAlign w:val="bottom"/>
          </w:tcPr>
          <w:p w14:paraId="63B669B5" w14:textId="77777777" w:rsidR="0095598B" w:rsidRPr="00A32EFB" w:rsidRDefault="0095598B" w:rsidP="0095598B">
            <w:pPr>
              <w:spacing w:after="0" w:line="240" w:lineRule="auto"/>
              <w:jc w:val="center"/>
              <w:rPr>
                <w:rFonts w:cs="Arial"/>
                <w:b/>
                <w:color w:val="000000"/>
                <w:sz w:val="20"/>
              </w:rPr>
            </w:pPr>
            <w:r w:rsidRPr="00A32EFB">
              <w:rPr>
                <w:rFonts w:cs="Arial"/>
                <w:b/>
                <w:sz w:val="20"/>
              </w:rPr>
              <w:t>Adjusted IRR (95% CI)</w:t>
            </w:r>
          </w:p>
        </w:tc>
        <w:tc>
          <w:tcPr>
            <w:tcW w:w="9000" w:type="dxa"/>
            <w:tcBorders>
              <w:top w:val="nil"/>
              <w:left w:val="nil"/>
              <w:bottom w:val="single" w:sz="4" w:space="0" w:color="auto"/>
              <w:right w:val="nil"/>
            </w:tcBorders>
            <w:vAlign w:val="bottom"/>
          </w:tcPr>
          <w:p w14:paraId="68022316" w14:textId="77777777" w:rsidR="0095598B" w:rsidRPr="00334801" w:rsidRDefault="0095598B" w:rsidP="0095598B">
            <w:pPr>
              <w:spacing w:after="0" w:line="240" w:lineRule="auto"/>
              <w:rPr>
                <w:rFonts w:cs="Arial"/>
                <w:color w:val="000000"/>
                <w:sz w:val="20"/>
              </w:rPr>
            </w:pPr>
          </w:p>
        </w:tc>
      </w:tr>
      <w:tr w:rsidR="0095598B" w14:paraId="1111961D" w14:textId="77777777" w:rsidTr="00E841BE">
        <w:tc>
          <w:tcPr>
            <w:tcW w:w="2245" w:type="dxa"/>
            <w:tcBorders>
              <w:top w:val="single" w:sz="4" w:space="0" w:color="auto"/>
              <w:left w:val="nil"/>
              <w:bottom w:val="nil"/>
              <w:right w:val="nil"/>
            </w:tcBorders>
            <w:vAlign w:val="bottom"/>
          </w:tcPr>
          <w:p w14:paraId="33FD9BA9" w14:textId="7F13CFBC" w:rsidR="0095598B" w:rsidRPr="00334801" w:rsidRDefault="0095598B" w:rsidP="00E841BE">
            <w:pPr>
              <w:spacing w:after="0" w:line="240" w:lineRule="auto"/>
              <w:rPr>
                <w:rFonts w:cs="Arial"/>
                <w:color w:val="000000"/>
                <w:sz w:val="20"/>
              </w:rPr>
            </w:pPr>
            <w:r w:rsidRPr="00334801">
              <w:rPr>
                <w:rFonts w:cs="Arial"/>
                <w:color w:val="000000"/>
                <w:sz w:val="20"/>
              </w:rPr>
              <w:t xml:space="preserve">Any </w:t>
            </w:r>
            <w:r w:rsidR="00E841BE">
              <w:rPr>
                <w:rFonts w:cs="Arial"/>
                <w:color w:val="000000"/>
                <w:sz w:val="20"/>
              </w:rPr>
              <w:t>LBM</w:t>
            </w:r>
          </w:p>
        </w:tc>
        <w:tc>
          <w:tcPr>
            <w:tcW w:w="2340" w:type="dxa"/>
            <w:tcBorders>
              <w:top w:val="single" w:sz="4" w:space="0" w:color="auto"/>
              <w:left w:val="nil"/>
              <w:bottom w:val="nil"/>
              <w:right w:val="nil"/>
            </w:tcBorders>
            <w:vAlign w:val="center"/>
          </w:tcPr>
          <w:p w14:paraId="234960BD"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1.56 (1.39-1.76)</w:t>
            </w:r>
          </w:p>
        </w:tc>
        <w:tc>
          <w:tcPr>
            <w:tcW w:w="9000" w:type="dxa"/>
            <w:tcBorders>
              <w:top w:val="single" w:sz="4" w:space="0" w:color="auto"/>
              <w:left w:val="nil"/>
              <w:bottom w:val="nil"/>
              <w:right w:val="nil"/>
            </w:tcBorders>
            <w:vAlign w:val="center"/>
          </w:tcPr>
          <w:p w14:paraId="5110EAEE"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w:t>
            </w:r>
          </w:p>
        </w:tc>
      </w:tr>
      <w:tr w:rsidR="0095598B" w14:paraId="3B5D716B" w14:textId="77777777" w:rsidTr="00A32EFB">
        <w:tc>
          <w:tcPr>
            <w:tcW w:w="2245" w:type="dxa"/>
            <w:tcBorders>
              <w:top w:val="nil"/>
              <w:left w:val="nil"/>
              <w:bottom w:val="nil"/>
              <w:right w:val="nil"/>
            </w:tcBorders>
            <w:vAlign w:val="bottom"/>
          </w:tcPr>
          <w:p w14:paraId="6AB88E5B" w14:textId="77777777" w:rsidR="0095598B" w:rsidRPr="00334801" w:rsidRDefault="0095598B" w:rsidP="0095598B">
            <w:pPr>
              <w:spacing w:after="0" w:line="240" w:lineRule="auto"/>
              <w:rPr>
                <w:rFonts w:cs="Arial"/>
                <w:color w:val="000000"/>
                <w:sz w:val="20"/>
              </w:rPr>
            </w:pPr>
            <w:r w:rsidRPr="00334801">
              <w:rPr>
                <w:rFonts w:cs="Arial"/>
                <w:color w:val="000000"/>
                <w:sz w:val="20"/>
              </w:rPr>
              <w:t>Antihyperlipidemic</w:t>
            </w:r>
          </w:p>
        </w:tc>
        <w:tc>
          <w:tcPr>
            <w:tcW w:w="2340" w:type="dxa"/>
            <w:tcBorders>
              <w:top w:val="nil"/>
              <w:left w:val="nil"/>
              <w:bottom w:val="nil"/>
              <w:right w:val="nil"/>
            </w:tcBorders>
            <w:vAlign w:val="bottom"/>
          </w:tcPr>
          <w:p w14:paraId="453A1F43"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1.57 (1.11-2.22)</w:t>
            </w:r>
          </w:p>
        </w:tc>
        <w:tc>
          <w:tcPr>
            <w:tcW w:w="9000" w:type="dxa"/>
            <w:tcBorders>
              <w:top w:val="nil"/>
              <w:left w:val="nil"/>
              <w:bottom w:val="nil"/>
              <w:right w:val="nil"/>
            </w:tcBorders>
            <w:vAlign w:val="bottom"/>
          </w:tcPr>
          <w:p w14:paraId="61CE1DE3"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 coronary atherosclerosis</w:t>
            </w:r>
          </w:p>
        </w:tc>
      </w:tr>
      <w:tr w:rsidR="0095598B" w14:paraId="0BB79A32" w14:textId="77777777" w:rsidTr="00A32EFB">
        <w:tc>
          <w:tcPr>
            <w:tcW w:w="2245" w:type="dxa"/>
            <w:tcBorders>
              <w:top w:val="nil"/>
              <w:left w:val="nil"/>
              <w:bottom w:val="nil"/>
              <w:right w:val="nil"/>
            </w:tcBorders>
            <w:vAlign w:val="bottom"/>
          </w:tcPr>
          <w:p w14:paraId="0AD4FB8D" w14:textId="77777777" w:rsidR="0095598B" w:rsidRPr="00334801" w:rsidRDefault="0095598B" w:rsidP="0095598B">
            <w:pPr>
              <w:spacing w:after="0" w:line="240" w:lineRule="auto"/>
              <w:rPr>
                <w:rFonts w:cs="Arial"/>
                <w:color w:val="000000"/>
                <w:sz w:val="20"/>
              </w:rPr>
            </w:pPr>
            <w:r w:rsidRPr="00334801">
              <w:rPr>
                <w:rFonts w:cs="Arial"/>
                <w:color w:val="000000"/>
                <w:sz w:val="20"/>
              </w:rPr>
              <w:t>Antihypertensive</w:t>
            </w:r>
          </w:p>
        </w:tc>
        <w:tc>
          <w:tcPr>
            <w:tcW w:w="2340" w:type="dxa"/>
            <w:tcBorders>
              <w:top w:val="nil"/>
              <w:left w:val="nil"/>
              <w:bottom w:val="nil"/>
              <w:right w:val="nil"/>
            </w:tcBorders>
            <w:vAlign w:val="bottom"/>
          </w:tcPr>
          <w:p w14:paraId="27C3165B"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1.61 (1.36-1.90)</w:t>
            </w:r>
          </w:p>
        </w:tc>
        <w:tc>
          <w:tcPr>
            <w:tcW w:w="9000" w:type="dxa"/>
            <w:tcBorders>
              <w:top w:val="nil"/>
              <w:left w:val="nil"/>
              <w:bottom w:val="nil"/>
              <w:right w:val="nil"/>
            </w:tcBorders>
            <w:vAlign w:val="bottom"/>
          </w:tcPr>
          <w:p w14:paraId="023D7B80"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w:t>
            </w:r>
          </w:p>
        </w:tc>
      </w:tr>
      <w:tr w:rsidR="0095598B" w14:paraId="78B6465D" w14:textId="77777777" w:rsidTr="00E841BE">
        <w:tc>
          <w:tcPr>
            <w:tcW w:w="2245" w:type="dxa"/>
            <w:tcBorders>
              <w:top w:val="nil"/>
              <w:left w:val="nil"/>
              <w:bottom w:val="nil"/>
              <w:right w:val="nil"/>
            </w:tcBorders>
            <w:vAlign w:val="center"/>
          </w:tcPr>
          <w:p w14:paraId="1DA32897" w14:textId="77777777" w:rsidR="0095598B" w:rsidRPr="00334801" w:rsidRDefault="0095598B" w:rsidP="0095598B">
            <w:pPr>
              <w:spacing w:after="0" w:line="240" w:lineRule="auto"/>
              <w:rPr>
                <w:rFonts w:cs="Arial"/>
                <w:color w:val="000000"/>
                <w:sz w:val="20"/>
              </w:rPr>
            </w:pPr>
            <w:r w:rsidRPr="00334801">
              <w:rPr>
                <w:rFonts w:cs="Arial"/>
                <w:color w:val="000000"/>
                <w:sz w:val="20"/>
              </w:rPr>
              <w:t>Oral Antidiabetic</w:t>
            </w:r>
          </w:p>
        </w:tc>
        <w:tc>
          <w:tcPr>
            <w:tcW w:w="2340" w:type="dxa"/>
            <w:tcBorders>
              <w:top w:val="nil"/>
              <w:left w:val="nil"/>
              <w:bottom w:val="nil"/>
              <w:right w:val="nil"/>
            </w:tcBorders>
            <w:vAlign w:val="center"/>
          </w:tcPr>
          <w:p w14:paraId="1758EAB6"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1.34 (0.68-2.61)</w:t>
            </w:r>
          </w:p>
        </w:tc>
        <w:tc>
          <w:tcPr>
            <w:tcW w:w="9000" w:type="dxa"/>
            <w:tcBorders>
              <w:top w:val="nil"/>
              <w:left w:val="nil"/>
              <w:bottom w:val="nil"/>
              <w:right w:val="nil"/>
            </w:tcBorders>
            <w:vAlign w:val="center"/>
          </w:tcPr>
          <w:p w14:paraId="493105BF" w14:textId="77777777" w:rsidR="0095598B" w:rsidRPr="00334801" w:rsidRDefault="0095598B" w:rsidP="0095598B">
            <w:pPr>
              <w:spacing w:after="0" w:line="240" w:lineRule="auto"/>
              <w:rPr>
                <w:rFonts w:cs="Arial"/>
                <w:color w:val="000000"/>
                <w:sz w:val="20"/>
              </w:rPr>
            </w:pPr>
            <w:r>
              <w:rPr>
                <w:rFonts w:cs="Arial"/>
                <w:color w:val="000000"/>
                <w:sz w:val="20"/>
              </w:rPr>
              <w:t xml:space="preserve">any prior use of inpatient hospice, post-index follow-up, number of LBM classes used prior to hospice, diabetes, recent ischemic stroke, </w:t>
            </w:r>
            <w:r>
              <w:rPr>
                <w:rFonts w:cs="Arial"/>
                <w:sz w:val="20"/>
              </w:rPr>
              <w:t>hospitalizations in year prior to hospice admission</w:t>
            </w:r>
          </w:p>
        </w:tc>
      </w:tr>
      <w:tr w:rsidR="0095598B" w14:paraId="4242C272" w14:textId="77777777" w:rsidTr="00E841BE">
        <w:tc>
          <w:tcPr>
            <w:tcW w:w="2245" w:type="dxa"/>
            <w:tcBorders>
              <w:top w:val="nil"/>
              <w:left w:val="nil"/>
              <w:bottom w:val="nil"/>
              <w:right w:val="nil"/>
            </w:tcBorders>
            <w:vAlign w:val="center"/>
          </w:tcPr>
          <w:p w14:paraId="03B65B5E" w14:textId="77777777" w:rsidR="0095598B" w:rsidRPr="00334801" w:rsidRDefault="0095598B" w:rsidP="0095598B">
            <w:pPr>
              <w:spacing w:after="0" w:line="240" w:lineRule="auto"/>
              <w:rPr>
                <w:rFonts w:cs="Arial"/>
                <w:color w:val="000000"/>
                <w:sz w:val="20"/>
              </w:rPr>
            </w:pPr>
            <w:r w:rsidRPr="00334801">
              <w:rPr>
                <w:rFonts w:cs="Arial"/>
                <w:color w:val="000000"/>
                <w:sz w:val="20"/>
              </w:rPr>
              <w:t>Antiplatelet</w:t>
            </w:r>
          </w:p>
        </w:tc>
        <w:tc>
          <w:tcPr>
            <w:tcW w:w="2340" w:type="dxa"/>
            <w:tcBorders>
              <w:top w:val="nil"/>
              <w:left w:val="nil"/>
              <w:bottom w:val="nil"/>
              <w:right w:val="nil"/>
            </w:tcBorders>
            <w:vAlign w:val="center"/>
          </w:tcPr>
          <w:p w14:paraId="05DBE91D"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1.22 (0.34-4.39)</w:t>
            </w:r>
          </w:p>
        </w:tc>
        <w:tc>
          <w:tcPr>
            <w:tcW w:w="9000" w:type="dxa"/>
            <w:tcBorders>
              <w:top w:val="nil"/>
              <w:left w:val="nil"/>
              <w:bottom w:val="nil"/>
              <w:right w:val="nil"/>
            </w:tcBorders>
            <w:vAlign w:val="center"/>
          </w:tcPr>
          <w:p w14:paraId="608AA758"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 number of LBM classes used prior to hospice, most recent hospice care setting</w:t>
            </w:r>
          </w:p>
        </w:tc>
      </w:tr>
      <w:tr w:rsidR="0095598B" w14:paraId="2F425201" w14:textId="77777777" w:rsidTr="00A32EFB">
        <w:tc>
          <w:tcPr>
            <w:tcW w:w="2245" w:type="dxa"/>
            <w:tcBorders>
              <w:top w:val="nil"/>
              <w:left w:val="nil"/>
              <w:bottom w:val="nil"/>
              <w:right w:val="nil"/>
            </w:tcBorders>
            <w:vAlign w:val="bottom"/>
          </w:tcPr>
          <w:p w14:paraId="162A6356" w14:textId="77777777" w:rsidR="0095598B" w:rsidRPr="00334801" w:rsidRDefault="0095598B" w:rsidP="0095598B">
            <w:pPr>
              <w:spacing w:after="0" w:line="240" w:lineRule="auto"/>
              <w:rPr>
                <w:rFonts w:cs="Arial"/>
                <w:color w:val="000000"/>
                <w:sz w:val="20"/>
              </w:rPr>
            </w:pPr>
            <w:r w:rsidRPr="00334801">
              <w:rPr>
                <w:rFonts w:cs="Arial"/>
                <w:color w:val="000000"/>
                <w:sz w:val="20"/>
              </w:rPr>
              <w:t>Anti-Dementia</w:t>
            </w:r>
          </w:p>
        </w:tc>
        <w:tc>
          <w:tcPr>
            <w:tcW w:w="2340" w:type="dxa"/>
            <w:tcBorders>
              <w:top w:val="nil"/>
              <w:left w:val="nil"/>
              <w:bottom w:val="nil"/>
              <w:right w:val="nil"/>
            </w:tcBorders>
            <w:vAlign w:val="bottom"/>
          </w:tcPr>
          <w:p w14:paraId="73319E80"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0.82 (0.51-1.33)</w:t>
            </w:r>
          </w:p>
        </w:tc>
        <w:tc>
          <w:tcPr>
            <w:tcW w:w="9000" w:type="dxa"/>
            <w:tcBorders>
              <w:top w:val="nil"/>
              <w:left w:val="nil"/>
              <w:bottom w:val="nil"/>
              <w:right w:val="nil"/>
            </w:tcBorders>
            <w:vAlign w:val="bottom"/>
          </w:tcPr>
          <w:p w14:paraId="519A808C"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number of LBM classes used prior to hospice</w:t>
            </w:r>
          </w:p>
        </w:tc>
      </w:tr>
      <w:tr w:rsidR="0095598B" w14:paraId="2ED1308D" w14:textId="77777777" w:rsidTr="00E841BE">
        <w:tc>
          <w:tcPr>
            <w:tcW w:w="2245" w:type="dxa"/>
            <w:tcBorders>
              <w:top w:val="nil"/>
              <w:left w:val="nil"/>
              <w:bottom w:val="nil"/>
              <w:right w:val="nil"/>
            </w:tcBorders>
            <w:vAlign w:val="center"/>
          </w:tcPr>
          <w:p w14:paraId="1E50AD5B" w14:textId="77777777" w:rsidR="0095598B" w:rsidRPr="00334801" w:rsidRDefault="0095598B" w:rsidP="0095598B">
            <w:pPr>
              <w:spacing w:after="0" w:line="240" w:lineRule="auto"/>
              <w:rPr>
                <w:rFonts w:cs="Arial"/>
                <w:color w:val="000000"/>
                <w:sz w:val="20"/>
              </w:rPr>
            </w:pPr>
            <w:r w:rsidRPr="00334801">
              <w:rPr>
                <w:rFonts w:cs="Arial"/>
                <w:color w:val="000000"/>
                <w:sz w:val="20"/>
              </w:rPr>
              <w:t>Oral Anti-Osteoporotic</w:t>
            </w:r>
          </w:p>
        </w:tc>
        <w:tc>
          <w:tcPr>
            <w:tcW w:w="2340" w:type="dxa"/>
            <w:tcBorders>
              <w:top w:val="nil"/>
              <w:left w:val="nil"/>
              <w:bottom w:val="nil"/>
              <w:right w:val="nil"/>
            </w:tcBorders>
            <w:vAlign w:val="center"/>
          </w:tcPr>
          <w:p w14:paraId="1817505B"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1.55 (0.10-22.9)</w:t>
            </w:r>
          </w:p>
        </w:tc>
        <w:tc>
          <w:tcPr>
            <w:tcW w:w="9000" w:type="dxa"/>
            <w:tcBorders>
              <w:top w:val="nil"/>
              <w:left w:val="nil"/>
              <w:bottom w:val="nil"/>
              <w:right w:val="nil"/>
            </w:tcBorders>
            <w:vAlign w:val="center"/>
          </w:tcPr>
          <w:p w14:paraId="517273CC"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 number of LBM classes used prior to hospice, depression, Part D low-income subsidy recipient</w:t>
            </w:r>
          </w:p>
        </w:tc>
      </w:tr>
      <w:tr w:rsidR="0095598B" w14:paraId="5063C047" w14:textId="77777777" w:rsidTr="00CF47EB">
        <w:tc>
          <w:tcPr>
            <w:tcW w:w="2245" w:type="dxa"/>
            <w:tcBorders>
              <w:top w:val="nil"/>
              <w:left w:val="nil"/>
              <w:bottom w:val="single" w:sz="4" w:space="0" w:color="auto"/>
              <w:right w:val="nil"/>
            </w:tcBorders>
            <w:vAlign w:val="bottom"/>
          </w:tcPr>
          <w:p w14:paraId="2A406A17" w14:textId="77777777" w:rsidR="0095598B" w:rsidRPr="00334801" w:rsidRDefault="0095598B" w:rsidP="0095598B">
            <w:pPr>
              <w:spacing w:after="0" w:line="240" w:lineRule="auto"/>
              <w:rPr>
                <w:rFonts w:cs="Arial"/>
                <w:color w:val="000000"/>
                <w:sz w:val="20"/>
              </w:rPr>
            </w:pPr>
            <w:r w:rsidRPr="00334801">
              <w:rPr>
                <w:rFonts w:cs="Arial"/>
                <w:color w:val="000000"/>
                <w:sz w:val="20"/>
              </w:rPr>
              <w:t>Proton Pump Inhibitor</w:t>
            </w:r>
          </w:p>
        </w:tc>
        <w:tc>
          <w:tcPr>
            <w:tcW w:w="2340" w:type="dxa"/>
            <w:tcBorders>
              <w:top w:val="nil"/>
              <w:left w:val="nil"/>
              <w:bottom w:val="single" w:sz="4" w:space="0" w:color="auto"/>
              <w:right w:val="nil"/>
            </w:tcBorders>
            <w:vAlign w:val="bottom"/>
          </w:tcPr>
          <w:p w14:paraId="0432B82B"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1.63 (1.25-2.13)</w:t>
            </w:r>
          </w:p>
        </w:tc>
        <w:tc>
          <w:tcPr>
            <w:tcW w:w="9000" w:type="dxa"/>
            <w:tcBorders>
              <w:top w:val="nil"/>
              <w:left w:val="nil"/>
              <w:bottom w:val="single" w:sz="4" w:space="0" w:color="auto"/>
              <w:right w:val="nil"/>
            </w:tcBorders>
            <w:vAlign w:val="bottom"/>
          </w:tcPr>
          <w:p w14:paraId="28D00BDC"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w:t>
            </w:r>
          </w:p>
        </w:tc>
      </w:tr>
      <w:tr w:rsidR="0095598B" w14:paraId="5277EF52" w14:textId="77777777" w:rsidTr="00CF47EB">
        <w:trPr>
          <w:trHeight w:hRule="exact" w:val="288"/>
        </w:trPr>
        <w:tc>
          <w:tcPr>
            <w:tcW w:w="2245" w:type="dxa"/>
            <w:tcBorders>
              <w:top w:val="single" w:sz="4" w:space="0" w:color="auto"/>
              <w:left w:val="nil"/>
              <w:bottom w:val="nil"/>
              <w:right w:val="nil"/>
            </w:tcBorders>
            <w:vAlign w:val="bottom"/>
          </w:tcPr>
          <w:p w14:paraId="46BBEE1D" w14:textId="77777777" w:rsidR="0095598B" w:rsidRPr="00334801" w:rsidRDefault="0095598B" w:rsidP="0095598B">
            <w:pPr>
              <w:spacing w:after="0" w:line="240" w:lineRule="auto"/>
              <w:rPr>
                <w:rFonts w:cs="Arial"/>
                <w:color w:val="000000"/>
                <w:sz w:val="20"/>
              </w:rPr>
            </w:pPr>
          </w:p>
        </w:tc>
        <w:tc>
          <w:tcPr>
            <w:tcW w:w="2340" w:type="dxa"/>
            <w:tcBorders>
              <w:top w:val="single" w:sz="4" w:space="0" w:color="auto"/>
              <w:left w:val="nil"/>
              <w:bottom w:val="nil"/>
              <w:right w:val="nil"/>
            </w:tcBorders>
          </w:tcPr>
          <w:p w14:paraId="32AAB975" w14:textId="3F24CFA4" w:rsidR="0095598B" w:rsidRPr="00DB5BB9" w:rsidRDefault="0095598B" w:rsidP="00A32EFB">
            <w:pPr>
              <w:spacing w:after="0" w:line="240" w:lineRule="auto"/>
              <w:jc w:val="center"/>
              <w:rPr>
                <w:rFonts w:cs="Arial"/>
                <w:b/>
                <w:color w:val="000000"/>
                <w:sz w:val="20"/>
              </w:rPr>
            </w:pPr>
            <w:r w:rsidRPr="00DB5BB9">
              <w:rPr>
                <w:rFonts w:cs="Arial"/>
                <w:b/>
                <w:sz w:val="20"/>
              </w:rPr>
              <w:t>Hospice Discharge</w:t>
            </w:r>
          </w:p>
        </w:tc>
        <w:tc>
          <w:tcPr>
            <w:tcW w:w="9000" w:type="dxa"/>
            <w:tcBorders>
              <w:top w:val="single" w:sz="4" w:space="0" w:color="auto"/>
              <w:left w:val="nil"/>
              <w:bottom w:val="nil"/>
              <w:right w:val="nil"/>
            </w:tcBorders>
          </w:tcPr>
          <w:p w14:paraId="5A999F0F" w14:textId="30B57804" w:rsidR="0095598B" w:rsidRPr="00334801" w:rsidRDefault="00CF47EB" w:rsidP="00CF47EB">
            <w:pPr>
              <w:spacing w:after="0" w:line="240" w:lineRule="auto"/>
              <w:jc w:val="center"/>
              <w:rPr>
                <w:rFonts w:cs="Arial"/>
                <w:color w:val="000000"/>
                <w:sz w:val="20"/>
              </w:rPr>
            </w:pPr>
            <w:r w:rsidRPr="00A32EFB">
              <w:rPr>
                <w:rFonts w:cs="Arial"/>
                <w:b/>
                <w:sz w:val="20"/>
              </w:rPr>
              <w:t>Model Adjustment Variables</w:t>
            </w:r>
            <w:r w:rsidRPr="00A32EFB">
              <w:rPr>
                <w:rFonts w:cs="Arial"/>
                <w:b/>
                <w:sz w:val="20"/>
                <w:vertAlign w:val="superscript"/>
              </w:rPr>
              <w:t>a</w:t>
            </w:r>
          </w:p>
        </w:tc>
      </w:tr>
      <w:tr w:rsidR="0095598B" w14:paraId="5FA69CD6" w14:textId="77777777" w:rsidTr="00A32EFB">
        <w:trPr>
          <w:trHeight w:hRule="exact" w:val="288"/>
        </w:trPr>
        <w:tc>
          <w:tcPr>
            <w:tcW w:w="2245" w:type="dxa"/>
            <w:tcBorders>
              <w:top w:val="nil"/>
              <w:left w:val="nil"/>
              <w:bottom w:val="single" w:sz="4" w:space="0" w:color="auto"/>
              <w:right w:val="nil"/>
            </w:tcBorders>
            <w:vAlign w:val="bottom"/>
          </w:tcPr>
          <w:p w14:paraId="5E24F3B4" w14:textId="7860BF27" w:rsidR="0095598B" w:rsidRPr="00334801" w:rsidRDefault="00CF47EB" w:rsidP="0095598B">
            <w:pPr>
              <w:spacing w:after="0" w:line="240" w:lineRule="auto"/>
              <w:rPr>
                <w:rFonts w:cs="Arial"/>
                <w:color w:val="000000"/>
                <w:sz w:val="20"/>
              </w:rPr>
            </w:pPr>
            <w:r w:rsidRPr="00A32EFB">
              <w:rPr>
                <w:rFonts w:cs="Arial"/>
                <w:b/>
                <w:bCs/>
                <w:color w:val="000000"/>
                <w:sz w:val="20"/>
              </w:rPr>
              <w:t>Medication Class</w:t>
            </w:r>
          </w:p>
        </w:tc>
        <w:tc>
          <w:tcPr>
            <w:tcW w:w="2340" w:type="dxa"/>
            <w:tcBorders>
              <w:top w:val="nil"/>
              <w:left w:val="nil"/>
              <w:bottom w:val="single" w:sz="4" w:space="0" w:color="auto"/>
              <w:right w:val="nil"/>
            </w:tcBorders>
            <w:vAlign w:val="bottom"/>
          </w:tcPr>
          <w:p w14:paraId="4AA63534" w14:textId="77777777" w:rsidR="0095598B" w:rsidRPr="00A32EFB" w:rsidRDefault="0095598B" w:rsidP="0095598B">
            <w:pPr>
              <w:spacing w:after="0" w:line="240" w:lineRule="auto"/>
              <w:jc w:val="center"/>
              <w:rPr>
                <w:rFonts w:cs="Arial"/>
                <w:b/>
                <w:color w:val="000000"/>
                <w:sz w:val="20"/>
              </w:rPr>
            </w:pPr>
            <w:r w:rsidRPr="00A32EFB">
              <w:rPr>
                <w:rFonts w:cs="Arial"/>
                <w:b/>
                <w:sz w:val="20"/>
              </w:rPr>
              <w:t>Adjusted IRR (95% CI)</w:t>
            </w:r>
          </w:p>
        </w:tc>
        <w:tc>
          <w:tcPr>
            <w:tcW w:w="9000" w:type="dxa"/>
            <w:tcBorders>
              <w:top w:val="nil"/>
              <w:left w:val="nil"/>
              <w:bottom w:val="single" w:sz="4" w:space="0" w:color="auto"/>
              <w:right w:val="nil"/>
            </w:tcBorders>
            <w:vAlign w:val="bottom"/>
          </w:tcPr>
          <w:p w14:paraId="6553EC8C" w14:textId="77777777" w:rsidR="0095598B" w:rsidRPr="00334801" w:rsidRDefault="0095598B" w:rsidP="0095598B">
            <w:pPr>
              <w:spacing w:after="0" w:line="240" w:lineRule="auto"/>
              <w:rPr>
                <w:rFonts w:cs="Arial"/>
                <w:color w:val="000000"/>
                <w:sz w:val="20"/>
              </w:rPr>
            </w:pPr>
          </w:p>
        </w:tc>
      </w:tr>
      <w:tr w:rsidR="0095598B" w14:paraId="2530BF9D" w14:textId="77777777" w:rsidTr="00A32EFB">
        <w:tc>
          <w:tcPr>
            <w:tcW w:w="2245" w:type="dxa"/>
            <w:tcBorders>
              <w:top w:val="single" w:sz="4" w:space="0" w:color="auto"/>
              <w:left w:val="nil"/>
              <w:bottom w:val="nil"/>
              <w:right w:val="nil"/>
            </w:tcBorders>
            <w:vAlign w:val="bottom"/>
          </w:tcPr>
          <w:p w14:paraId="15DB9FC0" w14:textId="213DF45E" w:rsidR="0095598B" w:rsidRPr="00334801" w:rsidRDefault="0095598B" w:rsidP="00E841BE">
            <w:pPr>
              <w:spacing w:after="0" w:line="240" w:lineRule="auto"/>
              <w:rPr>
                <w:rFonts w:cs="Arial"/>
                <w:color w:val="000000"/>
                <w:sz w:val="20"/>
              </w:rPr>
            </w:pPr>
            <w:r w:rsidRPr="00334801">
              <w:rPr>
                <w:rFonts w:cs="Arial"/>
                <w:color w:val="000000"/>
                <w:sz w:val="20"/>
              </w:rPr>
              <w:t xml:space="preserve">Any </w:t>
            </w:r>
            <w:r w:rsidR="00E841BE">
              <w:rPr>
                <w:rFonts w:cs="Arial"/>
                <w:color w:val="000000"/>
                <w:sz w:val="20"/>
              </w:rPr>
              <w:t>LBM</w:t>
            </w:r>
          </w:p>
        </w:tc>
        <w:tc>
          <w:tcPr>
            <w:tcW w:w="2340" w:type="dxa"/>
            <w:tcBorders>
              <w:top w:val="single" w:sz="4" w:space="0" w:color="auto"/>
              <w:left w:val="nil"/>
              <w:bottom w:val="nil"/>
              <w:right w:val="nil"/>
            </w:tcBorders>
            <w:vAlign w:val="bottom"/>
          </w:tcPr>
          <w:p w14:paraId="258C52B5"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1.32 (1.15-1.52)</w:t>
            </w:r>
          </w:p>
        </w:tc>
        <w:tc>
          <w:tcPr>
            <w:tcW w:w="9000" w:type="dxa"/>
            <w:tcBorders>
              <w:top w:val="single" w:sz="4" w:space="0" w:color="auto"/>
              <w:left w:val="nil"/>
              <w:bottom w:val="nil"/>
              <w:right w:val="nil"/>
            </w:tcBorders>
            <w:vAlign w:val="bottom"/>
          </w:tcPr>
          <w:p w14:paraId="134DA7F3" w14:textId="77777777" w:rsidR="0095598B" w:rsidRPr="00334801" w:rsidRDefault="0095598B" w:rsidP="0095598B">
            <w:pPr>
              <w:spacing w:after="0" w:line="240" w:lineRule="auto"/>
              <w:rPr>
                <w:rFonts w:cs="Arial"/>
                <w:color w:val="000000"/>
                <w:sz w:val="20"/>
              </w:rPr>
            </w:pPr>
            <w:r>
              <w:rPr>
                <w:rFonts w:cs="Arial"/>
                <w:color w:val="000000"/>
                <w:sz w:val="20"/>
              </w:rPr>
              <w:t>--</w:t>
            </w:r>
          </w:p>
        </w:tc>
      </w:tr>
      <w:tr w:rsidR="0095598B" w14:paraId="05E73840" w14:textId="77777777" w:rsidTr="00A32EFB">
        <w:tc>
          <w:tcPr>
            <w:tcW w:w="2245" w:type="dxa"/>
            <w:tcBorders>
              <w:top w:val="nil"/>
              <w:left w:val="nil"/>
              <w:bottom w:val="nil"/>
              <w:right w:val="nil"/>
            </w:tcBorders>
            <w:vAlign w:val="bottom"/>
          </w:tcPr>
          <w:p w14:paraId="5A33B590" w14:textId="77777777" w:rsidR="0095598B" w:rsidRPr="00334801" w:rsidRDefault="0095598B" w:rsidP="0095598B">
            <w:pPr>
              <w:spacing w:after="0" w:line="240" w:lineRule="auto"/>
              <w:rPr>
                <w:rFonts w:cs="Arial"/>
                <w:color w:val="000000"/>
                <w:sz w:val="20"/>
              </w:rPr>
            </w:pPr>
            <w:r w:rsidRPr="00334801">
              <w:rPr>
                <w:rFonts w:cs="Arial"/>
                <w:color w:val="000000"/>
                <w:sz w:val="20"/>
              </w:rPr>
              <w:t>Antihyperlipidemic</w:t>
            </w:r>
          </w:p>
        </w:tc>
        <w:tc>
          <w:tcPr>
            <w:tcW w:w="2340" w:type="dxa"/>
            <w:tcBorders>
              <w:top w:val="nil"/>
              <w:left w:val="nil"/>
              <w:bottom w:val="nil"/>
              <w:right w:val="nil"/>
            </w:tcBorders>
            <w:vAlign w:val="bottom"/>
          </w:tcPr>
          <w:p w14:paraId="0CC932C0"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0.98 (0.61-1.57)</w:t>
            </w:r>
          </w:p>
        </w:tc>
        <w:tc>
          <w:tcPr>
            <w:tcW w:w="9000" w:type="dxa"/>
            <w:tcBorders>
              <w:top w:val="nil"/>
              <w:left w:val="nil"/>
              <w:bottom w:val="nil"/>
              <w:right w:val="nil"/>
            </w:tcBorders>
            <w:vAlign w:val="bottom"/>
          </w:tcPr>
          <w:p w14:paraId="1DACB6A2" w14:textId="77777777" w:rsidR="0095598B" w:rsidRPr="00334801" w:rsidRDefault="0095598B" w:rsidP="0095598B">
            <w:pPr>
              <w:spacing w:after="0" w:line="240" w:lineRule="auto"/>
              <w:rPr>
                <w:rFonts w:cs="Arial"/>
                <w:color w:val="000000"/>
                <w:sz w:val="20"/>
              </w:rPr>
            </w:pPr>
            <w:r>
              <w:rPr>
                <w:rFonts w:cs="Arial"/>
                <w:color w:val="000000"/>
                <w:sz w:val="20"/>
              </w:rPr>
              <w:t>post-index follow-up</w:t>
            </w:r>
          </w:p>
        </w:tc>
      </w:tr>
      <w:tr w:rsidR="0095598B" w14:paraId="08EF5A79" w14:textId="77777777" w:rsidTr="00A32EFB">
        <w:tc>
          <w:tcPr>
            <w:tcW w:w="2245" w:type="dxa"/>
            <w:tcBorders>
              <w:top w:val="nil"/>
              <w:left w:val="nil"/>
              <w:bottom w:val="nil"/>
              <w:right w:val="nil"/>
            </w:tcBorders>
            <w:vAlign w:val="bottom"/>
          </w:tcPr>
          <w:p w14:paraId="1265A919" w14:textId="77777777" w:rsidR="0095598B" w:rsidRPr="00334801" w:rsidRDefault="0095598B" w:rsidP="0095598B">
            <w:pPr>
              <w:spacing w:after="0" w:line="240" w:lineRule="auto"/>
              <w:rPr>
                <w:rFonts w:cs="Arial"/>
                <w:color w:val="000000"/>
                <w:sz w:val="20"/>
              </w:rPr>
            </w:pPr>
            <w:r w:rsidRPr="00334801">
              <w:rPr>
                <w:rFonts w:cs="Arial"/>
                <w:color w:val="000000"/>
                <w:sz w:val="20"/>
              </w:rPr>
              <w:t>Antihypertensive</w:t>
            </w:r>
          </w:p>
        </w:tc>
        <w:tc>
          <w:tcPr>
            <w:tcW w:w="2340" w:type="dxa"/>
            <w:tcBorders>
              <w:top w:val="nil"/>
              <w:left w:val="nil"/>
              <w:bottom w:val="nil"/>
              <w:right w:val="nil"/>
            </w:tcBorders>
            <w:vAlign w:val="bottom"/>
          </w:tcPr>
          <w:p w14:paraId="6114E03F"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1.25 (1.01-1.55)</w:t>
            </w:r>
          </w:p>
        </w:tc>
        <w:tc>
          <w:tcPr>
            <w:tcW w:w="9000" w:type="dxa"/>
            <w:tcBorders>
              <w:top w:val="nil"/>
              <w:left w:val="nil"/>
              <w:bottom w:val="nil"/>
              <w:right w:val="nil"/>
            </w:tcBorders>
            <w:vAlign w:val="bottom"/>
          </w:tcPr>
          <w:p w14:paraId="78EBCB9E" w14:textId="77777777" w:rsidR="0095598B" w:rsidRPr="00334801" w:rsidRDefault="0095598B" w:rsidP="0095598B">
            <w:pPr>
              <w:spacing w:after="0" w:line="240" w:lineRule="auto"/>
              <w:rPr>
                <w:rFonts w:cs="Arial"/>
                <w:color w:val="000000"/>
                <w:sz w:val="20"/>
              </w:rPr>
            </w:pPr>
            <w:r>
              <w:rPr>
                <w:rFonts w:cs="Arial"/>
                <w:color w:val="000000"/>
                <w:sz w:val="20"/>
              </w:rPr>
              <w:t>post-index follow-up, hypertension</w:t>
            </w:r>
          </w:p>
        </w:tc>
      </w:tr>
      <w:tr w:rsidR="0095598B" w14:paraId="4FFEA754" w14:textId="77777777" w:rsidTr="00A32EFB">
        <w:tc>
          <w:tcPr>
            <w:tcW w:w="2245" w:type="dxa"/>
            <w:tcBorders>
              <w:top w:val="nil"/>
              <w:left w:val="nil"/>
              <w:bottom w:val="nil"/>
              <w:right w:val="nil"/>
            </w:tcBorders>
            <w:vAlign w:val="bottom"/>
          </w:tcPr>
          <w:p w14:paraId="616E80FD" w14:textId="77777777" w:rsidR="0095598B" w:rsidRPr="00334801" w:rsidRDefault="0095598B" w:rsidP="0095598B">
            <w:pPr>
              <w:spacing w:after="0" w:line="240" w:lineRule="auto"/>
              <w:rPr>
                <w:rFonts w:cs="Arial"/>
                <w:color w:val="000000"/>
                <w:sz w:val="20"/>
              </w:rPr>
            </w:pPr>
            <w:r w:rsidRPr="00334801">
              <w:rPr>
                <w:rFonts w:cs="Arial"/>
                <w:color w:val="000000"/>
                <w:sz w:val="20"/>
              </w:rPr>
              <w:t>Oral Antidiabetic</w:t>
            </w:r>
          </w:p>
        </w:tc>
        <w:tc>
          <w:tcPr>
            <w:tcW w:w="2340" w:type="dxa"/>
            <w:tcBorders>
              <w:top w:val="nil"/>
              <w:left w:val="nil"/>
              <w:bottom w:val="nil"/>
              <w:right w:val="nil"/>
            </w:tcBorders>
            <w:vAlign w:val="bottom"/>
          </w:tcPr>
          <w:p w14:paraId="67574A1E"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0.83 (0.37-1.89)</w:t>
            </w:r>
          </w:p>
        </w:tc>
        <w:tc>
          <w:tcPr>
            <w:tcW w:w="9000" w:type="dxa"/>
            <w:tcBorders>
              <w:top w:val="nil"/>
              <w:left w:val="nil"/>
              <w:bottom w:val="nil"/>
              <w:right w:val="nil"/>
            </w:tcBorders>
            <w:vAlign w:val="bottom"/>
          </w:tcPr>
          <w:p w14:paraId="1AC3436F" w14:textId="77777777" w:rsidR="0095598B" w:rsidRPr="00334801" w:rsidRDefault="0095598B" w:rsidP="0095598B">
            <w:pPr>
              <w:spacing w:after="0" w:line="240" w:lineRule="auto"/>
              <w:rPr>
                <w:rFonts w:cs="Arial"/>
                <w:color w:val="000000"/>
                <w:sz w:val="20"/>
              </w:rPr>
            </w:pPr>
            <w:r>
              <w:rPr>
                <w:rFonts w:cs="Arial"/>
                <w:color w:val="000000"/>
                <w:sz w:val="20"/>
              </w:rPr>
              <w:t>post-index follow-up, diabetes</w:t>
            </w:r>
          </w:p>
        </w:tc>
      </w:tr>
      <w:tr w:rsidR="0095598B" w14:paraId="3B087320" w14:textId="77777777" w:rsidTr="00A32EFB">
        <w:tc>
          <w:tcPr>
            <w:tcW w:w="2245" w:type="dxa"/>
            <w:tcBorders>
              <w:top w:val="nil"/>
              <w:left w:val="nil"/>
              <w:bottom w:val="nil"/>
              <w:right w:val="nil"/>
            </w:tcBorders>
            <w:vAlign w:val="bottom"/>
          </w:tcPr>
          <w:p w14:paraId="77662F95" w14:textId="77777777" w:rsidR="0095598B" w:rsidRPr="00334801" w:rsidRDefault="0095598B" w:rsidP="0095598B">
            <w:pPr>
              <w:spacing w:after="0" w:line="240" w:lineRule="auto"/>
              <w:rPr>
                <w:rFonts w:cs="Arial"/>
                <w:color w:val="000000"/>
                <w:sz w:val="20"/>
              </w:rPr>
            </w:pPr>
            <w:r w:rsidRPr="00334801">
              <w:rPr>
                <w:rFonts w:cs="Arial"/>
                <w:color w:val="000000"/>
                <w:sz w:val="20"/>
              </w:rPr>
              <w:t>Antiplatelet</w:t>
            </w:r>
          </w:p>
        </w:tc>
        <w:tc>
          <w:tcPr>
            <w:tcW w:w="2340" w:type="dxa"/>
            <w:tcBorders>
              <w:top w:val="nil"/>
              <w:left w:val="nil"/>
              <w:bottom w:val="nil"/>
              <w:right w:val="nil"/>
            </w:tcBorders>
            <w:vAlign w:val="bottom"/>
          </w:tcPr>
          <w:p w14:paraId="263C60D0"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1.36 (0.26-7.19)</w:t>
            </w:r>
          </w:p>
        </w:tc>
        <w:tc>
          <w:tcPr>
            <w:tcW w:w="9000" w:type="dxa"/>
            <w:tcBorders>
              <w:top w:val="nil"/>
              <w:left w:val="nil"/>
              <w:bottom w:val="nil"/>
              <w:right w:val="nil"/>
            </w:tcBorders>
            <w:vAlign w:val="bottom"/>
          </w:tcPr>
          <w:p w14:paraId="755AE4CD"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COPD, recent myocardial infarction, coronary atherosclerosis</w:t>
            </w:r>
          </w:p>
        </w:tc>
      </w:tr>
      <w:tr w:rsidR="0095598B" w14:paraId="19628297" w14:textId="77777777" w:rsidTr="00A32EFB">
        <w:tc>
          <w:tcPr>
            <w:tcW w:w="2245" w:type="dxa"/>
            <w:tcBorders>
              <w:top w:val="nil"/>
              <w:left w:val="nil"/>
              <w:bottom w:val="nil"/>
              <w:right w:val="nil"/>
            </w:tcBorders>
            <w:vAlign w:val="bottom"/>
          </w:tcPr>
          <w:p w14:paraId="4E3566C5" w14:textId="77777777" w:rsidR="0095598B" w:rsidRPr="00334801" w:rsidRDefault="0095598B" w:rsidP="0095598B">
            <w:pPr>
              <w:spacing w:after="0" w:line="240" w:lineRule="auto"/>
              <w:rPr>
                <w:rFonts w:cs="Arial"/>
                <w:color w:val="000000"/>
                <w:sz w:val="20"/>
              </w:rPr>
            </w:pPr>
            <w:r w:rsidRPr="00334801">
              <w:rPr>
                <w:rFonts w:cs="Arial"/>
                <w:color w:val="000000"/>
                <w:sz w:val="20"/>
              </w:rPr>
              <w:t>Anti-Dementia</w:t>
            </w:r>
          </w:p>
        </w:tc>
        <w:tc>
          <w:tcPr>
            <w:tcW w:w="2340" w:type="dxa"/>
            <w:tcBorders>
              <w:top w:val="nil"/>
              <w:left w:val="nil"/>
              <w:bottom w:val="nil"/>
              <w:right w:val="nil"/>
            </w:tcBorders>
            <w:vAlign w:val="bottom"/>
          </w:tcPr>
          <w:p w14:paraId="71B46CBA"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1.55 (0.90-2.66)</w:t>
            </w:r>
          </w:p>
        </w:tc>
        <w:tc>
          <w:tcPr>
            <w:tcW w:w="9000" w:type="dxa"/>
            <w:tcBorders>
              <w:top w:val="nil"/>
              <w:left w:val="nil"/>
              <w:bottom w:val="nil"/>
              <w:right w:val="nil"/>
            </w:tcBorders>
            <w:vAlign w:val="bottom"/>
          </w:tcPr>
          <w:p w14:paraId="31BC219E"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most recent hospice care setting</w:t>
            </w:r>
          </w:p>
        </w:tc>
      </w:tr>
      <w:tr w:rsidR="0095598B" w14:paraId="49472D40" w14:textId="77777777" w:rsidTr="00A32EFB">
        <w:tc>
          <w:tcPr>
            <w:tcW w:w="2245" w:type="dxa"/>
            <w:tcBorders>
              <w:top w:val="nil"/>
              <w:left w:val="nil"/>
              <w:bottom w:val="nil"/>
              <w:right w:val="nil"/>
            </w:tcBorders>
            <w:vAlign w:val="bottom"/>
          </w:tcPr>
          <w:p w14:paraId="7338ACAD" w14:textId="77777777" w:rsidR="0095598B" w:rsidRPr="00334801" w:rsidRDefault="0095598B" w:rsidP="0095598B">
            <w:pPr>
              <w:spacing w:after="0" w:line="240" w:lineRule="auto"/>
              <w:rPr>
                <w:rFonts w:cs="Arial"/>
                <w:color w:val="000000"/>
                <w:sz w:val="20"/>
              </w:rPr>
            </w:pPr>
            <w:r w:rsidRPr="00334801">
              <w:rPr>
                <w:rFonts w:cs="Arial"/>
                <w:color w:val="000000"/>
                <w:sz w:val="20"/>
              </w:rPr>
              <w:t>Oral Anti-Osteoporotic</w:t>
            </w:r>
          </w:p>
        </w:tc>
        <w:tc>
          <w:tcPr>
            <w:tcW w:w="2340" w:type="dxa"/>
            <w:tcBorders>
              <w:top w:val="nil"/>
              <w:left w:val="nil"/>
              <w:bottom w:val="nil"/>
              <w:right w:val="nil"/>
            </w:tcBorders>
            <w:vAlign w:val="bottom"/>
          </w:tcPr>
          <w:p w14:paraId="6045502C"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2.50 (0.23-27.2)</w:t>
            </w:r>
          </w:p>
        </w:tc>
        <w:tc>
          <w:tcPr>
            <w:tcW w:w="9000" w:type="dxa"/>
            <w:tcBorders>
              <w:top w:val="nil"/>
              <w:left w:val="nil"/>
              <w:bottom w:val="nil"/>
              <w:right w:val="nil"/>
            </w:tcBorders>
            <w:vAlign w:val="bottom"/>
          </w:tcPr>
          <w:p w14:paraId="5E219467" w14:textId="77777777" w:rsidR="0095598B" w:rsidRPr="00334801" w:rsidRDefault="0095598B" w:rsidP="0095598B">
            <w:pPr>
              <w:spacing w:after="0" w:line="240" w:lineRule="auto"/>
              <w:rPr>
                <w:rFonts w:cs="Arial"/>
                <w:color w:val="000000"/>
                <w:sz w:val="20"/>
              </w:rPr>
            </w:pPr>
            <w:r>
              <w:rPr>
                <w:rFonts w:cs="Arial"/>
                <w:color w:val="000000"/>
                <w:sz w:val="20"/>
              </w:rPr>
              <w:t>any prior use of inpatient hospice, post-index follow-up, renal disease</w:t>
            </w:r>
          </w:p>
        </w:tc>
      </w:tr>
      <w:tr w:rsidR="0095598B" w14:paraId="1132EA38" w14:textId="77777777" w:rsidTr="00A32EFB">
        <w:tc>
          <w:tcPr>
            <w:tcW w:w="2245" w:type="dxa"/>
            <w:tcBorders>
              <w:top w:val="nil"/>
              <w:left w:val="nil"/>
              <w:right w:val="nil"/>
            </w:tcBorders>
            <w:vAlign w:val="bottom"/>
          </w:tcPr>
          <w:p w14:paraId="4A9FD76D" w14:textId="77777777" w:rsidR="0095598B" w:rsidRPr="00334801" w:rsidRDefault="0095598B" w:rsidP="0095598B">
            <w:pPr>
              <w:spacing w:after="0" w:line="240" w:lineRule="auto"/>
              <w:rPr>
                <w:rFonts w:cs="Arial"/>
                <w:color w:val="000000"/>
                <w:sz w:val="20"/>
              </w:rPr>
            </w:pPr>
            <w:r w:rsidRPr="00334801">
              <w:rPr>
                <w:rFonts w:cs="Arial"/>
                <w:color w:val="000000"/>
                <w:sz w:val="20"/>
              </w:rPr>
              <w:t>Proton Pump Inhibitor</w:t>
            </w:r>
          </w:p>
        </w:tc>
        <w:tc>
          <w:tcPr>
            <w:tcW w:w="2340" w:type="dxa"/>
            <w:tcBorders>
              <w:top w:val="nil"/>
              <w:left w:val="nil"/>
              <w:right w:val="nil"/>
            </w:tcBorders>
            <w:vAlign w:val="bottom"/>
          </w:tcPr>
          <w:p w14:paraId="71184F01" w14:textId="77777777" w:rsidR="0095598B" w:rsidRPr="00334801" w:rsidRDefault="0095598B" w:rsidP="0095598B">
            <w:pPr>
              <w:spacing w:after="0" w:line="240" w:lineRule="auto"/>
              <w:jc w:val="center"/>
              <w:rPr>
                <w:rFonts w:cs="Arial"/>
                <w:color w:val="000000"/>
                <w:sz w:val="20"/>
              </w:rPr>
            </w:pPr>
            <w:r w:rsidRPr="00334801">
              <w:rPr>
                <w:rFonts w:cs="Arial"/>
                <w:color w:val="000000"/>
                <w:sz w:val="20"/>
              </w:rPr>
              <w:t>1.69 (1.22-2.34)</w:t>
            </w:r>
          </w:p>
        </w:tc>
        <w:tc>
          <w:tcPr>
            <w:tcW w:w="9000" w:type="dxa"/>
            <w:tcBorders>
              <w:top w:val="nil"/>
              <w:left w:val="nil"/>
              <w:right w:val="nil"/>
            </w:tcBorders>
            <w:vAlign w:val="bottom"/>
          </w:tcPr>
          <w:p w14:paraId="4C9BD478" w14:textId="77777777" w:rsidR="0095598B" w:rsidRPr="00334801" w:rsidRDefault="0095598B" w:rsidP="0095598B">
            <w:pPr>
              <w:spacing w:after="0" w:line="240" w:lineRule="auto"/>
              <w:rPr>
                <w:rFonts w:cs="Arial"/>
                <w:color w:val="000000"/>
                <w:sz w:val="20"/>
              </w:rPr>
            </w:pPr>
            <w:r>
              <w:rPr>
                <w:rFonts w:cs="Arial"/>
                <w:color w:val="000000"/>
                <w:sz w:val="20"/>
              </w:rPr>
              <w:t>post-index follow-up</w:t>
            </w:r>
          </w:p>
        </w:tc>
      </w:tr>
    </w:tbl>
    <w:p w14:paraId="6896E6FA" w14:textId="47E9668D" w:rsidR="00A32EFB" w:rsidRDefault="00A32EFB" w:rsidP="00A32EFB">
      <w:pPr>
        <w:spacing w:after="0" w:line="240" w:lineRule="auto"/>
        <w:rPr>
          <w:rFonts w:cs="Arial"/>
          <w:sz w:val="20"/>
        </w:rPr>
      </w:pPr>
      <w:r w:rsidRPr="00334801">
        <w:rPr>
          <w:rFonts w:cs="Arial"/>
          <w:sz w:val="20"/>
        </w:rPr>
        <w:t>CI: confidence interval; IRR: incidence rate ratio</w:t>
      </w:r>
    </w:p>
    <w:p w14:paraId="0027F418" w14:textId="21DCC604" w:rsidR="00A32EFB" w:rsidRDefault="00A32EFB" w:rsidP="00A32EFB">
      <w:pPr>
        <w:spacing w:after="0" w:line="240" w:lineRule="auto"/>
        <w:rPr>
          <w:rFonts w:cs="Arial"/>
          <w:sz w:val="20"/>
        </w:rPr>
      </w:pPr>
      <w:r>
        <w:rPr>
          <w:rFonts w:cs="Arial"/>
          <w:sz w:val="20"/>
          <w:vertAlign w:val="superscript"/>
        </w:rPr>
        <w:t>a</w:t>
      </w:r>
      <w:r>
        <w:rPr>
          <w:rFonts w:cs="Arial"/>
          <w:sz w:val="20"/>
        </w:rPr>
        <w:t>All models additionally adjusted for race and primary hospice admission diagnosis</w:t>
      </w:r>
      <w:r w:rsidR="00425E4F">
        <w:rPr>
          <w:rFonts w:cs="Arial"/>
          <w:sz w:val="20"/>
        </w:rPr>
        <w:t>.</w:t>
      </w:r>
    </w:p>
    <w:p w14:paraId="73EA60D8" w14:textId="77777777" w:rsidR="0095598B" w:rsidRDefault="0095598B" w:rsidP="00425E4F">
      <w:pPr>
        <w:pStyle w:val="Style2"/>
        <w:spacing w:before="0" w:after="0" w:line="240" w:lineRule="auto"/>
        <w:rPr>
          <w:caps/>
          <w:sz w:val="24"/>
          <w:szCs w:val="24"/>
          <w:u w:val="none"/>
        </w:rPr>
        <w:sectPr w:rsidR="0095598B" w:rsidSect="00E841BE">
          <w:pgSz w:w="15840" w:h="12240" w:orient="landscape" w:code="1"/>
          <w:pgMar w:top="720" w:right="720" w:bottom="720" w:left="1440" w:header="720" w:footer="432" w:gutter="0"/>
          <w:cols w:space="720"/>
          <w:docGrid w:linePitch="360"/>
        </w:sectPr>
      </w:pPr>
    </w:p>
    <w:p w14:paraId="2B1AFBFB" w14:textId="77777777" w:rsidR="004A3C4D" w:rsidRPr="00725D15" w:rsidRDefault="004A3C4D" w:rsidP="004A3C4D">
      <w:pPr>
        <w:pStyle w:val="Style2"/>
      </w:pPr>
      <w:bookmarkStart w:id="142" w:name="_Toc507326075"/>
      <w:r w:rsidRPr="00725D15">
        <w:lastRenderedPageBreak/>
        <w:t>4.5 Discussion</w:t>
      </w:r>
      <w:bookmarkEnd w:id="142"/>
    </w:p>
    <w:p w14:paraId="264E9A12" w14:textId="77777777" w:rsidR="00520436" w:rsidRPr="00725D15" w:rsidRDefault="00520436" w:rsidP="00520436">
      <w:pPr>
        <w:ind w:firstLine="720"/>
        <w:rPr>
          <w:rFonts w:cs="Arial"/>
          <w:szCs w:val="22"/>
        </w:rPr>
      </w:pPr>
      <w:r w:rsidRPr="00725D15">
        <w:rPr>
          <w:rFonts w:cs="Arial"/>
          <w:szCs w:val="22"/>
        </w:rPr>
        <w:t xml:space="preserve">In this cohort of older Medicare patients admitted to hospice, nearly one in five received at least one LBM following a burdensome health care transition. Transitions were significantly associated with subsequent receipt of at least one LBM as well as with receipt of antihyperlipidemics, antihypertensives, and proton pump inhibitors. The risk of receiving one or more LBMs following a transition was further increased when evaluating only hospitalization transitions. Patients who used at least one LBM prior to hospice admission were more than twice as likely to receive an LBM in the three days following a hospital discharge compared to matched controls. Conversely, the risk of LBM receipt was attenuated when extending the post-transition follow-up window to 14 days. </w:t>
      </w:r>
    </w:p>
    <w:p w14:paraId="3079620E" w14:textId="40A0F646" w:rsidR="00520436" w:rsidRDefault="00520436" w:rsidP="00520436">
      <w:pPr>
        <w:ind w:firstLine="720"/>
        <w:rPr>
          <w:rFonts w:cs="Arial"/>
          <w:szCs w:val="22"/>
        </w:rPr>
      </w:pPr>
      <w:r w:rsidRPr="00725D15">
        <w:rPr>
          <w:rFonts w:cs="Arial"/>
          <w:szCs w:val="22"/>
        </w:rPr>
        <w:t>To our knowledge, this is the only study to measure non-palliative medication use among terminally-ill patients subsequent to burdensome health care transitions. Prior studies examining medication use following care transitions among the general geriatric population have primarily focused on adverse drug events and medication discrepancies after hospitalizations.</w:t>
      </w:r>
      <w:r w:rsidRPr="00725D15">
        <w:rPr>
          <w:rFonts w:cs="Arial"/>
          <w:szCs w:val="22"/>
        </w:rPr>
        <w:fldChar w:fldCharType="begin"/>
      </w:r>
      <w:r w:rsidR="00EC3644">
        <w:rPr>
          <w:rFonts w:cs="Arial"/>
          <w:szCs w:val="22"/>
        </w:rPr>
        <w:instrText xml:space="preserve"> ADDIN ZOTERO_ITEM CSL_CITATION {"citationID":"djxxvRlb","properties":{"formattedCitation":"\\super 76,140\\uc0\\u8211{}142\\nosupersub{}","plainCitation":"76,140–142","noteIndex":0},"citationItems":[{"id":4073,"uris":["http://zotero.org/users/2597747/items/3KINMAZC"],"uri":["http://zotero.org/users/2597747/items/3KINMAZC"],"itemData":{"id":4073,"type":"article-journal","title":"Adverse Drug Events Occurring Following Hospital Discharge","container-title":"Journal of General Internal Medicine","page":"317-323","volume":"20","issue":"4","source":"PubMed Central","abstract":"OBJECTIVE\nTo describe the incidence of adverse drug events (ADEs), preventable ADEs, and ameliorable ADEs occurring after hospital discharge and their associated risk factors.\n\nDESIGN\nProspective cohort study.\n\nSETTING\nUrban academic health sciences center.\n\nPATIENTS\nConsecutive patients discharged home from the general medical service.\n\nINTERVENTIONS\nWe determined posthospital outcomes approximately 24 days following discharge by performing a chart review and telephone interview. Using the telephone interview, we identified new or worsening symptoms, the patient's health system use, and recollection of processes of care. Posthospital outcomes were judged by 2 internists independently.\n\nRESULTS\nFour hundred of 581 potentially eligible patients were evaluated. Of the 400 patients, 45 developed an ADE (incidence, 11%; 95% confidence interval [CI], 8% to 14%). Of these, 27% were preventable and 33% were ameliorable. Injuries were significant in 32 patients, serious in 6, and life threatening in 7. Patients were less likely to experience an ADE if they recalled having side effects of prescribed medications explained (OR, 0.4; 95% CI, 0.2 to 0.8). The risk of ADE per prescription was highest for corticosteroids, anticoagulants, antibiotics, analgesics, and cardiovascular medications. Risk increased with prescription number. Failure to monitor was an especially common cause of preventable and ameliorable ADEs.\n\nCONCLUSION\nFollowing discharge, ADEs were common and many were preventable or ameliorable. Medication side effects should be discussed, and interventions should include better monitoring and target patients receiving specific drug classes or multiple medications.","DOI":"10.1111/j.1525-1497.2005.30390.x","ISSN":"0884-8734","note":"PMID: 15857487\nPMCID: PMC1490089","journalAbbreviation":"J Gen Intern Med","author":[{"family":"Forster","given":"Alan J"},{"family":"Murff","given":"Harvey J"},{"family":"Peterson","given":"Josh F"},{"family":"Gandhi","given":"Tejal K"},{"family":"Bates","given":"David W"}],"issued":{"date-parts":[["2005",4]]}}},{"id":4137,"uris":["http://zotero.org/users/2597747/items/7XZRIZVN"],"uri":["http://zotero.org/users/2597747/items/7XZRIZVN"],"itemData":{"id":4137,"type":"article-journal","title":"The incidence and severity of adverse events affecting patients after discharge from the hospital","container-title":"Annals of Internal Medicine","page":"161-167","volume":"138","issue":"3","source":"PubMed","abstract":"BACKGROUND: Studies of hospitalized patients identify safety as a significant problem, but few data are available regarding injuries occurring after discharge. Patients may be vulnerable during this transition period.\nOBJECTIVE: To describe the incidence, severity, preventability, and \"ameliorability\" of adverse events affecting patients after discharge from the hospital and to develop strategies for improving patient safety during this interval.\nDESIGN: Prospective cohort study.\nSETTING: A tertiary care academic hospital.\nPATIENTS: 400 consecutive patients discharged home from the general medical service.\nMEASUREMENTS: The three main outcomes were adverse events, defined as injuries occurring as a result of medical management; preventable adverse events, defined as adverse events judged to have been caused by an error; and ameliorable adverse events, defined as adverse events whose severity could have been decreased. Posthospital course was determined by performing a medical record review and a structured telephone interview approximately 3 weeks after each patient's discharge. Outcomes were determined by independent physician reviews.\nRESULTS: Seventy-six patients had adverse events after discharge (19% [95% CI, 15% to 23%]). Of these, 23 had preventable adverse events (6% [CI, 4% to 9%]) and 24 had ameliorable adverse events (6% [CI, 4% to 9%]). Three percent of injuries were serious laboratory abnormalities, 65% were symptoms, 30% were symptoms associated with a nonpermanent disability, and 3% were permanent disabilities. Adverse drug events were the most common type of adverse event (66% [CI, 55% to 76%]), followed by procedure-related injuries (17% [CI, 8% to 26%]). Of the 25 adverse events resulting in at least a nonpermanent disability, 12 were preventable (48% [CI, 28% to 68%]) and 6 were ameliorable (24% [CI, 7% to 41%]).\nCONCLUSION: Adverse events occurred frequently in the peridischarge period, and many could potentially have been prevented or ameliorated with simple strategies.","ISSN":"1539-3704","note":"PMID: 12558354","journalAbbreviation":"Ann. Intern. Med.","language":"eng","author":[{"family":"Forster","given":"Alan J."},{"family":"Murff","given":"Harvey J."},{"family":"Peterson","given":"Josh F."},{"family":"Gandhi","given":"Tejal K."},{"family":"Bates","given":"David W."}],"issued":{"date-parts":[["2003",2,4]]}}},{"id":2498,"uris":["http://zotero.org/users/2597747/items/6HEPINUJ"],"uri":["http://zotero.org/users/2597747/items/6HEPINUJ"],"itemData":{"id":2498,"type":"article-journal","title":"Posthospital medication discrepancies: Prevalence and contributing factors","container-title":"Archives of Internal Medicine","page":"1842-1847","volume":"165","issue":"16","source":"Silverchair","abstract":"Background \nDespite the national attention being given to the problem of medication safety, little attention has been paid to the medication problems that are encountered by older patients who are receiving care across settings. The objective of this study was to determine the prevalence and contributing factors associated with posthospital medication discrepancies.Methods\nThe study population consisted of community-dwelling adults aged 65 years and older admitted to the hospital with 1 of 9 selected conditions (n = 375). A geriatric nurse practitioner performed a comprehensive medication assessment in the patient’s home within 24 to 72 hours after institutional discharge. The assessment focused on what older patients reported taking in comparison with the prehospital medication regimen and the posthospital medication regimen. Prevalence and types of medication discrepancies were categorized using the Medication Discrepancy Tool.Results\nA total of 14.1% of patients experienced 1 or more medication discrepancies. Using the Medication Discrepancy Tool, 50.8% of identified contributing factors for discrepancies were categorized as patient-associated, and 49.2% were categorized as system-associated. Five medication classes accounted for half of all medication discrepancies. Medication discrepancies were associated with the total number of medications taken and the presence of congestive heart failure. A total of 14.3% of the patients who experienced medication discrepancies were rehospitalized at 30 days compared with 6.1% of the patients who did not experience a discrepancy (P = .04).Conclusions\nA significant percentage of older patients experienced medication discrepancies after making the transition from hospital to home. Both patient-associated and system-associated solutions may be needed to ensure medication safety during this vulnerable period.","DOI":"10.1001/archinte.165.16.1842","ISSN":"0003-9926","shortTitle":"Posthospital medication discrepancies","journalAbbreviation":"Arch Intern Med","author":[{"literal":"Coleman EA"},{"literal":"Smith JD"},{"literal":"Raha D"},{"literal":"Min S"}],"issued":{"date-parts":[["2005",9,12]]}}},{"id":4124,"uris":["http://zotero.org/users/2597747/items/X4HIBPXT"],"uri":["http://zotero.org/users/2597747/items/X4HIBPXT"],"itemData":{"id":4124,"type":"article-journal","title":"The impact of hospitalization on potentially inappropriate prescribing in an acute medical geriatric division","container-title":"International Journal of Clinical Pharmacy","page":"60-67","volume":"37","issue":"1","source":"link-springer-com.proxy.cc.uic.edu","abstract":"Background Screening Tool of Older Person’s Prescriptions (STOPP) and the Screening Tool to Alert doctors to Right Treatment (START) have been increasingly used to evaluate potentially inappropriate prescriptions (PIPs) and potentially prescription omissions (PPOs). The impact of hospitalization on PIPs/PPOs has not been investigated in depth. Objective To compare the prevalence of PIPs/PPOs in elderly patients on hospital admission and discharge and to identify associated risk factors. Setting An acute medical geriatric division of the Tel Aviv Medical Center (Israel). Method This retrospective cross-sectional study included patients admitted from 12/2011 to 12/2012 aged ≥65 years. Data from patients’ records included demographic details, diagnoses and medications at admission and discharge. STOPP/START criteria were applied to each patient’s record. Main outcome measure Prevalence of PIPs/PPOs on hospital admission and discharge. Results Three hundred patients were included (mean ± SD age 81.9 ± 7.2 years). Admission PIPs prevalence was 39.3 % (118 patients, 172 PIPs) and it increased to 46.0 % (138 patients, 209 PIPs) at discharge (P = 0.009). Admission PPOs prevalence was 41.0 % (123 patients, 153 PPOs) and it decreased to 28.3 % (85 patients, 99 PPOs) at discharge (P &lt; 0.001). Having at least one PIP/PPO at discharge but not at admission was associated with length of hospital stay (OR 1.02, 95 % CI 1.001–1.03). History of falls increased the risk of being a “new PIP patient” (OR 2.25, 95 % CI 1.03–4.9), whereas diabetes increased the risk of being a “new PPO patient” (OR 3.86, 95 % CI 1.2–12.5). Conclusion Hospitalization in a geriatric division resulted in an increase in PIPs and a decrease in PPOs. Strategies to reduce PIPs need to be implemented, especially for patients with longer hospital stay and a history of falls.","DOI":"10.1007/s11096-014-0040-9","ISSN":"2210-7703, 2210-7711","journalAbbreviation":"Int J Clin Pharm","language":"en","author":[{"family":"Frankenthal","given":"Dvora"},{"family":"Lerman","given":"Yaffa"},{"family":"Lerman","given":"Yehuda"}],"issued":{"date-parts":[["2015",2,1]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76,140–142</w:t>
      </w:r>
      <w:r w:rsidRPr="00725D15">
        <w:rPr>
          <w:rFonts w:cs="Arial"/>
          <w:szCs w:val="22"/>
        </w:rPr>
        <w:fldChar w:fldCharType="end"/>
      </w:r>
      <w:r w:rsidRPr="00725D15">
        <w:rPr>
          <w:rFonts w:cs="Arial"/>
          <w:szCs w:val="22"/>
        </w:rPr>
        <w:t xml:space="preserve"> Poor communication between providers at the time of hospital admission and between providers and patients/families at the time of discharge have been identified as significant contributors to these medication-related problems.</w:t>
      </w:r>
      <w:r w:rsidRPr="00725D15">
        <w:rPr>
          <w:rFonts w:cs="Arial"/>
          <w:szCs w:val="22"/>
        </w:rPr>
        <w:fldChar w:fldCharType="begin"/>
      </w:r>
      <w:r w:rsidR="00EC3644">
        <w:rPr>
          <w:rFonts w:cs="Arial"/>
          <w:szCs w:val="22"/>
        </w:rPr>
        <w:instrText xml:space="preserve"> ADDIN ZOTERO_ITEM CSL_CITATION {"citationID":"u77jrfUD","properties":{"formattedCitation":"\\super 77\\uc0\\u8211{}79,143,144\\nosupersub{}","plainCitation":"77–79,143,144","noteIndex":0},"citationItems":[{"id":2293,"uris":["http://zotero.org/users/2597747/items/K995AHCU"],"uri":["http://zotero.org/users/2597747/items/K995AHCU"],"itemData":{"id":2293,"type":"article-journal","title":"Deficits in communication and information transfer between hospital-based and primary care physicians: Implications for patient safety and continuity of care","container-title":"JAMA","page":"831-841","volume":"297","issue":"8","source":"Silverchair","abstract":"Context Delayed or inaccurate communication between hospital-based and primary care physicians at hospital discharge may negatively affect continuity of care and contribute to adverse events.Objectives To characterize the prevalence of deficits in communication and information transfer at hospital discharge and to identify interventions to improve this process.Data Sources MEDLINE (through November 2006), Cochrane Database of Systematic Reviews, and hand search of article bibliographies.Study Selection Observational studies investigating communication and information transfer at hospital discharge (n = 55) and controlled studies evaluating the efficacy of interventions to improve information transfer (n = 18).Data Extraction Data from observational studies were extracted on the availability, timeliness, content, and format of discharge communications, as well as primary care physician satisfaction. Results of interventions were summarized by their effect on timeliness, accuracy, completeness, and overall quality of the information transfer.Data Synthesis Direct communication between hospital physicians and primary care physicians occurred infrequently (3%-20%). The availability of a discharge summary at the first postdischarge visit was low (12%-34%) and remained poor at 4 weeks (51%-77%), affecting the quality of care in approximately 25% of follow-up visits and contributing to primary care physician dissatisfaction. Discharge summaries often lacked important information such as diagnostic test results (missing from 33%-63%), treatment or hospital course (7%-22%), discharge medications (2%-40%), test results pending at discharge (65%), patient or family counseling (90%-92%), and follow-up plans (2%-43%). Several interventions, including computer-generated discharge summaries and using patients as couriers, shortened the delivery time of discharge communications. Use of standardized formats to highlight the most pertinent information improved the perceived quality of documents.Conclusions Deficits in communication and information transfer at hospital discharge are common and may adversely affect patient care. Interventions such as computer-generated summaries and standardized formats may facilitate more timely transfer of pertinent patient information to primary care physicians and make discharge summaries more consistently available during follow-up care.","DOI":"10.1001/jama.297.8.831","ISSN":"0098-7484","shortTitle":"Deficits in communication and information transfer between hospital-based and primary care physicians","journalAbbreviation":"JAMA","author":[{"literal":"Kripalani S"},{"literal":"LeFevre F"},{"literal":"Phillips CO"},{"literal":"Williams MV"},{"literal":"Basaviah P"},{"literal":"Baker DW"}],"issued":{"date-parts":[["2007",2,28]]}}},{"id":2765,"uris":["http://zotero.org/users/2597747/items/FZTBEC7B"],"uri":["http://zotero.org/users/2597747/items/FZTBEC7B"],"itemData":{"id":2765,"type":"article-journal","title":"Falling Through the Cracks: Challenges and Opportunities for Improving Transitional Care for Persons with Continuous Complex Care Needs","container-title":"Journal of the American Geriatrics Society","page":"549-555","volume":"51","issue":"4","source":"Wiley Online Library","abstract":"Persons with continuous complex care needs frequently require care in multiple settings. During transitions between settings, this population is particularly vulnerable to experiencing poor care quality and problems of care fragmentation. Despite how common these transitions have become, the challenges of improving care transitions have received little attention from policy makers, clinicians, and quality improvement entities. This article begins with a definition of transitional care and then discusses the nature of the problem, its prevalence, manifestations of poorly executed transitions, and potentially remediable barriers. Necessary elements for effective transitions are then presented, followed by promising new directions for quality improvement at the level of the delivery system, information technology, and national health policy. The article concludes with a proposed research agenda designed to advance the science of high-quality transitional care.","DOI":"10.1046/j.1532-5415.2003.51185.x","ISSN":"1532-5415","shortTitle":"Falling Through the Cracks","journalAbbreviation":"Journal of the American Geriatrics Society","language":"en","author":[{"family":"Coleman","given":"Eric A."}],"issued":{"date-parts":[["2003",4,1]]}}},{"id":4085,"uris":["http://zotero.org/users/2597747/items/JFGPQEX4"],"uri":["http://zotero.org/users/2597747/items/JFGPQEX4"],"itemData":{"id":4085,"type":"article-journal","title":"Prevalence of information gaps for seniors transferred from nursing homes to the emergency department","container-title":"CJEM","page":"462-470","volume":"11","issue":"5","source":"EBSCOhost","abstract":"Objective: Information gaps, defined as previously collected information that is not available to the treating physician, have implications for patient safety and system efficiency. For patients transferred to an emergency department (ED) from a nursing home or seniors residence, we determined the frequency and type of clinically important information gaps and the impact of a regional transfer form. Methods: During a 6-month period, we studied consecutive patients who were identified through the National Ambulatory Care Reporting System database. Patients were over 60 years of age, lived in a nursing home or seniors residence, and arrived by ambulance to a tertiary care ED. We abstracted data from original transfer and ED records using a structured data collection tool. We measured the frequency of prespecified information gaps, which we defined as the failure to communicate information usually required by an emergency physician (EP). We also determined the use of the standardized patient transfer form that is used in Ontario and its impact on the rate of information gaps that occur in our community. Results: We studied 457 transfers for 384 patients. Baseline dementia was present in 34.1% of patients. Important information gaps occurred in 85.5% (95% confidence interval [CI] 82.0%-88.0%) of cases. Specific information gaps along with their relative frequency included the following: the reason for transfer (12.9%), the baseline cognitive function and communication ability (36.5%), vital signs (37.6%), advanced directives (46.4%), medication (20.4%), activities of daily living (53.0%) and mobility (47.7%). A standardized transfer form was used in 42.7% of transfers. When the form was used, information gaps were present in 74.9% of transfers compared with 93.5% of the transfers when the form was not used (p &lt; 0.001). Descriptors of the patient's chief complaint were frequently absent (81.0% for head injury [any information about loss of consciousness], 42.4% for abdominal pain and 47.1% for chest pain [any information on location, severity and duration]). Conclusion: Information gaps occur commonly when elderly patients are transferred from a nursing home or seniors residence to the ED. A standardized transfer form was associated with a limited reduction in the prevalence of information gaps; even when the form was used, a large percentage of the transfers were missing information. We also determined that the lack of descriptive detail regarding the presenting problem was common. We believe this represents a previously unidentified information gap in the literature about nursing home transfers. Future research should focus on the clinical impact of information gaps. System improvements should focus on educational and regulatory interventions, as well as adjustments to the transfer form. (English)","ISSN":"14818035","journalAbbreviation":"CJEM: Canadian Journal of Emergency Medicine","author":[{"family":"Cwinn","given":"Matthew A."},{"family":"Forster","given":"Alan J."},{"family":"Cwinn","given":"A. Adam"},{"family":"Hebert","given":"Guy"},{"family":"Calder","given":"Lisa"},{"family":"Stiell","given":""}],"issued":{"date-parts":[["2009",9]]}}},{"id":2502,"uris":["http://zotero.org/users/2597747/items/WXNX5R45"],"uri":["http://zotero.org/users/2597747/items/WXNX5R45"],"itemData":{"id":2502,"type":"article-journal","title":"Medication Use in the Transition from Hospital to Home","container-title":"Annals of the Academy of Medicine, Singapore","page":"136","volume":"37","issue":"2","source":"PubMed Central","abstract":"After hospital discharge, correct understanding and use of medications are key components of patient safety. The current discharge process does not provide adequate fail-safes to ensure quality post-discharge care. This often leads to preventable medication errors as well as non-adherence. Several barriers to successful discharge counseling, including use of medical jargon, lack of educational and administrative resources, time constraints, and low health literacy, contribute to ineffective communication between hospital physicians and patients. Other obstacles include inaccurate or incomplete documentation of the medication history, lack of social support, financial constraints, and poor transfer of information to outpatient physicians. Solutions to improve medication use in the transition period after hospital discharge require effective communication with patients through the use of easily understood language, highlighting key information, and ensuring patient comprehension through the “teach back” technique. More timely communication with outpatient physicians in addition to a more comprehensive transfer of information further facilitate the transition home. Finally, a systematic process of medication reconciliation also aids in decreasing the incidence of medication errors. Hospital-based physicians who attend to key details in the process of discharging patients can have a profound impact on improving medication adherence, avoiding medication errors, and decreasing adverse outcomes in the post-discharge period.","ISSN":"0304-4602","note":"PMID: 18327350\nPMCID: PMC3575742","journalAbbreviation":"Ann Acad Med Singapore","author":[{"family":"Cua","given":"Yvette M."},{"family":"Kripalani","given":"Sunil"}],"issued":{"date-parts":[["2008",2]]}}},{"id":4114,"uris":["http://zotero.org/users/2597747/items/Z5IBJ8XB"],"uri":["http://zotero.org/users/2597747/items/Z5IBJ8XB"],"itemData":{"id":4114,"type":"article-journal","title":"Preventing medication errors in transitions of care: A patient case approach","container-title":"Journal of the American Pharmacists Association","page":"e264-274","volume":"55","issue":"2","source":"PubMed","abstract":"OBJECTIVE: To discuss common causes of medication errors occurring upon transitions of care and review key interventions that should be implemented to ensure effective communication and accurate completion of medication reconciliation.\nDATA SOURCES: MEDLINE (1946 to November 2014) using MeSH terms medication errors, medication reconciliation, and nursing homes in addition to conventional text words, including transitions of care and medication safety; Agency for Healthcare Research and Quality Patient Safety Network using search terms transitions of care, medication errors, and medication reconciliation; and relevant websites of national organizations pertaining to transitions of care and medication reconciliation.\nSTUDY SELECTION: Limited to English-language journals with no limitation set on the year of publication for clinical trials, meta-analyses, and reviews.\nDATA EXTRACTION: At the authors' discretion, preference was given to references focusing on pharmacists' role in transitions of care and medication reconciliation.\nRESULTS: Most medication errors stem from a lack of effective communication between health care providers during transitions of care. Part of successful communication and correct patient hand-off is completing accurate medication reconciliation. A patient case highlights a life-threatening medication error that occurred during a transition of care due to ineffective communication between a pharmacist and nurse while transferring medication information.\nCONCLUSION: To provide patients with accurate medication information, pharmacists should perform medication reconciliation upon transitions of care using The Joint Commission's five-step process. Pharmacists can conduct numerous interventions to prevent medication errors during transitions of care and ensure patient safety. Pharmacists are integral to evaluating the appropriateness of medication use, ensuring information is updated in the health record, and verbally communicating accurate information to other health professionals.","DOI":"10.1331/JAPhA.2015.15509","ISSN":"1544-3450","note":"PMID: 25749270","shortTitle":"Preventing medication errors in transitions of care","journalAbbreviation":"J Am Pharm Assoc (2003)","language":"eng","author":[{"family":"Johnson","given":"Ashley"},{"family":"Guirguis","given":"Erenie"},{"family":"Grace","given":"Yasmin"}],"issued":{"date-parts":[["2015",4]]}}}],"schema":"https://github.com/citation-style-language/schema/raw/master/csl-citation.json"}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77–79,143,144</w:t>
      </w:r>
      <w:r w:rsidRPr="00725D15">
        <w:rPr>
          <w:rFonts w:cs="Arial"/>
          <w:szCs w:val="22"/>
        </w:rPr>
        <w:fldChar w:fldCharType="end"/>
      </w:r>
      <w:r w:rsidRPr="00725D15">
        <w:rPr>
          <w:rFonts w:cs="Arial"/>
          <w:szCs w:val="22"/>
        </w:rPr>
        <w:t xml:space="preserve"> Direct communication between hospital and primary care providers at hospital discharge, for example, may only occur in 3%-20% of cases.</w:t>
      </w:r>
      <w:r w:rsidRPr="00725D15">
        <w:rPr>
          <w:rFonts w:cs="Arial"/>
          <w:szCs w:val="22"/>
        </w:rPr>
        <w:fldChar w:fldCharType="begin"/>
      </w:r>
      <w:r w:rsidR="00EC3644">
        <w:rPr>
          <w:rFonts w:cs="Arial"/>
          <w:szCs w:val="22"/>
        </w:rPr>
        <w:instrText xml:space="preserve"> ADDIN ZOTERO_ITEM CSL_CITATION {"citationID":"a1nglr99beu","properties":{"formattedCitation":"\\super 77\\nosupersub{}","plainCitation":"77","noteIndex":0},"citationItems":[{"id":2293,"uris":["http://zotero.org/users/2597747/items/K995AHCU"],"uri":["http://zotero.org/users/2597747/items/K995AHCU"],"itemData":{"id":2293,"type":"article-journal","title":"Deficits in communication and information transfer between hospital-based and primary care physicians: Implications for patient safety and continuity of care","container-title":"JAMA","page":"831-841","volume":"297","issue":"8","source":"Silverchair","abstract":"Context Delayed or inaccurate communication between hospital-based and primary care physicians at hospital discharge may negatively affect continuity of care and contribute to adverse events.Objectives To characterize the prevalence of deficits in communication and information transfer at hospital discharge and to identify interventions to improve this process.Data Sources MEDLINE (through November 2006), Cochrane Database of Systematic Reviews, and hand search of article bibliographies.Study Selection Observational studies investigating communication and information transfer at hospital discharge (n = 55) and controlled studies evaluating the efficacy of interventions to improve information transfer (n = 18).Data Extraction Data from observational studies were extracted on the availability, timeliness, content, and format of discharge communications, as well as primary care physician satisfaction. Results of interventions were summarized by their effect on timeliness, accuracy, completeness, and overall quality of the information transfer.Data Synthesis Direct communication between hospital physicians and primary care physicians occurred infrequently (3%-20%). The availability of a discharge summary at the first postdischarge visit was low (12%-34%) and remained poor at 4 weeks (51%-77%), affecting the quality of care in approximately 25% of follow-up visits and contributing to primary care physician dissatisfaction. Discharge summaries often lacked important information such as diagnostic test results (missing from 33%-63%), treatment or hospital course (7%-22%), discharge medications (2%-40%), test results pending at discharge (65%), patient or family counseling (90%-92%), and follow-up plans (2%-43%). Several interventions, including computer-generated discharge summaries and using patients as couriers, shortened the delivery time of discharge communications. Use of standardized formats to highlight the most pertinent information improved the perceived quality of documents.Conclusions Deficits in communication and information transfer at hospital discharge are common and may adversely affect patient care. Interventions such as computer-generated summaries and standardized formats may facilitate more timely transfer of pertinent patient information to primary care physicians and make discharge summaries more consistently available during follow-up care.","DOI":"10.1001/jama.297.8.831","ISSN":"0098-7484","shortTitle":"Deficits in communication and information transfer between hospital-based and primary care physicians","journalAbbreviation":"JAMA","author":[{"literal":"Kripalani S"},{"literal":"LeFevre F"},{"literal":"Phillips CO"},{"literal":"Williams MV"},{"literal":"Basaviah P"},{"literal":"Baker DW"}],"issued":{"date-parts":[["2007",2,28]]}}}],"schema":"https://github.com/citation-style-language/schema/raw/master/csl-citation.json"}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77</w:t>
      </w:r>
      <w:r w:rsidRPr="00725D15">
        <w:rPr>
          <w:rFonts w:cs="Arial"/>
          <w:szCs w:val="22"/>
        </w:rPr>
        <w:fldChar w:fldCharType="end"/>
      </w:r>
      <w:r w:rsidRPr="00725D15">
        <w:rPr>
          <w:rFonts w:cs="Arial"/>
          <w:szCs w:val="22"/>
        </w:rPr>
        <w:t xml:space="preserve"> Sinvani and colleagues followed geriatric patients longitudinally across three separate transitions in care and reported that patients experienced an average of at least seven medication discrepancies across each transition: hospital admission to discharge, hospital discharge to skilled nursing facility admission, and skilled nursing facility admission to home or long-term care.</w:t>
      </w:r>
      <w:r w:rsidRPr="00725D15">
        <w:rPr>
          <w:rFonts w:cs="Arial"/>
          <w:szCs w:val="22"/>
        </w:rPr>
        <w:fldChar w:fldCharType="begin"/>
      </w:r>
      <w:r w:rsidR="00EC3644">
        <w:rPr>
          <w:rFonts w:cs="Arial"/>
          <w:szCs w:val="22"/>
        </w:rPr>
        <w:instrText xml:space="preserve"> ADDIN ZOTERO_ITEM CSL_CITATION {"citationID":"aluhckbrat","properties":{"formattedCitation":"\\super 145\\nosupersub{}","plainCitation":"145","noteIndex":0},"citationItems":[{"id":4120,"uris":["http://zotero.org/users/2597747/items/LGISAWYB"],"uri":["http://zotero.org/users/2597747/items/LGISAWYB"],"itemData":{"id":4120,"type":"article-journal","title":"Medication reconciliation in continuum of care transitions: a moving target","container-title":"Journal of the American Medical Directors Association","page":"668-672","volume":"14","issue":"9","source":"PubMed","abstract":"OBJECTIVE: To study medication discrepancies in clinical transitions across a large health care system.\nDESIGN: Randomized chart review of electronic medical records and paper chart medication reconciliation lists across 3 transitions of care.\nSETTINGS AND PARTICIPANTS: Subacute patient medication records were reviewed through 3 transition care points at a large health care system, including hospital admission to discharge (time I), hospital discharge to skilled nursing facility (SNF; time II) and SNF admission to discharge home or long term care (LTC; time III).\nMEASUREMENTS: Medication discrepancies were identified and categorized by the principal investigator and a pharmacist. Discrepancies were defined as any unexplained documented change in the patients' medication lists between sites and unintentional discrepancies were defined as any omission, duplication, or failure to change back to original regimen when indicated.\nRESULTS: We reviewed 1696 medications in the 132 transition records of 44 patients, identifying 1002 discrepancies. Average age was 71.4 years and 68% were female. Median hospital stay was 5.5 days and 14.5 SNF days. Total medications at hospital admission, hospital discharge, SNF admission, and SNF discharge were 284, 472, 555, and 392, respectively. Total medication discrepancies were 357 (time I), 315 (time II), and 330 (time III). All patients experienced discrepancies and 86% had at least 1 unintentional discrepancy. The average number of medications per patient increased at time I from 6.5 to 10.7 (P &lt; .001), increased at time II from 10.7 to 12.6 (P &lt;.0174), and decreased at time III from 12.6 to 8.9 (P &lt; .001). Patients, on average, had 8.1, 7.2, and 7.6 medication discrepancies at times I, II, and III, respectively. Surgical patients had more discrepancies than medical at times I and III (8.94 vs 5.3, P &lt; .019; 8.0 vs 5.8, P &lt; .028). In the unintentional group, cardiovascular drugs represented the highest number of discrepancies (26%).\nCONCLUSION: This study is the first to follow medication changes throughout 3 transition care points in a large health care system and to demonstrate the widespread prevalence of medication discrepancies at all points. Our findings are consistent with previously published results, which all focused on single site transitions. Outcomes of the current reconciliation process need to be revisited to insure safe delivery of care to the complex geriatric patient as they transition through health care systems.","DOI":"10.1016/j.jamda.2013.02.021","ISSN":"1538-9375","note":"PMID: 23608529","shortTitle":"Medication reconciliation in continuum of care transitions","journalAbbreviation":"J Am Med Dir Assoc","language":"eng","author":[{"family":"Sinvani","given":"Liron Danay"},{"family":"Beizer","given":"Judith"},{"family":"Akerman","given":"Meredith"},{"family":"Pekmezaris","given":"Renee"},{"family":"Nouryan","given":"Christian"},{"family":"Lutsky","given":"Larry"},{"family":"Cal","given":"Charles"},{"family":"Dlugacz","given":"Yosef"},{"family":"Masick","given":"Kevin"},{"family":"Wolf-Klein","given":"Gisele"}],"issued":{"date-parts":[["2013",9]]}}}],"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145</w:t>
      </w:r>
      <w:r w:rsidRPr="00725D15">
        <w:rPr>
          <w:rFonts w:cs="Arial"/>
          <w:szCs w:val="22"/>
        </w:rPr>
        <w:fldChar w:fldCharType="end"/>
      </w:r>
      <w:r w:rsidRPr="00725D15">
        <w:rPr>
          <w:rFonts w:cs="Arial"/>
          <w:szCs w:val="22"/>
        </w:rPr>
        <w:t xml:space="preserve"> </w:t>
      </w:r>
    </w:p>
    <w:p w14:paraId="14C164E8" w14:textId="77777777" w:rsidR="00782E92" w:rsidRPr="00725D15" w:rsidRDefault="00782E92" w:rsidP="00520436">
      <w:pPr>
        <w:ind w:firstLine="720"/>
        <w:rPr>
          <w:rFonts w:cs="Arial"/>
          <w:szCs w:val="22"/>
        </w:rPr>
      </w:pPr>
    </w:p>
    <w:p w14:paraId="3BB391CC" w14:textId="06900480" w:rsidR="00520436" w:rsidRPr="00725D15" w:rsidRDefault="00520436" w:rsidP="00520436">
      <w:pPr>
        <w:ind w:firstLine="720"/>
        <w:rPr>
          <w:rFonts w:cs="Arial"/>
          <w:szCs w:val="22"/>
        </w:rPr>
      </w:pPr>
      <w:r w:rsidRPr="00725D15">
        <w:rPr>
          <w:rFonts w:cs="Arial"/>
          <w:szCs w:val="22"/>
        </w:rPr>
        <w:lastRenderedPageBreak/>
        <w:t>Older patients, those at the end of life, and those taking at least five daily medications have previously been identified as populations at an increased risk of medication-related problems following health care transitions.</w:t>
      </w:r>
      <w:r w:rsidRPr="00725D15">
        <w:rPr>
          <w:rFonts w:cs="Arial"/>
          <w:szCs w:val="22"/>
        </w:rPr>
        <w:fldChar w:fldCharType="begin"/>
      </w:r>
      <w:r w:rsidR="00EC3644">
        <w:rPr>
          <w:rFonts w:cs="Arial"/>
          <w:szCs w:val="22"/>
        </w:rPr>
        <w:instrText xml:space="preserve"> ADDIN ZOTERO_ITEM CSL_CITATION {"citationID":"uijbIyvk","properties":{"formattedCitation":"\\super 79,137\\nosupersub{}","plainCitation":"79,137","noteIndex":0},"citationItems":[{"id":4117,"uris":["http://zotero.org/users/2597747/items/F6GPIXDP"],"uri":["http://zotero.org/users/2597747/items/F6GPIXDP"],"itemData":{"id":4117,"type":"article-journal","title":"Improving Care Transitions: Current Practice and Future Opportunities for Pharmacists","container-title":"Pharmacotherapy","page":"e326-e337","volume":"32","issue":"11","source":"Wiley Online Library","abstract":"During the past decade, patient safety issues during care transitions have gained greater attention at both the local and national level. Readmission rates to U.S. hospitals are high, often because of poor care transitions. Serious adverse drug events (ADEs) caused by an incomplete understanding of changes in complex drug regimens can be an important factor contributing to readmission rates. This paper describes the roles and responsibilities of pharmacists in ensuring optimal outcomes from drug therapy during care transitions. Barriers to effective care transitions, including inadequate communication, poor care coordination, and the lack of one clinician ultimately responsible for these transitions, are discussed. This paper also identifies specific patient populations at high risk of ADEs during care transitions. Several national initiatives and newer care transition models are discussed, including multi- and interdisciplinary programs with pharmacists as key members. Among their potential roles, pharmacists should participate on medical rounds where available, perform medication reconciliation and admission drug histories, apply their knowledge of drug therapy to anticipate and resolve problems during transitions, communicate changes in drug regimens between providers and care settings, assess the appropriateness and patient understanding of drug regimens, promote adherence, and assess health literacy. In addition, this paper identifies barriers and ongoing challenges limiting greater involvement of pharmacists from different practice settings during care transitions. Professional degree programs and residency training programs should increase their emphasis on pharmacists' roles, especially as part of interdisciplinary teams, in improving patient safety during care transitions in diverse practice settings. This paper also recommends that Accreditation Council for Pharmacy Education (ACPE) standards include specific language regarding the exposure of students to issues regarding care transitions and that students have several opportunities to practice the skills needed for effective care transitions. Moreover, reimbursement mechanisms that permit greater pharmacist involvement in providing medication assistance to patients going through care transitions should be explored. Although health information technology offers the potential for safer care transitions, pharmacists' use of information technology must be integrated into the national initiatives for pharmacists to be effectively involved in care transitions. This paper concludes with a discussion about the importance of recognizing and addressing health literacy issues to promote patient empowerment during and after care transitions.","DOI":"10.1002/phar.1215","ISSN":"1875-9114","shortTitle":"Improving Care Transitions","journalAbbreviation":"Pharmacotherapy","language":"en","author":[{"literal":"American College of Clinical Pharmacy"},{"family":"Hume","given":"Anne L."},{"family":"Kirwin","given":"Jennifer"},{"family":"Bieber","given":"Heather L."},{"family":"Couchenour","given":"Rachel L."},{"family":"Hall","given":"Deanne L."},{"family":"Kennedy","given":"Amy K."},{"family":"LaPointe","given":"Nancy M. Allen"},{"family":"D.O. Burkhardt","given":"Crystal"},{"family":"Schilli","given":"Kathleen"},{"family":"Seaton","given":"Terry"},{"family":"Trujillo","given":"Jennifer"},{"family":"Wiggins","given":"Barbara"}],"issued":{"date-parts":[["2012",11,1]]}}},{"id":2765,"uris":["http://zotero.org/users/2597747/items/FZTBEC7B"],"uri":["http://zotero.org/users/2597747/items/FZTBEC7B"],"itemData":{"id":2765,"type":"article-journal","title":"Falling Through the Cracks: Challenges and Opportunities for Improving Transitional Care for Persons with Continuous Complex Care Needs","container-title":"Journal of the American Geriatrics Society","page":"549-555","volume":"51","issue":"4","source":"Wiley Online Library","abstract":"Persons with continuous complex care needs frequently require care in multiple settings. During transitions between settings, this population is particularly vulnerable to experiencing poor care quality and problems of care fragmentation. Despite how common these transitions have become, the challenges of improving care transitions have received little attention from policy makers, clinicians, and quality improvement entities. This article begins with a definition of transitional care and then discusses the nature of the problem, its prevalence, manifestations of poorly executed transitions, and potentially remediable barriers. Necessary elements for effective transitions are then presented, followed by promising new directions for quality improvement at the level of the delivery system, information technology, and national health policy. The article concludes with a proposed research agenda designed to advance the science of high-quality transitional care.","DOI":"10.1046/j.1532-5415.2003.51185.x","ISSN":"1532-5415","shortTitle":"Falling Through the Cracks","journalAbbreviation":"Journal of the American Geriatrics Society","language":"en","author":[{"family":"Coleman","given":"Eric A."}],"issued":{"date-parts":[["2003",4,1]]}}}],"schema":"https://github.com/citation-style-language/schema/raw/master/csl-citation.json"}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79,137</w:t>
      </w:r>
      <w:r w:rsidRPr="00725D15">
        <w:rPr>
          <w:rFonts w:cs="Arial"/>
          <w:szCs w:val="22"/>
        </w:rPr>
        <w:fldChar w:fldCharType="end"/>
      </w:r>
      <w:r w:rsidRPr="00725D15">
        <w:rPr>
          <w:rFonts w:cs="Arial"/>
          <w:szCs w:val="22"/>
        </w:rPr>
        <w:t xml:space="preserve"> As patients entering hospice typically comprise all three of these high-risk populations, it is not surprising that we observed suboptimal medication use following transitions in care for a substantial proportion of our cohort. Further, uncertainty still exists over which medications should be discontinued at hospice admission, and guidelines assisting clinicians in the deprescribing process are currently lacking. While it is generally agreed that medication classes such as antihyperlipidemics have little to no place in the treatment of the dying patient, the appropriateness of other medication classes is less clear.</w:t>
      </w:r>
      <w:r w:rsidRPr="00725D15">
        <w:rPr>
          <w:rFonts w:cs="Arial"/>
          <w:szCs w:val="22"/>
        </w:rPr>
        <w:fldChar w:fldCharType="begin"/>
      </w:r>
      <w:r w:rsidR="00EC3644">
        <w:rPr>
          <w:rFonts w:cs="Arial"/>
          <w:szCs w:val="22"/>
        </w:rPr>
        <w:instrText xml:space="preserve"> ADDIN ZOTERO_ITEM CSL_CITATION {"citationID":"92FPBs7p","properties":{"formattedCitation":"\\super 52,56,57,63,103\\nosupersub{}","plainCitation":"52,56,57,63,103","noteIndex":0},"citationItems":[{"id":266,"uris":["http://zotero.org/users/2597747/items/E965IK6T"],"uri":["http://zotero.org/users/2597747/items/E965IK6T"],"itemData":{"id":266,"type":"article-journal","title":"Futile medication use in terminally ill cancer patients","container-title":"Supportive Care in Cancer","page":"745-748","volume":"17","issue":"6","source":"link.springer.com.proxy.cc.uic.edu","abstract":"Background Cancer patients usually take many medications. The proportion of patients with advanced cancer who are taking futile drugs is unknown. Materials and methods We retrospectively reviewed the charts of all consecutive ambulatory patients with advanced cancer and who were receiving supportive care exclusively at palliative care clinics, Princess Margaret Hospital, to gather information on futile medications used by them. Futile medications were defined as unnecessary (when no short-term benefit to patients with respect to survival, quality of life, or symptom control was anticipated) or duplicate (two or more drugs from the same pharmacological class). Summary statistics were used to describe the results. Results From November 2005 to July 2006, 82 (22%) of 372 patients were taking at least one futile medication before consultation; after initial consultation, this proportion dropped to 20% (78): 70 patients were taking unnecessary medications, while eight were on duplicate medications. The most frequent unnecessary medications used by patients were statins (56%). The most common duplicate medication involved the use of two different benzodiazepines (seven patients). Conclusion About one fifth of cancer outpatients at the end of life take futile medications, most commonly statins. Prospective and population-based studies are warranted to further evaluate the magnitude and consequences of futile medication use in oncology.","DOI":"10.1007/s00520-008-0541-y","ISSN":"0941-4355, 1433-7339","journalAbbreviation":"Support Care Cancer","language":"en","author":[{"family":"Riechelmann","given":"Rachel P."},{"family":"Krzyzanowska","given":"Monika K."},{"family":"Zimmermann","given":"Camilla"}],"issued":{"date-parts":[["2008",11,22]]}}},{"id":947,"uris":["http://zotero.org/users/2597747/items/WEERGWMN"],"uri":["http://zotero.org/users/2597747/items/WEERGWMN"],"itemData":{"id":947,"type":"article-journal","title":"Use of unnecessary medications by patients with advanced cancer: cross-sectional survey","container-title":"Supportive Care in Cancer","page":"1313-1318","volume":"19","issue":"9","source":"link.springer.com.proxy.cc.uic.edu","abstract":"Background Cancer patients at the end of life take numerous medications. However, it has not been assessed what proportion of patients take unnecessary medications and which patients are at risk for doing so. Methods Cross-sectional survey of medications utilized by terminally ill ambulatory cancer patients, with the aim of identifying medications considered unnecessary as per explicit criteria. The criteria took into account whether drugs could benefit patients with terminal cancer. Results Among 87 patients, 21 (24%, 95% confidence interval [CI] 15.6–34.5%) were taking at least one unnecessary medication, the most common being gastric protectors. In multivariable analyses, patients with Charlson Comobidity Index ≤ 1 (OR: 4.49, CI95% 1.32–15.26; p = 0.01) or whose medication list had not been reconciled by physicians (OR: 6.38, CI95% 1.21–33.40; p = 0.02) were more likely to use an unnecessary medication. Conclusion Patients with advanced cancer take many medications considered unnecessary. Medication reconciliation should be performed routinely for these patients.","DOI":"10.1007/s00520-010-0947-1","ISSN":"0941-4355, 1433-7339","shortTitle":"Use of unnecessary medications by patients with advanced cancer","journalAbbreviation":"Support Care Cancer","language":"en","author":[{"family":"Fede","given":"Angelo"},{"family":"Miranda","given":"Michele"},{"family":"Antonangelo","given":"Daniella"},{"family":"Trevizan","given":"Ligia"},{"family":"Schaffhausser","given":"Henrique"},{"family":"Hamermesz","given":"Bruno"},{"family":"Zimmermann","given":"Camile"},{"family":"Giglio","given":"Auro Del"},{"family":"Riechelmann","given":"Rachel P."}],"issued":{"date-parts":[["2010",7,21]]}}},{"id":4020,"uris":["http://zotero.org/users/2597747/items/ZGIQV9AG"],"uri":["http://zotero.org/users/2597747/items/ZGIQV9AG"],"itemData":{"id":4020,"type":"article-journal","title":"STOPPFrail (Screening Tool of Older Persons Prescriptions in Frail adults with limited life expectancy): consensus validation","container-title":"Age and Ageing","page":"600-607","volume":"46","issue":"4","source":"PubMed","abstract":"Objective: to validate STOPPFrail, a list of explicit criteria for potentially inappropriate medication (PIM) use in frail older adults with limited life expectancy.\nDesign: a Delphi consensus survey of an expert panel comprising academic geriatricians, clinical pharmacologists, palliative care physicians, old age psychiatrists, general practitioners and clinical pharmacists.\nSetting: Ireland.\nSubjects: seventeen panellists.\nMethods: STOPPFrail criteria were initially created by the authors based on clinical experience and literature appraisal. Criteria were organised according to the physiological system; each criterion accompanied by an explanation. Using Delphi consensus methodology, panellists ranked their agreement with each criterion on a 5-point Likert scale and provided written feedback. Criteria with a median Likert response of 4/5 (agree/strongly agree) and a 25th centile of ≥4 were included in the final list.\nResults: all panellists completed three Delphi rounds. Thirty criteria were proposed, 27 were accepted. The first two criteria suggest deprescribing medications without indication or where compliance is poor. The remaining 25 criteria include lipid-lowering therapies, alpha-blockers for hypertension, anti-platelets, neuroleptics, memantine, proton-pump inhibitors, H2-receptor antagonists, anti-spasmodic agents, theophylline, leukotriene antagonists, calcium supplements, bone anti-resorptive therapy, selective oestrogen receptor modulators, non-steroidal anti-inflammatories, corticosteroids, 5-alpha-reductase inhibitors, alpha-1-selective blockers, muscarinic antagonists, oral diabetic agents, ACE-inhibitors, angiotensin receptor blockers, systemic oestrogens, multivitamins, nutritional supplements and prophylactic antibiotics. Consensus could not be reached on the inclusion of acetylcholinesterase inhibitors. Full consensus was reached on the exclusion of anticoagulants and antidepressants from the list.\nConclusion: STOPPFrail comprises 27 criteria relating to medications that are potentially inappropriate in frail older patients with limited life expectancy. STOPPFrail may assist physicians in deprescribing medications in these patients.","DOI":"10.1093/ageing/afx005","ISSN":"1468-2834","note":"PMID: 28119312","shortTitle":"STOPPFrail (Screening Tool of Older Persons Prescriptions in Frail adults with limited life expectancy)","journalAbbreviation":"Age Ageing","language":"eng","author":[{"family":"Lavan","given":"Amanda Hanora"},{"family":"Gallagher","given":"Paul"},{"family":"Parsons","given":"Carole"},{"family":"O'Mahony","given":"Denis"}],"issued":{"date-parts":[["2017",7,1]]}}},{"id":1080,"uris":["http://zotero.org/users/2597747/items/GEQ6SQPH"],"uri":["http://zotero.org/users/2597747/items/GEQ6SQPH"],"itemData":{"id":1080,"type":"article-journal","title":"The development and evaluation of an oncological palliative care deprescribing guideline: the ‘OncPal deprescribing guideline’","container-title":"Supportive Care in Cancer","page":"71-78","volume":"23","issue":"1","source":"link.springer.com.proxy.cc.uic.edu","abstract":"Purpose Current data suggests that potentially inappropriate medicines (PIMs) are common in palliative cancer patients; however, there is a lack of criteria to assist clinicians in identifying PIMs in these patients. The aims of this study were to design and validate a deprescribing guideline for palliative cancer patients and to undertake a descriptive analysis of the identified PIMs. Methods This prospective, non-interventional cohort study consisted of four major stages: developing an ‘OncPal Deprescribing Guideline’ from current evidence, the prospective recruitment of consecutive palliative cancer inpatients with an estimated &lt;6-month prognosis, the assessment of all medications to identify PIMs using both a panel of medical experts without access to the guideline as well as a Clinical Pharmacist independently using the OncPal Deprescribing Guideline and the evaluation of the guideline by testing concordance. Descriptive data on the incidence of PIMs identified were also assessed. Results A total of 61 patients were recruited. The OncPal Deprescribing Guideline matched 94 % of 617 medicines to the expert panel with a Kappa value of 0.83 [95 % CI (0.76, 0.89)] demonstrating an ‘outstanding’ concordance. Forty-three (70 %) patients were taking at least one PIM, with 21.4 % of the total medicines assessed identified as PIMs. The medication-associated cost per patient/month was AUD$26.71. Conclusion A guideline to assist in the de-escalation of inappropriate medications in palliative cancer patients was developed from current literature. The OncPal Deprescribing Guideline was successfully validated, demonstrating statistically significant concordance with an expert panel. We found that the incidence of PIMs was high in our patient group, demonstrating the potential benefits for the OncPal Deprescribing Guideline in clinical practice.","DOI":"10.1007/s00520-014-2322-0","ISSN":"0941-4355, 1433-7339","shortTitle":"The development and evaluation of an oncological palliative care deprescribing guideline","journalAbbreviation":"Support Care Cancer","language":"en","author":[{"family":"Lindsay","given":"Julian"},{"family":"Dooley","given":"Michael"},{"family":"Martin","given":"Jennifer"},{"family":"Fay","given":"Michael"},{"family":"Kearney","given":"Alison"},{"family":"Khatun","given":"Mohsina"},{"family":"Barras","given":"Michael"}],"issued":{"date-parts":[["2014",7,1]]}}},{"id":2291,"uris":["http://zotero.org/users/2597747/items/94XG3AWI"],"uri":["http://zotero.org/users/2597747/items/94XG3AWI"],"itemData":{"id":2291,"type":"article-journal","title":"Decision Making About Change of Medication for Comorbid Disease at the End of Life: An Integrative Review","container-title":"Drugs &amp; Aging","page":"501-512","volume":"31","issue":"7","source":"EBSCOhost","abstract":"The main goal of palliative care is to improve quality of life by treating symptoms in patients with life-threatening illnesses. Most patients suffer from more than five severe comorbidities in the last 6 months of life. However, for patients receiving palliative care, interventions to prevent possible long-term complications of these comorbidities are no longer the primary aim of care. This paper aimed to review the literature regarding decision making about medication for comorbid disease at the end of life, defined as a life expectancy &lt;3 months, and to formulate preliminary recommendations based on the existing literature. An integrative review approach was used. We searched the MEDLINE, EMBASE, and CINAHL databases. Papers were included if they had been published in the English language between 1 January 1995 and 31 December 2013, with an abstract. Additional studies were identified by searching bibliographies. Factors to consider when systematically reviewing medications are the goals of care, remaining life expectancy, treatment targets, time until benefit, number needed to treat, number needed to harm, and adverse drug reactions. Existing research focuses particularly on the use of certain drug classes during end-of-life care, including statins, antihypertensive agents, anticoagulants, antihyperglycaemic agents and antibiotics. Based on the results of this review, we made preliminary recommendations for these medication groups. Medication that does not benefit the patient in any way should be avoided. The aim of medication at the end of life should be symptom control. There is a need for prospective trials to give further insight into the decision-making process of medication management at the end of life.","DOI":"10.1007/s40266-014-0182-4","ISSN":"1170-229X","shortTitle":"Decision Making About Change of Medication for Comorbid Disease at the End of Life","journalAbbreviation":"Drugs &amp; Aging","author":[{"family":"Nordennen","given":"Ronald"},{"family":"Lavrijsen","given":"Jan"},{"family":"Vissers","given":"Kris"},{"family":"Koopmans","given":"Raymond"}],"issued":{"date-parts":[["2014",7]]}}}],"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52,56,57,63,103</w:t>
      </w:r>
      <w:r w:rsidRPr="00725D15">
        <w:rPr>
          <w:rFonts w:cs="Arial"/>
          <w:szCs w:val="22"/>
        </w:rPr>
        <w:fldChar w:fldCharType="end"/>
      </w:r>
      <w:r w:rsidRPr="00725D15">
        <w:rPr>
          <w:rFonts w:cs="Arial"/>
          <w:szCs w:val="22"/>
        </w:rPr>
        <w:t xml:space="preserve"> A lack of provider education, misunderstanding of hospice care goals, and refusal by patients and families to discontinue medications may also contribute to the continuation of LBMs in hospice patients.</w:t>
      </w:r>
      <w:r w:rsidRPr="00725D15">
        <w:rPr>
          <w:rFonts w:cs="Arial"/>
          <w:szCs w:val="22"/>
        </w:rPr>
        <w:fldChar w:fldCharType="begin"/>
      </w:r>
      <w:r w:rsidR="00EC3644">
        <w:rPr>
          <w:rFonts w:cs="Arial"/>
          <w:szCs w:val="22"/>
        </w:rPr>
        <w:instrText xml:space="preserve"> ADDIN ZOTERO_ITEM CSL_CITATION {"citationID":"IoLi34Jk","properties":{"formattedCitation":"\\super 22,104,146\\nosupersub{}","plainCitation":"22,104,146","noteIndex":0},"citationItems":[{"id":253,"uris":["http://zotero.org/users/2597747/items/D5ZTTA6H"],"uri":["http://zotero.org/users/2597747/items/D5ZTTA6H"],"itemData":{"id":253,"type":"article-journal","title":"Prescribing practices in hospice patients with adult failure to thrive or debility","container-title":"Progress in palliative care","page":"69-74","volume":"22","issue":"2","source":"PubMed Central","abstract":"Objectives\nDespite being a common admitting diagnosis, there is very little published literature on medication management in hospice patients admitted with a diagnosis of failure to thrive or debility. The purpose of this study was to describe medication prescribing practices in hospice patients with either of these primary diagnoses by characterizing prescribed medications by name and by pharmaceutical class, and determining whether the patient or the hospice organization provided each medication.\n\nMethods\nA retrospective review of a patient information database compiled by a national hospice organization was conducted. Patients were included in this retrospective study if they were admitted to hospice care with a primary diagnosis of failure to thrive or debility, and if they were admitted on or after 1 January 2010, and discharged by death on or before 31 December 2010.\n\nResults\nOverall 293 patients and 6181 medication entries were evaluated. The most commonly prescribed drugs were acetaminophen, lorazepam, morphine, atropine, prochlorperazine, haloperidol, docusate, aspirin, and bisacodyl. The most commonly prescribed pharmacological classes were opioid and non-opioid analgesics, anxiolytics, anticholinergics, antihypertensives, laxatives, antidepressants, and supplements. The hospice organization provided over 90% of prescriptions for analgesics, antipsychotics, anticholinergics, and anxiolytics, and these medications were discontinued before death in less than 5% of patients.\n\nConclusion\nRecognized clinical components of failure to thrive syndrome include cognitive impairment, malnutrition, and depression. The hospice organization provided 80% of antidepressants, but infrequently provided appetite stimulants and drugs treating dementia. The most commonly provided drugs were those used for symptoms associated with most end-stage diseases.","DOI":"10.1179/1743291X13Y.0000000068","ISSN":"0969-9260","note":"PMID: 24904199\nPMCID: PMC4041741","journalAbbreviation":"Prog Palliat Care","author":[{"family":"Sera","given":"Leah"},{"family":"Holmes","given":"Holly M."},{"family":"McPherson","given":"Mary Lynn"}],"issued":{"date-parts":[["2014",4,1]]}}},{"id":2141,"uris":["http://zotero.org/users/2597747/items/NQHSP95B"],"uri":["http://zotero.org/users/2597747/items/NQHSP95B"],"itemData":{"id":2141,"type":"article-journal","title":"Reasons doctors provide futile treatment at the end of life: a qualitative study","container-title":"Journal of Medical Ethics","page":"496-503","volume":"42","issue":"8","source":"PubMed","abstract":"OBJECTIVE: Futile treatment, which by definition cannot benefit a patient, is undesirable. This research investigated why doctors believe that treatment that they consider to be futile is sometimes provided at the end of a patient's life.\nDESIGN: Semistructured in-depth interviews.\nSETTING: Three large tertiary public hospitals in Brisbane, Australia.\nPARTICIPANTS: 96 doctors from emergency, intensive care, palliative care, oncology, renal medicine, internal medicine, respiratory medicine, surgery, cardiology, geriatric medicine and medical administration departments. Participants were recruited using purposive maximum variation sampling.\nRESULTS: Doctors attributed the provision of futile treatment to a wide range of inter-related factors. One was the characteristics of treating doctors, including their orientation towards curative treatment, discomfort or inexperience with death and dying, concerns about legal risk and poor communication skills. Second, the attributes of the patient and family, including their requests or demands for further treatment, prognostic uncertainty and lack of information about patient wishes. Third, there were hospital factors including a high degree of specialisation, the availability of routine tests and interventions, and organisational barriers to diverting a patient from a curative to a palliative pathway. Doctors nominated family or patient request and doctors being locked into a curative role as the main reasons for futile care.\nCONCLUSIONS: Doctors believe that a range of factors contribute to the provision of futile treatment. A combination of strategies is necessary to reduce futile treatment, including better training for doctors who treat patients at the end of life, educating the community about the limits of medicine and the need to plan for death and dying, and structural reform at the hospital level.","DOI":"10.1136/medethics-2016-103370","ISSN":"1473-4257","note":"PMID: 27188227","shortTitle":"Reasons doctors provide futile treatment at the end of life","journalAbbreviation":"J Med Ethics","language":"eng","author":[{"family":"Willmott","given":"Lindy"},{"family":"White","given":"Benjamin"},{"family":"Gallois","given":"Cindy"},{"family":"Parker","given":"Malcolm"},{"family":"Graves","given":"Nicholas"},{"family":"Winch","given":"Sarah"},{"family":"Callaway","given":"Leonie Kaye"},{"family":"Shepherd","given":"Nicole"},{"family":"Close","given":"Eliana"}],"issued":{"date-parts":[["2016",8]]}}},{"id":4161,"uris":["http://zotero.org/users/2597747/items/4BTLQMZK"],"uri":["http://zotero.org/users/2597747/items/4BTLQMZK"],"itemData":{"id":4161,"type":"article-journal","title":"Inappropriate prescribing of preventative medication in patients with life-limiting illness: a systematic review","container-title":"BMJ supportive &amp; palliative care","page":"113-121","volume":"7","issue":"2","source":"PubMed","abstract":"OBJECTIVES: To systematically review the literature to examine the methods used to identify inappropriate prescribing of preventative medication in patients with life-limiting illness and to detail the nature of medications prescribed.\nMETHODS: A systematic literature search of 4 databases was undertaken (MEDLINE, EMBASE, CINAHL, PsycINFO) from inception to April 2015 to identify peer-reviewed, observational studies assessing inappropriate prescribing of preventative medication in patients with life-limiting illness. Inclusion criteria were: participants had a life-limiting illness; prescribed/dispensed/using preventative medication; medication appropriateness assessed as a specific study aim or outcome.\nRESULTS: We found 19 studies meeting our eligibility criteria. The methods used to assess medication appropriateness included criteria developed for the elderly such as the Beers Criteria, and Screening Tool of Older Persons' potentially inappropriate Prescriptions (STOPP) criteria, Delphi consensus and expert clinical opinion. Lipid-regulating drugs (12 studies), antihypertensive (11 studies) and antidiabetic medications (9 studies) were the most common classes of inappropriate medication identified.\nCONCLUSIONS: Patients with life-limiting illnesses are prescribed preventative medications considered inappropriate in the context of diminished life expectancy. The way in which preventative medication appropriateness is assessed in patients with life-limiting illness varies considerably-with some methodologies utilising criteria previously developed for elderly populations. Given this lack of standardisation, improving the prescribing in this context requires an approach that is specifically designed and validated for populations with life-limiting illness.","DOI":"10.1136/bmjspcare-2015-000941","ISSN":"2045-4368","note":"PMID: 26733578","shortTitle":"Inappropriate prescribing of preventative medication in patients with life-limiting illness","journalAbbreviation":"BMJ Support Palliat Care","language":"eng","author":[{"family":"Todd","given":"Adam"},{"family":"Husband","given":"Andy"},{"family":"Andrew","given":"Inga"},{"family":"Pearson","given":"Sallie-Anne"},{"family":"Lindsey","given":"Laura"},{"family":"Holmes","given":"Holly"}],"issued":{"date-parts":[["2017",6]]}}}],"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22,104,146</w:t>
      </w:r>
      <w:r w:rsidRPr="00725D15">
        <w:rPr>
          <w:rFonts w:cs="Arial"/>
          <w:szCs w:val="22"/>
        </w:rPr>
        <w:fldChar w:fldCharType="end"/>
      </w:r>
      <w:r w:rsidRPr="00725D15">
        <w:rPr>
          <w:rFonts w:cs="Arial"/>
          <w:szCs w:val="22"/>
        </w:rPr>
        <w:t xml:space="preserve"> If not discontinued at hospice admission and these medications still appear on the patient’s profile during the course of a care transition, the receiving providers may renew the medications per the usual course of clinical practice, regardless of the patient’s hospice status. </w:t>
      </w:r>
    </w:p>
    <w:p w14:paraId="72ED095C" w14:textId="2DC4548A" w:rsidR="00520436" w:rsidRPr="00725D15" w:rsidRDefault="00520436" w:rsidP="00520436">
      <w:pPr>
        <w:ind w:firstLine="720"/>
        <w:rPr>
          <w:rFonts w:cs="Arial"/>
          <w:b/>
          <w:szCs w:val="22"/>
        </w:rPr>
      </w:pPr>
      <w:r w:rsidRPr="00725D15">
        <w:rPr>
          <w:rFonts w:cs="Arial"/>
          <w:szCs w:val="22"/>
        </w:rPr>
        <w:t>Given that presentations to the ED and hospital by hospice patients are typically unplanned and not coordinated by the patient’s hospice care team, providers in these settings may not be aware of a patient’s status as a hospice patient or their plan of care.</w:t>
      </w:r>
      <w:r w:rsidRPr="00725D15">
        <w:rPr>
          <w:rFonts w:cs="Arial"/>
          <w:b/>
          <w:szCs w:val="22"/>
        </w:rPr>
        <w:t xml:space="preserve"> </w:t>
      </w:r>
      <w:r w:rsidRPr="00725D15">
        <w:rPr>
          <w:rFonts w:cs="Arial"/>
          <w:szCs w:val="22"/>
        </w:rPr>
        <w:t>Olsen and colleagues found that in these unplanned inpatient admissions by hospice patients, 25% of admissions resulted in care that was not concordant with the patient’s documented goals while 39% had no documentation regarding patient wishes for treatment.</w:t>
      </w:r>
      <w:r w:rsidRPr="00725D15">
        <w:rPr>
          <w:rFonts w:cs="Arial"/>
          <w:szCs w:val="22"/>
        </w:rPr>
        <w:fldChar w:fldCharType="begin"/>
      </w:r>
      <w:r w:rsidR="00EC3644">
        <w:rPr>
          <w:rFonts w:cs="Arial"/>
          <w:szCs w:val="22"/>
        </w:rPr>
        <w:instrText xml:space="preserve"> ADDIN ZOTERO_ITEM CSL_CITATION {"citationID":"ai54tjmo","properties":{"formattedCitation":"\\super 147\\nosupersub{}","plainCitation":"147","noteIndex":0},"citationItems":[{"id":2916,"uris":["http://zotero.org/users/2597747/items/BP9RQ3AB"],"uri":["http://zotero.org/users/2597747/items/BP9RQ3AB"],"itemData":{"id":2916,"type":"article-journal","title":"Characterizing care of hospice patients in the hospital setting","container-title":"Journal of Palliative Medicine","page":"185-189","volume":"14","issue":"2","source":"PubMed","abstract":"BACKGROUND: One measure of quality hospice care is minimization of hospitalization. Few studies have explored reasons for hospitalization and characteristics of care received by hospice patients in the hospital.\nOBJECTIVES: To characterize the experience of hospice patients in the hospital and determine factors associated with high intensiveness of care.\nDESIGN: Retrospective review of patient medical records in the Mayo Hospice Program in 2007.\nRESULTS: Of 263 hospice patients, 17% were hospitalized in 2007. Of those hospitalized, 42% percent died in the hospital. Average length of stay was 4 days. Almost half were admitted through the emergency department. Common reasons for admission included delirium, pain, and falls. Most patients (52%) received care of a moderate level of intensity, with 18% receiving the most intensive level of care. Receiving care of high intensity was associated with emergency department admission. Charges to patient accounts averaged over $9,000 per stay. Concordance of care in the hospital to preexisting patient goals was high, but could not be determined in 39% of cases due to lack of documentation of patient goals.\nCONCLUSIONS: Hospitalization of hospice patients is costly to the health care system. Most care was of low or moderate intensiveness. Quality improvements focusing on concise communication of patient goals and prevention of pain, delirium, and falls have the potential for the greatest impact on reducing hospitalizations and minimizing care that is discordant with patient goals.","DOI":"10.1089/jpm.2010.0241","ISSN":"1557-7740","note":"PMID: 21254814\nPMCID: PMC3064526","journalAbbreviation":"J Palliat Med","language":"eng","author":[{"family":"Olsen","given":"Molly L."},{"family":"Bartlett","given":"Ann L."},{"family":"Moynihan","given":"Timothy J."}],"issued":{"date-parts":[["2011",2]]}}}],"schema":"https://github.com/citation-style-language/schema/raw/master/csl-citation.json"}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147</w:t>
      </w:r>
      <w:r w:rsidRPr="00725D15">
        <w:rPr>
          <w:rFonts w:cs="Arial"/>
          <w:szCs w:val="22"/>
        </w:rPr>
        <w:fldChar w:fldCharType="end"/>
      </w:r>
      <w:r w:rsidRPr="00725D15">
        <w:rPr>
          <w:rFonts w:cs="Arial"/>
          <w:szCs w:val="22"/>
        </w:rPr>
        <w:t xml:space="preserve"> Even in cases where non-palliative medications may have been discontinued at hospice admission, the lack of care continuity may result in counterproductive medication reconciliation practices, whereby previously discontinued medications are re-activated in the patient’s record due to poor documentation of the change in regimen. The general orientation toward aggressive and </w:t>
      </w:r>
      <w:r w:rsidRPr="00725D15">
        <w:rPr>
          <w:rFonts w:cs="Arial"/>
          <w:szCs w:val="22"/>
        </w:rPr>
        <w:lastRenderedPageBreak/>
        <w:t>curative care in acute care hospitals may have also contributed to the observed results. We found that restricting follow-up to the three days after transition resulted in an increase in the risk of LBM receipt, which may strengthen the argument that the observed results are directly a result of the fragmented care that frequently occurs during care transitions.</w:t>
      </w:r>
      <w:r w:rsidRPr="00725D15">
        <w:rPr>
          <w:rFonts w:cs="Arial"/>
          <w:szCs w:val="22"/>
        </w:rPr>
        <w:fldChar w:fldCharType="begin"/>
      </w:r>
      <w:r w:rsidR="00EC3644">
        <w:rPr>
          <w:rFonts w:cs="Arial"/>
          <w:szCs w:val="22"/>
        </w:rPr>
        <w:instrText xml:space="preserve"> ADDIN ZOTERO_ITEM CSL_CITATION {"citationID":"a1kdfpmuf18","properties":{"formattedCitation":"\\super 127\\nosupersub{}","plainCitation":"127","noteIndex":0},"citationItems":[{"id":3634,"uris":["http://zotero.org/users/2597747/items/FB6MA29M"],"uri":["http://zotero.org/users/2597747/items/FB6MA29M"],"itemData":{"id":3634,"type":"book","title":"Dying in America: Improving Quality and Honoring Individual Preferences Near the End of Life","publisher":"The National Academies Press","publisher-place":"Washington, DC","event-place":"Washington, DC","abstract":"For patients and their loved ones, no care decisions are more profound than those made near the end of life. Unfortunately, the experience of dying in the United States is often characterized by fragmented care, inadequate treatment of distressing symptoms, frequent transitions among care settings, and enormous care responsibilities for families. According to this report, the current health care system of rendering more intensive services than are necessary and desired by patients, and the lack of coordination among programs increases risks to patients and creates avoidable burdens on them and their families. Dying in America is a study of the current state of health care for persons of all ages who are nearing the end of life. \nDeath is not a strictly medical event. Ideally, health care for those nearing the end of life harmonizes with social, psychological, and spiritual support. All people with advanced illnesses who may be approaching the end of life are entitled to access to high-quality, compassionate, evidence-based care, consistent with their wishes.\nDying in America evaluates strategies to integrate care into a person- and family-centered, team-based framework, and makes recommendations to create a system that coordinates care and supports and respects the choices of patients and their families. The findings and recommendations of this report will address the needs of patients and their families and assist policy makers, clinicians and their educational and credentialing bodies, leaders of health care delivery and financing organizations, researchers, public and private funders, religious and community leaders, advocates of better care, journalists, and the public to provide the best care possible for people nearing the end of life.","ISBN":"978-0-309-30310-1","note":"DOI: 10.17226/18748","language":"English","author":[{"literal":"Institute of Medicine"}],"issued":{"date-parts":[["2015"]]}}}],"schema":"https://github.com/citation-style-language/schema/raw/master/csl-citation.json"}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127</w:t>
      </w:r>
      <w:r w:rsidRPr="00725D15">
        <w:rPr>
          <w:rFonts w:cs="Arial"/>
          <w:szCs w:val="22"/>
        </w:rPr>
        <w:fldChar w:fldCharType="end"/>
      </w:r>
      <w:r w:rsidRPr="00725D15">
        <w:rPr>
          <w:rFonts w:cs="Arial"/>
          <w:szCs w:val="22"/>
        </w:rPr>
        <w:t xml:space="preserve"> The consistent risk of post-transition LBM receipt regardless of time since hospice admission further points to a broader care continuity problem as opposed to isolated issues immediately following the initial transition to hospice care.</w:t>
      </w:r>
    </w:p>
    <w:p w14:paraId="2299488D" w14:textId="1E9868AE" w:rsidR="00782E92" w:rsidRDefault="00520436" w:rsidP="00520436">
      <w:pPr>
        <w:ind w:firstLine="720"/>
        <w:rPr>
          <w:rFonts w:cs="Arial"/>
          <w:szCs w:val="22"/>
        </w:rPr>
      </w:pPr>
      <w:r w:rsidRPr="00725D15">
        <w:rPr>
          <w:rFonts w:cs="Arial"/>
          <w:szCs w:val="22"/>
        </w:rPr>
        <w:t>Our study is subject to several limitations. While allowing for a broad and nationally representative population in our analysis, the use of administrative claims data limits the ability to collect important information such as patient treatment preferences, quality of life data, and functional or physical impairment. Relatedly, we were not able to determine the causes for the observed health care transitions, which may impact subsequent receipt of an LBM. Transitions occurring directly from hospice may be more indicative of a health system failure given the mission of hospice while hospice discharges and transitions occurring immediately after discharge may more likely be due to patient and family preference.</w:t>
      </w:r>
      <w:r w:rsidRPr="00725D15">
        <w:rPr>
          <w:rFonts w:cs="Arial"/>
          <w:szCs w:val="22"/>
        </w:rPr>
        <w:fldChar w:fldCharType="begin"/>
      </w:r>
      <w:r w:rsidR="00EC3644">
        <w:rPr>
          <w:rFonts w:cs="Arial"/>
          <w:szCs w:val="22"/>
        </w:rPr>
        <w:instrText xml:space="preserve"> ADDIN ZOTERO_ITEM CSL_CITATION {"citationID":"a2i6kjad0b4","properties":{"formattedCitation":"\\super 81\\nosupersub{}","plainCitation":"81","noteIndex":0},"citationItems":[{"id":1164,"uris":["http://zotero.org/users/2597747/items/6HP3BVET"],"uri":["http://zotero.org/users/2597747/items/6HP3BVET"],"itemData":{"id":1164,"type":"article-journal","title":"Transitions Between Healthcare Settings of Hospice Enrollees at the End of Life","container-title":"Journal of the American Geriatrics Society","page":"314-322","volume":"64","issue":"2","source":"Wiley Online Library","abstract":"Objectives\n\nTo characterize the number and types of care transitions in the last 6 months of life of individuals who used hospice and to examine factors associated with having multiple transitions in care.\n\n\nDesign\n\nRetrospective cohort study.\n\n\nSetting\n\nOne hundred percent fee-for-service Medicare decedent claims data.\n\n\nParticipants\n\nMedicare beneficiaries aged 66 and older who died between July 1, 2011, and December 31, 2011, and were enrolled in hospice at some time during the last 6 months of life.\n\n\nMeasurements\n\nHierarchical generalized linear modeling was used to identify individual, hospice, and regional factors associated with transitions. The sequence of transitions across healthcare settings was described. Healthcare transitions after hospice enrollment included from and to the hospital, skilled nursing facility, home health agency program, hospice, or home without receiving any service in these four healthcare settings.\n\n\nResults\n\nOf 311,090 hospice decedents, 31,675 (10.2%) had at least one transition after hospice enrollment, and this varied substantially across the United States; 6.6% of all decedents had more than one transition in care after hospice enrollment (range 2–19 transitions). Of hospice users with transitions, 53.4% were admitted to hospitals, 17.7% were admitted to skilled nursing facilities, 9.6% used home health agencies, and 25.8% had transitions to home without receiving the services from the healthcare settings examined. In adjusted analyses, decedents who were younger, nonwhite, enrolled in a for-profit or small hospice program, or had less access to hospital-based palliative care had significantly higher odds of having at least one transition.\n\n\nConclusion\n\nA notable proportion of hospice users experience at least one transition in care in the last 6 months of life, suggesting that further research on the effect of transitions on users and families is warranted.","DOI":"10.1111/jgs.13939","ISSN":"1532-5415","journalAbbreviation":"J Am Geriatr Soc","language":"en","author":[{"family":"Wang","given":"Shi-Yi"},{"family":"Aldridge","given":"Melissa D."},{"family":"Gross","given":"Cary P."},{"family":"Canavan","given":"Maureen"},{"family":"Cherlin","given":"Emily"},{"family":"Johnson-Hurzeler","given":"Rosemary"},{"family":"Bradley","given":"Elizabeth"}],"issued":{"date-parts":[["2016",2,1]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81</w:t>
      </w:r>
      <w:r w:rsidRPr="00725D15">
        <w:rPr>
          <w:rFonts w:cs="Arial"/>
          <w:szCs w:val="22"/>
        </w:rPr>
        <w:fldChar w:fldCharType="end"/>
      </w:r>
      <w:r w:rsidRPr="00725D15">
        <w:rPr>
          <w:rFonts w:cs="Arial"/>
          <w:szCs w:val="22"/>
        </w:rPr>
        <w:t xml:space="preserve"> We did not evaluate specific discharge location for live hospice discharges. Patients discharged from hospice to settings typically associated with greater health care system contact (e.g., long-term care) may have experienced different subsequent LBM use compared to patients discharged to less resource-intensive settings (e.g., home).</w:t>
      </w:r>
      <w:r w:rsidRPr="00725D15">
        <w:rPr>
          <w:rFonts w:cs="Arial"/>
          <w:b/>
          <w:szCs w:val="22"/>
        </w:rPr>
        <w:t xml:space="preserve"> </w:t>
      </w:r>
      <w:r w:rsidRPr="00725D15">
        <w:rPr>
          <w:rFonts w:cs="Arial"/>
          <w:szCs w:val="22"/>
        </w:rPr>
        <w:t xml:space="preserve">This study also relies on Medicare Part D dispensing data to assess LBM use. It is possible that patients received LBMs through other sources (e.g., self-pay); however, for the medication classes assessed we would not expect differential use outside of Part D between transitioning and non-transitioning patients. Finally, while attempts were made to exclude medications at the patient level where use may have been appropriate (e.g. ACE inhibitors in patients diagnosed with heart failure), we were not able to definitively determine the indications for specific medications. It is possible that some medications were </w:t>
      </w:r>
    </w:p>
    <w:p w14:paraId="2AA8BC5A" w14:textId="6D810949" w:rsidR="00520436" w:rsidRPr="00725D15" w:rsidRDefault="00520436" w:rsidP="00782E92">
      <w:pPr>
        <w:rPr>
          <w:rFonts w:cs="Arial"/>
          <w:b/>
          <w:szCs w:val="22"/>
        </w:rPr>
      </w:pPr>
      <w:r w:rsidRPr="00725D15">
        <w:rPr>
          <w:rFonts w:cs="Arial"/>
          <w:szCs w:val="22"/>
        </w:rPr>
        <w:lastRenderedPageBreak/>
        <w:t xml:space="preserve">classified as being of limited benefit when in fact their use may have had an appreciable symptom relief of quality of life benefit. </w:t>
      </w:r>
    </w:p>
    <w:p w14:paraId="45419683" w14:textId="77777777" w:rsidR="004A3C4D" w:rsidRPr="00725D15" w:rsidRDefault="004A3C4D" w:rsidP="004A3C4D">
      <w:pPr>
        <w:pStyle w:val="Style2"/>
      </w:pPr>
      <w:bookmarkStart w:id="143" w:name="_Toc507326076"/>
      <w:r w:rsidRPr="00725D15">
        <w:t>4.6 Conclusion</w:t>
      </w:r>
      <w:bookmarkEnd w:id="143"/>
    </w:p>
    <w:p w14:paraId="7816BC2E" w14:textId="35B3221F" w:rsidR="00AA01B1" w:rsidRDefault="00520436" w:rsidP="00520436">
      <w:pPr>
        <w:ind w:firstLine="720"/>
        <w:rPr>
          <w:rFonts w:cs="Arial"/>
          <w:szCs w:val="22"/>
        </w:rPr>
      </w:pPr>
      <w:r w:rsidRPr="00725D15">
        <w:rPr>
          <w:rFonts w:cs="Arial"/>
          <w:szCs w:val="22"/>
        </w:rPr>
        <w:t>We found that older hospice patients who experienced a burdensome health care transition after hospice admission were significantly more likely to subsequently receive medications with potentially limited benefit compared to those without such transitions. The risk was further increased for patients with a hospitalization and when limiting follow-up to the three days after the transition in care. Medication classes more unanimously considered to be of limited benefit in the context of limited life expectancy were more likely to be continued after a post-hospice admission transition, suggesting the presence of poor care continuity for patients moving from hospice to non-hospice settings. Further research determining the underlying causes of health care transitions in patients admitted to hospice is needed. Providers should critically evaluate each patient's medication regimen for appropriateness at hospice admission. A better understanding of the care processes and medication documentation practices leading to the continuation of non-palliative medications subsequent to health care transitions will help to improve quality of care in the hospice population.</w:t>
      </w:r>
    </w:p>
    <w:p w14:paraId="60101C77" w14:textId="77777777" w:rsidR="00E841BE" w:rsidRDefault="00E841BE" w:rsidP="00520436">
      <w:pPr>
        <w:ind w:firstLine="720"/>
        <w:rPr>
          <w:rFonts w:cs="Arial"/>
          <w:szCs w:val="22"/>
        </w:rPr>
      </w:pPr>
    </w:p>
    <w:p w14:paraId="6520FAFD" w14:textId="77777777" w:rsidR="00E841BE" w:rsidRDefault="00E841BE" w:rsidP="00520436">
      <w:pPr>
        <w:ind w:firstLine="720"/>
        <w:rPr>
          <w:rFonts w:cs="Arial"/>
          <w:szCs w:val="22"/>
        </w:rPr>
      </w:pPr>
    </w:p>
    <w:p w14:paraId="3D499C1E" w14:textId="77777777" w:rsidR="00E841BE" w:rsidRDefault="00E841BE" w:rsidP="00520436">
      <w:pPr>
        <w:ind w:firstLine="720"/>
        <w:rPr>
          <w:rFonts w:cs="Arial"/>
          <w:szCs w:val="22"/>
        </w:rPr>
      </w:pPr>
    </w:p>
    <w:p w14:paraId="4BF70D6E" w14:textId="77777777" w:rsidR="00E841BE" w:rsidRDefault="00E841BE" w:rsidP="00520436">
      <w:pPr>
        <w:ind w:firstLine="720"/>
        <w:rPr>
          <w:rFonts w:cs="Arial"/>
          <w:szCs w:val="22"/>
        </w:rPr>
      </w:pPr>
    </w:p>
    <w:p w14:paraId="5FCB0954" w14:textId="77777777" w:rsidR="00E841BE" w:rsidRDefault="00E841BE" w:rsidP="00520436">
      <w:pPr>
        <w:ind w:firstLine="720"/>
        <w:rPr>
          <w:rFonts w:cs="Arial"/>
          <w:szCs w:val="22"/>
        </w:rPr>
      </w:pPr>
    </w:p>
    <w:p w14:paraId="1C527520" w14:textId="77777777" w:rsidR="00E841BE" w:rsidRPr="00725D15" w:rsidRDefault="00E841BE" w:rsidP="00AB51DC">
      <w:pPr>
        <w:rPr>
          <w:rFonts w:cs="Arial"/>
          <w:szCs w:val="22"/>
        </w:rPr>
      </w:pPr>
    </w:p>
    <w:p w14:paraId="1B3E27ED" w14:textId="45A6419D" w:rsidR="004A3C4D" w:rsidRPr="00725D15" w:rsidRDefault="004A3C4D" w:rsidP="004A3C4D">
      <w:pPr>
        <w:pStyle w:val="Style1"/>
        <w:jc w:val="center"/>
      </w:pPr>
      <w:bookmarkStart w:id="144" w:name="_Toc507326077"/>
      <w:r w:rsidRPr="00725D15">
        <w:lastRenderedPageBreak/>
        <w:t>V. CONCLUSION</w:t>
      </w:r>
      <w:r w:rsidR="00DB5133" w:rsidRPr="00725D15">
        <w:t>S</w:t>
      </w:r>
      <w:bookmarkEnd w:id="144"/>
    </w:p>
    <w:p w14:paraId="7CBB25D2" w14:textId="1E4C5E47" w:rsidR="00520436" w:rsidRPr="00725D15" w:rsidRDefault="00520436" w:rsidP="00520436">
      <w:pPr>
        <w:ind w:firstLine="720"/>
        <w:rPr>
          <w:rFonts w:cs="Arial"/>
          <w:szCs w:val="22"/>
        </w:rPr>
      </w:pPr>
      <w:r w:rsidRPr="00725D15">
        <w:rPr>
          <w:rFonts w:cs="Arial"/>
          <w:szCs w:val="22"/>
        </w:rPr>
        <w:t xml:space="preserve">As the United </w:t>
      </w:r>
      <w:r w:rsidR="00AB5A76">
        <w:rPr>
          <w:rFonts w:cs="Arial"/>
          <w:szCs w:val="22"/>
        </w:rPr>
        <w:t xml:space="preserve">States population continues to </w:t>
      </w:r>
      <w:r w:rsidRPr="00725D15">
        <w:rPr>
          <w:rFonts w:cs="Arial"/>
          <w:szCs w:val="22"/>
        </w:rPr>
        <w:t>age, the need for high-quality end of life care will continue to grow. The holistic and comfort-focused care associated with hospice has grown in popularity as an alternative to the aggressive care that terminally ill older adults frequently receive; in 2015, nearly half of all Medicare beneficiaries in the United States died in hospice. Given the mission of hospice, most ongoing treatments that do not provide symptom relief or improve patients’ quality of life can be discontinued upon hospice admission. In the context of very limited life expectancy, many medication therapies for chronic illness may no longer be appropriate. These treatments put patients at unnecessary risk of drug-drug interactions and adverse drug events and increases healthcare costs and patient/caregiver burden. Despite this, previous cross-sectional studies have shown that patients enrolled in hospice may continue to use non-palliative medications.</w:t>
      </w:r>
    </w:p>
    <w:p w14:paraId="32A6D124" w14:textId="406F4488" w:rsidR="00520436" w:rsidRPr="00725D15" w:rsidRDefault="00520436" w:rsidP="00520436">
      <w:pPr>
        <w:ind w:firstLine="720"/>
        <w:rPr>
          <w:rFonts w:cs="Arial"/>
          <w:szCs w:val="22"/>
        </w:rPr>
      </w:pPr>
      <w:r w:rsidRPr="00725D15">
        <w:rPr>
          <w:rFonts w:cs="Arial"/>
          <w:szCs w:val="22"/>
        </w:rPr>
        <w:t>The structure of medication coverage among Medicare hospice beneficiaries allows for a unique opportunity to examine potentially unnecessary medication use. Under the Medicare Hospice Benefit, medications used for palliation of the patient’s terminal illness or related conditions should be covered by the patient’s hospice program. For these drugs, the hospice is indirectly reimbursed through the per diem payment provided by Medicare for all hospice beneficiary treatment. Medications not used for palliative treatment of the patient’s terminal illness may be covered by the patient’s prescription drug benefit, which frequently consists of a Medicare Part D plan. Even for hospice patien</w:t>
      </w:r>
      <w:r w:rsidR="00895270">
        <w:rPr>
          <w:rFonts w:cs="Arial"/>
          <w:szCs w:val="22"/>
        </w:rPr>
        <w:t>ts who have this drug coverage</w:t>
      </w:r>
      <w:r w:rsidRPr="00725D15">
        <w:rPr>
          <w:rFonts w:cs="Arial"/>
          <w:szCs w:val="22"/>
        </w:rPr>
        <w:t xml:space="preserve"> available, CMS has stated that it should be used infrequently given hospice care goals.</w:t>
      </w:r>
      <w:r w:rsidRPr="00725D15">
        <w:rPr>
          <w:rFonts w:cs="Arial"/>
          <w:szCs w:val="22"/>
        </w:rPr>
        <w:fldChar w:fldCharType="begin"/>
      </w:r>
      <w:r w:rsidR="00DB32BA">
        <w:rPr>
          <w:rFonts w:cs="Arial"/>
          <w:szCs w:val="22"/>
        </w:rPr>
        <w:instrText xml:space="preserve"> ADDIN ZOTERO_ITEM CSL_CITATION {"citationID":"a2m8qpmeb8r","properties":{"formattedCitation":"\\super 17\\nosupersub{}","plainCitation":"17","noteIndex":0},"citationItems":[{"id":3281,"uris":["http://zotero.org/users/2597747/items/QXQK3EQW"],"uri":["http://zotero.org/users/2597747/items/QXQK3EQW"],"itemData":{"id":3281,"type":"report","title":"Part D Payment for Drugs for Beneficiaries Enrolled in Hospice—Request for Comments [Memorandum]","publisher":"Centers for Medicare and Medicaid Services","publisher-place":"Baltimore, MD","event-place":"Baltimore, MD","author":[{"family":"Tudor","given":"CG"},{"family":"Wilson","given":"L"},{"family":"Majestic","given":"M"}],"issued":{"date-parts":[["2013",12,6]]}}}],"schema":"https://github.com/citation-style-language/schema/raw/master/csl-citation.json"}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17</w:t>
      </w:r>
      <w:r w:rsidRPr="00725D15">
        <w:rPr>
          <w:rFonts w:cs="Arial"/>
          <w:szCs w:val="22"/>
        </w:rPr>
        <w:fldChar w:fldCharType="end"/>
      </w:r>
      <w:r w:rsidRPr="00725D15">
        <w:rPr>
          <w:rFonts w:cs="Arial"/>
          <w:szCs w:val="22"/>
        </w:rPr>
        <w:t xml:space="preserve"> Nevertheless, a recent analysis found that nearly two-thirds of Medicare hospice patients with concurrent Part D coverage used their Part D plan to obtain at least one maintenance medication in 2016.</w:t>
      </w:r>
      <w:r w:rsidRPr="00725D15">
        <w:rPr>
          <w:rFonts w:cs="Arial"/>
          <w:szCs w:val="22"/>
        </w:rPr>
        <w:fldChar w:fldCharType="begin"/>
      </w:r>
      <w:r w:rsidR="00EC3644">
        <w:rPr>
          <w:rFonts w:cs="Arial"/>
          <w:szCs w:val="22"/>
        </w:rPr>
        <w:instrText xml:space="preserve"> ADDIN ZOTERO_ITEM CSL_CITATION {"citationID":"a17flcmj5mp","properties":{"formattedCitation":"\\super 96\\nosupersub{}","plainCitation":"96","noteIndex":0},"citationItems":[{"id":3903,"uris":["http://zotero.org/users/2597747/items/Q5ICD8CT"],"uri":["http://zotero.org/users/2597747/items/Q5ICD8CT"],"itemData":{"id":3903,"type":"report","title":"Update on Part D Payment Responsibility for Drugs for Beneficiaries Enrolled in Medicare Hospice [Memorandum]","publisher":"Centers for Medicare and Medicaid Services","publisher-place":"Baltimore, MD","event-place":"Baltimore, MD","author":[{"family":"Chavez-Valdez","given":"AL"},{"family":"Wilson","given":"L"}],"issued":{"date-parts":[["2016",11,15]]},"accessed":{"date-parts":[["2017",8,1]]}}}],"schema":"https://github.com/citation-style-language/schema/raw/master/csl-citation.json"}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96</w:t>
      </w:r>
      <w:r w:rsidRPr="00725D15">
        <w:rPr>
          <w:rFonts w:cs="Arial"/>
          <w:szCs w:val="22"/>
        </w:rPr>
        <w:fldChar w:fldCharType="end"/>
      </w:r>
    </w:p>
    <w:p w14:paraId="44B222A0" w14:textId="6215394B" w:rsidR="00520436" w:rsidRPr="00725D15" w:rsidRDefault="00520436" w:rsidP="00520436">
      <w:pPr>
        <w:ind w:firstLine="360"/>
        <w:rPr>
          <w:rFonts w:cs="Arial"/>
          <w:szCs w:val="22"/>
        </w:rPr>
      </w:pPr>
      <w:r w:rsidRPr="00725D15">
        <w:rPr>
          <w:rFonts w:cs="Arial"/>
          <w:szCs w:val="22"/>
        </w:rPr>
        <w:tab/>
        <w:t xml:space="preserve">While there is general agreement among providers that certain classes of medications are no longer useful and should be stopped when life expectancy is limited, little objective </w:t>
      </w:r>
      <w:r w:rsidRPr="00725D15">
        <w:rPr>
          <w:rFonts w:cs="Arial"/>
          <w:szCs w:val="22"/>
        </w:rPr>
        <w:lastRenderedPageBreak/>
        <w:t xml:space="preserve">evidence existed which evaluated the landscape of LBM use in the hospice population. Of particular importance was the lack of evidence evaluating changes in LBM use longitudinally before and after admission to hospice. This dissertation research helped to fill these evidence gaps by comprehensively evaluating LBM use in older patients who entered hospice and died while under hospice care. A series of </w:t>
      </w:r>
      <w:r w:rsidR="000E15AF">
        <w:rPr>
          <w:rFonts w:cs="Arial"/>
          <w:szCs w:val="22"/>
        </w:rPr>
        <w:t>cross-sectional</w:t>
      </w:r>
      <w:r w:rsidRPr="00725D15">
        <w:rPr>
          <w:rFonts w:cs="Arial"/>
          <w:szCs w:val="22"/>
        </w:rPr>
        <w:t xml:space="preserve"> and cohort studies were conducted using the SEER-Medicare linked database to estimate the frequency of medication use through Medicare Part D after hospice admission and evaluate the prevalence and predictors of post-admission use and continuation of a pre-defined set of LBM classes. Given hospice’s palliative care focus and requirement for admission of a six month or shorter life expectancy, the date of hospice admission presented a defined and objective time point at which LBMs used prior to hospice were assumed to be appropriate to discontinue. Further, in cases where LBMs were continued after hospice admission, they were expected to be obtained through the patient’s Part D plan.  Due to </w:t>
      </w:r>
      <w:r w:rsidR="00B44814">
        <w:rPr>
          <w:rFonts w:cs="Arial"/>
          <w:szCs w:val="22"/>
        </w:rPr>
        <w:t xml:space="preserve">anticipated </w:t>
      </w:r>
      <w:r w:rsidRPr="00725D15">
        <w:rPr>
          <w:rFonts w:cs="Arial"/>
          <w:szCs w:val="22"/>
        </w:rPr>
        <w:t>differences in end of life disease trajectories and healthcare utilization, particular emphasis was placed on differences in LBM use and continuation by admission to hospice for cancer vs. non-cancer causes.</w:t>
      </w:r>
    </w:p>
    <w:p w14:paraId="00E73815" w14:textId="7DA71C2D" w:rsidR="00520436" w:rsidRPr="00725D15" w:rsidRDefault="00520436" w:rsidP="00520436">
      <w:pPr>
        <w:rPr>
          <w:rFonts w:cs="Arial"/>
          <w:szCs w:val="22"/>
        </w:rPr>
      </w:pPr>
      <w:r w:rsidRPr="00725D15">
        <w:rPr>
          <w:rFonts w:cs="Arial"/>
          <w:szCs w:val="22"/>
        </w:rPr>
        <w:tab/>
        <w:t>The first research aim assessed Medicare Part D medication use prevalence and patterns after hospice admission, both generally and for a pre-defined set of therapeutic and drug classes. Despite Medicare guidance, this study corroborated a recent report of high overall use of the Part D benefit among Medicare beneficiaries admitted to hospice.</w:t>
      </w:r>
      <w:r w:rsidRPr="00725D15">
        <w:rPr>
          <w:rFonts w:cs="Arial"/>
          <w:szCs w:val="22"/>
        </w:rPr>
        <w:fldChar w:fldCharType="begin"/>
      </w:r>
      <w:r w:rsidR="00EC3644">
        <w:rPr>
          <w:rFonts w:cs="Arial"/>
          <w:szCs w:val="22"/>
        </w:rPr>
        <w:instrText xml:space="preserve"> ADDIN ZOTERO_ITEM CSL_CITATION {"citationID":"a219ohs5f8","properties":{"formattedCitation":"\\super 96\\nosupersub{}","plainCitation":"96","noteIndex":0},"citationItems":[{"id":3903,"uris":["http://zotero.org/users/2597747/items/Q5ICD8CT"],"uri":["http://zotero.org/users/2597747/items/Q5ICD8CT"],"itemData":{"id":3903,"type":"report","title":"Update on Part D Payment Responsibility for Drugs for Beneficiaries Enrolled in Medicare Hospice [Memorandum]","publisher":"Centers for Medicare and Medicaid Services","publisher-place":"Baltimore, MD","event-place":"Baltimore, MD","author":[{"family":"Chavez-Valdez","given":"AL"},{"family":"Wilson","given":"L"}],"issued":{"date-parts":[["2016",11,15]]},"accessed":{"date-parts":[["2017",8,1]]}}}],"schema":"https://github.com/citation-style-language/schema/raw/master/csl-citation.json"}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96</w:t>
      </w:r>
      <w:r w:rsidRPr="00725D15">
        <w:rPr>
          <w:rFonts w:cs="Arial"/>
          <w:szCs w:val="22"/>
        </w:rPr>
        <w:fldChar w:fldCharType="end"/>
      </w:r>
      <w:r w:rsidRPr="00725D15">
        <w:rPr>
          <w:rFonts w:cs="Arial"/>
          <w:szCs w:val="22"/>
        </w:rPr>
        <w:t xml:space="preserve"> Over half of patients admitted for cancer used the Part D benefit after hospice admission. Among non-cancer admissions, post-admission Part D use was substantially more common among patients admitted for debility/failure to thrive (63.5%) or dementia (61.5%) compared to ischemic stroke (35.4%) or renal disease (36.0%).  Overall, nearly one in four patients received an antihypertensive, one in ten received a proton pump inhibitor, and one in six received an opioid (though prevalence decreased over the study period) through Part D after admission to hospice. </w:t>
      </w:r>
      <w:r w:rsidRPr="00725D15">
        <w:rPr>
          <w:rFonts w:cs="Arial"/>
          <w:szCs w:val="22"/>
        </w:rPr>
        <w:lastRenderedPageBreak/>
        <w:t>Though drug indication was not assessed for this study, Part D use of medications likely considered to be LBMs in the context of hospice was frequent and consistent over the study period. This suggests that there is still substantial uncertainty among providers concerning the appropriateness of deprescribing medications for chronic conditions in the terminally ill. While recent medication coverage changes instituted by CMS have dramatically curtailed the receipt through Part D of medications that are primarily the responsibility of hospice (e.g., opioids), no guidance currently exists for Part D use of non-palliative medications in hospice. Thus, use of LBMs through Part D in hospice is still expected to be highly prevalent today.</w:t>
      </w:r>
    </w:p>
    <w:p w14:paraId="415F3CF2" w14:textId="2A39212A" w:rsidR="00520436" w:rsidRPr="00725D15" w:rsidRDefault="00520436" w:rsidP="00520436">
      <w:pPr>
        <w:rPr>
          <w:rFonts w:cs="Arial"/>
          <w:szCs w:val="22"/>
        </w:rPr>
      </w:pPr>
      <w:r w:rsidRPr="00725D15">
        <w:rPr>
          <w:rFonts w:cs="Arial"/>
          <w:szCs w:val="22"/>
        </w:rPr>
        <w:tab/>
        <w:t xml:space="preserve">While the first dissertation aim highlighted the magnitude of Medicare Part D and potential LBM use in hospice patients broadly and in a cross-sectional manner, it did not provide information on whether the observed results represented a substantial deviation from pre-hospice admission use or whether they could be explained by patient and clinical factors. The second aim of this dissertation examined medication use longitudinally, starting with patients who were users of at least one LBM prior to hospice admission and following them through the date of death for evidence of LBM continuation. In total, 29.8% of patients admitted to hospice for cancer and 30.5% admitted for a non-cancer cause continued at least one LBM after hospice admission. Continuation varied by LBM class and was more likely among older patients, patients admitted to hospice in a nursing or assisted-living facility, and those with longer hospice stays. The high prevalence of LBM continuation observed in this study provides further evidence of potentially problematic medication use in the hospice population and suggests that further research efforts and guidance are needed to elucidate the risk-benefit profile of these medications at the end of life. The importance of this issue is magnified by the fact that our results are likely underestimates, as only new Part D prescription dispensings were captured. An additional proportion of patients likely continued to use medication supplies obtained prior to hospice admission or obtain new supplies through their hospice program, both of which were </w:t>
      </w:r>
      <w:r w:rsidRPr="00725D15">
        <w:rPr>
          <w:rFonts w:cs="Arial"/>
          <w:szCs w:val="22"/>
        </w:rPr>
        <w:lastRenderedPageBreak/>
        <w:t xml:space="preserve">unobservable in these studies. The observed differences in continuation </w:t>
      </w:r>
      <w:r w:rsidR="00110C66">
        <w:rPr>
          <w:rFonts w:cs="Arial"/>
          <w:szCs w:val="22"/>
        </w:rPr>
        <w:t>rates</w:t>
      </w:r>
      <w:r w:rsidRPr="00725D15">
        <w:rPr>
          <w:rFonts w:cs="Arial"/>
          <w:szCs w:val="22"/>
        </w:rPr>
        <w:t xml:space="preserve"> by hospice care setting and length of stay may be indicative of failures at the health care system level. Further assessment of physician and patient/family barriers to medication discontinuation at the point of hospice admission are needed to clarify the underlying causes of the observed results.</w:t>
      </w:r>
    </w:p>
    <w:p w14:paraId="7DB1D60B" w14:textId="1760B5FA" w:rsidR="00520436" w:rsidRPr="00725D15" w:rsidRDefault="00520436" w:rsidP="00520436">
      <w:pPr>
        <w:rPr>
          <w:rFonts w:cs="Arial"/>
          <w:szCs w:val="22"/>
        </w:rPr>
      </w:pPr>
      <w:r w:rsidRPr="00725D15">
        <w:rPr>
          <w:rFonts w:cs="Arial"/>
          <w:szCs w:val="22"/>
        </w:rPr>
        <w:tab/>
        <w:t>The final aim of this dissertation evaluated the impact of burdensome health care transitions on subsequent LBM use in hospice patients. Older patients at the end of life typically have more complex health care needs and experience more care transfers than those in the general geriatric population. These care transitions often result in poor care continuity and were hypothesized to impact the subsequent receipt of LBMs. In total, 7064 patients with at least one burdensome health care transition after hospice admission were identified, with 17.9% receiving one or more LBMs in the seven days following the first transition. Patients with any transition were 33% more likely to receive an LBM compared to matched controls during follow-up (IRR 1.33, 95% CI: 1.25-1.42), while a hospitalization after hospice admission was associated with a 56% risk increase (IRR 1.56, 95% CI: 1.39-1.76). The increase in risk of LBM receipt when shortening the follow-up window and consistent risk regardless of time since hospice admission further strengthens the link between health care transitions and subsequent LBM use in hospice patients. The impact of poor communication and health care fragmentation on receipt of LBMs may be amplified in older patients at the end of life given rapidly changing medication regimens and other complex treatment needs.</w:t>
      </w:r>
      <w:r w:rsidRPr="00725D15">
        <w:rPr>
          <w:rFonts w:cs="Arial"/>
          <w:szCs w:val="22"/>
        </w:rPr>
        <w:fldChar w:fldCharType="begin"/>
      </w:r>
      <w:r w:rsidR="00EC3644">
        <w:rPr>
          <w:rFonts w:cs="Arial"/>
          <w:szCs w:val="22"/>
        </w:rPr>
        <w:instrText xml:space="preserve"> ADDIN ZOTERO_ITEM CSL_CITATION {"citationID":"aigqn18alg","properties":{"formattedCitation":"\\super 79,137\\nosupersub{}","plainCitation":"79,137","noteIndex":0},"citationItems":[{"id":2765,"uris":["http://zotero.org/users/2597747/items/FZTBEC7B"],"uri":["http://zotero.org/users/2597747/items/FZTBEC7B"],"itemData":{"id":2765,"type":"article-journal","title":"Falling Through the Cracks: Challenges and Opportunities for Improving Transitional Care for Persons with Continuous Complex Care Needs","container-title":"Journal of the American Geriatrics Society","page":"549-555","volume":"51","issue":"4","source":"Wiley Online Library","abstract":"Persons with continuous complex care needs frequently require care in multiple settings. During transitions between settings, this population is particularly vulnerable to experiencing poor care quality and problems of care fragmentation. Despite how common these transitions have become, the challenges of improving care transitions have received little attention from policy makers, clinicians, and quality improvement entities. This article begins with a definition of transitional care and then discusses the nature of the problem, its prevalence, manifestations of poorly executed transitions, and potentially remediable barriers. Necessary elements for effective transitions are then presented, followed by promising new directions for quality improvement at the level of the delivery system, information technology, and national health policy. The article concludes with a proposed research agenda designed to advance the science of high-quality transitional care.","DOI":"10.1046/j.1532-5415.2003.51185.x","ISSN":"1532-5415","shortTitle":"Falling Through the Cracks","journalAbbreviation":"Journal of the American Geriatrics Society","language":"en","author":[{"family":"Coleman","given":"Eric A."}],"issued":{"date-parts":[["2003",4,1]]}}},{"id":4117,"uris":["http://zotero.org/users/2597747/items/F6GPIXDP"],"uri":["http://zotero.org/users/2597747/items/F6GPIXDP"],"itemData":{"id":4117,"type":"article-journal","title":"Improving Care Transitions: Current Practice and Future Opportunities for Pharmacists","container-title":"Pharmacotherapy","page":"e326-e337","volume":"32","issue":"11","source":"Wiley Online Library","abstract":"During the past decade, patient safety issues during care transitions have gained greater attention at both the local and national level. Readmission rates to U.S. hospitals are high, often because of poor care transitions. Serious adverse drug events (ADEs) caused by an incomplete understanding of changes in complex drug regimens can be an important factor contributing to readmission rates. This paper describes the roles and responsibilities of pharmacists in ensuring optimal outcomes from drug therapy during care transitions. Barriers to effective care transitions, including inadequate communication, poor care coordination, and the lack of one clinician ultimately responsible for these transitions, are discussed. This paper also identifies specific patient populations at high risk of ADEs during care transitions. Several national initiatives and newer care transition models are discussed, including multi- and interdisciplinary programs with pharmacists as key members. Among their potential roles, pharmacists should participate on medical rounds where available, perform medication reconciliation and admission drug histories, apply their knowledge of drug therapy to anticipate and resolve problems during transitions, communicate changes in drug regimens between providers and care settings, assess the appropriateness and patient understanding of drug regimens, promote adherence, and assess health literacy. In addition, this paper identifies barriers and ongoing challenges limiting greater involvement of pharmacists from different practice settings during care transitions. Professional degree programs and residency training programs should increase their emphasis on pharmacists' roles, especially as part of interdisciplinary teams, in improving patient safety during care transitions in diverse practice settings. This paper also recommends that Accreditation Council for Pharmacy Education (ACPE) standards include specific language regarding the exposure of students to issues regarding care transitions and that students have several opportunities to practice the skills needed for effective care transitions. Moreover, reimbursement mechanisms that permit greater pharmacist involvement in providing medication assistance to patients going through care transitions should be explored. Although health information technology offers the potential for safer care transitions, pharmacists' use of information technology must be integrated into the national initiatives for pharmacists to be effectively involved in care transitions. This paper concludes with a discussion about the importance of recognizing and addressing health literacy issues to promote patient empowerment during and after care transitions.","DOI":"10.1002/phar.1215","ISSN":"1875-9114","shortTitle":"Improving Care Transitions","journalAbbreviation":"Pharmacotherapy","language":"en","author":[{"literal":"American College of Clinical Pharmacy"},{"family":"Hume","given":"Anne L."},{"family":"Kirwin","given":"Jennifer"},{"family":"Bieber","given":"Heather L."},{"family":"Couchenour","given":"Rachel L."},{"family":"Hall","given":"Deanne L."},{"family":"Kennedy","given":"Amy K."},{"family":"LaPointe","given":"Nancy M. Allen"},{"family":"D.O. Burkhardt","given":"Crystal"},{"family":"Schilli","given":"Kathleen"},{"family":"Seaton","given":"Terry"},{"family":"Trujillo","given":"Jennifer"},{"family":"Wiggins","given":"Barbara"}],"issued":{"date-parts":[["2012",11,1]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79,137</w:t>
      </w:r>
      <w:r w:rsidRPr="00725D15">
        <w:rPr>
          <w:rFonts w:cs="Arial"/>
          <w:szCs w:val="22"/>
        </w:rPr>
        <w:fldChar w:fldCharType="end"/>
      </w:r>
      <w:r w:rsidRPr="00725D15">
        <w:rPr>
          <w:rFonts w:cs="Arial"/>
          <w:szCs w:val="22"/>
        </w:rPr>
        <w:t xml:space="preserve"> However, the specific provider, patient and health care system-related factors leading to up to the observed results are unclear and deserve further study.</w:t>
      </w:r>
    </w:p>
    <w:p w14:paraId="2A6D7043" w14:textId="18A52D49" w:rsidR="00520436" w:rsidRPr="00725D15" w:rsidRDefault="00520436" w:rsidP="00520436">
      <w:pPr>
        <w:rPr>
          <w:rFonts w:cs="Arial"/>
          <w:szCs w:val="22"/>
        </w:rPr>
      </w:pPr>
      <w:r w:rsidRPr="00725D15">
        <w:rPr>
          <w:rFonts w:cs="Arial"/>
          <w:szCs w:val="22"/>
        </w:rPr>
        <w:tab/>
        <w:t>Research to date examining medication use in the hospice population has primarily been limited to cross-sectional studies, with no information on medication use in the pre-hospice admission period.</w:t>
      </w:r>
      <w:r w:rsidRPr="00725D15">
        <w:rPr>
          <w:rFonts w:cs="Arial"/>
          <w:szCs w:val="22"/>
        </w:rPr>
        <w:fldChar w:fldCharType="begin"/>
      </w:r>
      <w:r w:rsidR="00EC3644">
        <w:rPr>
          <w:rFonts w:cs="Arial"/>
          <w:szCs w:val="22"/>
        </w:rPr>
        <w:instrText xml:space="preserve"> ADDIN ZOTERO_ITEM CSL_CITATION {"citationID":"FxThwxvt","properties":{"formattedCitation":"\\super 21\\uc0\\u8211{}23,135,148\\uc0\\u8211{}151\\nosupersub{}","plainCitation":"21–23,135,148–151","noteIndex":0},"citationItems":[{"id":4169,"uris":["http://zotero.org/users/2597747/items/5NFH9B6P"],"uri":["http://zotero.org/users/2597747/items/5NFH9B6P"],"itemData":{"id":4169,"type":"article-journal","title":"Commonly Prescribed Medications Among Patients in Hospice Care for Chronic Obstructive Pulmonary Disease","container-title":"The American Journal of Hospice &amp; Palliative Care","page":"638-643","volume":"33","issue":"7","source":"PubMed","abstract":"PURPOSE: End-stage chronic obstructive pulmonary disease (COPD) presents health care providers with challenges of providing optimal palliative care for patients who follow a less predictable trajectory. The objectives of this study were to evaluate medications being prescribed to patients with end-stage COPD, compared to recommendations made by the Global Initiative for Chronic Obstructive Lung Disease (GOLD) guidelines, and to determine which medications were provided by the hospice organization.\nMETHODS: We retrospectively reviewed our database for medications pertaining to COPD management as stated in the GOLD criteria or those used for symptoms associated with end of life.\nRESULTS: A total of 745 patients met inclusion criteria, and approximately 63% were prescribed opioids. Prescribing rates for oxygen, short-acting β2-agonists, and short-acting anticholinergics were 37%, 33%, and 31%, respectively. Systemic and inhaled corticosteroids were prescribed at higher rates of 20% and 18% compared to long-acting bronchodilators.\nDISCUSSION: Medications used for COPD exacerbation management were prescribed at higher rate than those used for maintenance treatment.","DOI":"10.1177/1049909115598928","ISSN":"1938-2715","note":"PMID: 26261375\nPMCID: PMC4747865","journalAbbreviation":"Am J Hosp Palliat Care","language":"eng","author":[{"family":"Afrane","given":"Mary"},{"family":"Sera","given":"Leah"},{"family":"Holmes","given":"Holly M."},{"family":"McPherson","given":"Mary L."}],"issued":{"date-parts":[["2016",8]]}}},{"id":217,"uris":["http://zotero.org/users/2597747/items/HDPZXJP6"],"uri":["http://zotero.org/users/2597747/items/HDPZXJP6"],"itemData":{"id":217,"type":"article-journal","title":"Predictors of Anticoagulation in Hospice Patients With Lung Cancer","container-title":"Cancer","page":"4817-4824","volume":"116","issue":"20","source":"PubMed Central","abstract":"BACKGROUND\nGuidelines recommend lifelong anticoagulation in patients with cancer and a history of thromboembolism, but the use of anticoagulation in hospice has not been described. A retrospective study of medication data was conducted to determine patterns of anticoagulant use and predictors of type of anticoagulant prescribed for hospice patients with lung cancer.\n\nMETHODS\nMedication data were evaluated for 16,896 hospice patients with lung cancer in 2006 to determine patient and hospice characteristics that predicted anticoagulant prescription. Independent predictors of warfarin versus low molecular weight heparin (LMWH) prescription were identified using a logistic regression model.\n\nRESULTS\nOne of every 11 patients was prescribed an anticoagulant, most commonly warfarin. Compared with patients prescribed LMWH, patients prescribed warfarin were older (71.6 vs 65.8 years, P&lt;.001), were more likely white (81.2% vs 74.3%, P = .03), had a longer stay in hospice (median 21 days vs 17 days, P = .001), and were more likely to have ≥3 comorbid illnesses (37.5% vs 25.0%, P&lt;.001). The strongest independent predictor of type of anticoagulant prescribed was geographic region, with hospices in the Northeast more likely to prescribe LMWH.\n\nCONCLUSIONS\nAnticoagulant use is prevalent in patients with lung cancer enrolled in hospice. This study highlights the need to understand the benefits and risks of anticoagulation at the end of life.","DOI":"10.1002/cncr.25284","ISSN":"0008-543X","note":"PMID: 20572034\nPMCID: PMC3153417","journalAbbreviation":"Cancer","author":[{"family":"Holmes","given":"Holly M."},{"family":"Bain","given":"Kevin T."},{"family":"Zalpour","given":"Ali"},{"family":"Luo","given":"Ruili"},{"family":"Bruera","given":"Eduardo"},{"family":"Goodwin","given":"James S."}],"issued":{"date-parts":[["2010",10,15]]}}},{"id":241,"uris":["http://zotero.org/users/2597747/items/J8JVATI3"],"uri":["http://zotero.org/users/2597747/items/J8JVATI3"],"itemData":{"id":241,"type":"article-journal","title":"Commonly Prescribed Medications in a Population of Hospice Patients","container-title":"The American journal of hospice &amp; palliative care","page":"126-131","volume":"31","issue":"2","source":"PubMed Central","abstract":"Although much attention has been placed on appropriate symptom management at the end of life, little is known about the medications actually prescribed to people in hospice care. The purpose of this study was to determine the most commonly prescribed medications in a population of hospice patients. A retrospective review of a patient information database was conducted. The 6 most common drugs (acetaminophen, morphine, haloperidol, lorazepam, prochlorperazine, and atropine) were included in emergency kits provided to patients at admission. Opioid and nonopioid analgesics, anxiolytics, anticholinergics, and antipsychotics were the most commonly prescribed pharmacologic classes. This description of prescribing practices could be useful in creating more informed care plans, educating health care personnel, and anticipating the changing medication needs of patients as they enter hospice care.","DOI":"10.1177/1049909113476132","ISSN":"1049-9091","note":"PMID: 23408370\nPMCID: PMC3830696","journalAbbreviation":"Am J Hosp Palliat Care","author":[{"family":"Sera","given":"Leah"},{"family":"McPherson","given":"Mary Lynn"},{"family":"Holmes","given":"Holly M."}],"issued":{"date-parts":[["2014",3]]}}},{"id":253,"uris":["http://zotero.org/users/2597747/items/D5ZTTA6H"],"uri":["http://zotero.org/users/2597747/items/D5ZTTA6H"],"itemData":{"id":253,"type":"article-journal","title":"Prescribing practices in hospice patients with adult failure to thrive or debility","container-title":"Progress in palliative care","page":"69-74","volume":"22","issue":"2","source":"PubMed Central","abstract":"Objectives\nDespite being a common admitting diagnosis, there is very little published literature on medication management in hospice patients admitted with a diagnosis of failure to thrive or debility. The purpose of this study was to describe medication prescribing practices in hospice patients with either of these primary diagnoses by characterizing prescribed medications by name and by pharmaceutical class, and determining whether the patient or the hospice organization provided each medication.\n\nMethods\nA retrospective review of a patient information database compiled by a national hospice organization was conducted. Patients were included in this retrospective study if they were admitted to hospice care with a primary diagnosis of failure to thrive or debility, and if they were admitted on or after 1 January 2010, and discharged by death on or before 31 December 2010.\n\nResults\nOverall 293 patients and 6181 medication entries were evaluated. The most commonly prescribed drugs were acetaminophen, lorazepam, morphine, atropine, prochlorperazine, haloperidol, docusate, aspirin, and bisacodyl. The most commonly prescribed pharmacological classes were opioid and non-opioid analgesics, anxiolytics, anticholinergics, antihypertensives, laxatives, antidepressants, and supplements. The hospice organization provided over 90% of prescriptions for analgesics, antipsychotics, anticholinergics, and anxiolytics, and these medications were discontinued before death in less than 5% of patients.\n\nConclusion\nRecognized clinical components of failure to thrive syndrome include cognitive impairment, malnutrition, and depression. The hospice organization provided 80% of antidepressants, but infrequently provided appetite stimulants and drugs treating dementia. The most commonly provided drugs were those used for symptoms associated with most end-stage diseases.","DOI":"10.1179/1743291X13Y.0000000068","ISSN":"0969-9260","note":"PMID: 24904199\nPMCID: PMC4041741","journalAbbreviation":"Prog Palliat Care","author":[{"family":"Sera","given":"Leah"},{"family":"Holmes","given":"Holly M."},{"family":"McPherson","given":"Mary Lynn"}],"issued":{"date-parts":[["2014",4,1]]}}},{"id":351,"uris":["http://zotero.org/users/2597747/items/8326S43N"],"uri":["http://zotero.org/users/2597747/items/8326S43N"],"itemData":{"id":351,"type":"article-journal","title":"Medications That Older Adults in Hospice Care in the United States Take, 2007","container-title":"Journal of the American Geriatrics Society","page":"2282-2289","volume":"63","issue":"11","source":"Wiley Online Library","abstract":"Objectives\n\nTo describe medications that older adults in hospice with cancer, dementia, debility, heart disease, and lung disease take during the last week of life.\n\n\nDesign\n\nRetrospective cross-sectional study.\n\n\nSetting\n\nNationally representative sample of 695 U.S. hospices in the 2007 National Home and Hospice Care Survey.\n\n\nParticipants\n\nIndividuals aged 65 and older with a primary diagnosis of cancer (49%), dementia (12%), debility (14%), heart disease (16%), or lung disease (10%) who received end-of-life care during their last week of life (N = 2,623).\n\n\nMeasurements\n\nMedication data were obtained from hospice staff, who were asked, “What are the names of all the medications and drugs the patient was taking 7 days prior to and on the day of his or her death while in hospice? Please include any standing, routine, or PRN medications.”\n\n\nResults\n\nThe unweighted survey response rate was 71%. The average number of medications taken was 10.2. The most common therapeutic classes were analgesics (98%); antiemetic and antivertigo medications (78%); anxiolytics, sedatives, and hypnotics (76%); anticonvulsants (71%); and laxatives (53%). Approximately one-quarter of the individuals took proton pump inhibitors, anticoagulants, and antidepressants, and fewer than 20% took antacids and antibiotics. A smaller percentage of individuals with dementia and debility than of those with cancer took opioid analgesics. Individuals with heart disease were more likely than individuals in the other clinical cohorts to take diuretics, and those with lung disease were more likely than those in the other clinical cohorts to take bronchodilators. A higher percentage of individuals with dementia and with debility than with cancer and lung disease took antidepressants.\n\n\nConclusion\n\nPeople continue to receive disease-focused therapies at the end of life rather than therapies exclusively for palliation of symptoms, suggesting that treatments may vary according to the person's primary diagnosis.","DOI":"10.1111/jgs.13795","ISSN":"1532-5415","journalAbbreviation":"J Am Geriatr Soc","language":"en","author":[{"family":"Dwyer","given":"Lisa L."},{"family":"Lau","given":"Denys T."},{"family":"Shega","given":"Joseph W."}],"issued":{"date-parts":[["2015",11,1]]}}},{"id":1046,"uris":["http://zotero.org/users/2597747/items/8TMWXQ45"],"uri":["http://zotero.org/users/2597747/items/8TMWXQ45"],"itemData":{"id":1046,"type":"article-journal","title":"Acetylcholinesterase Inhibitor and N-Methyl--Aspartic Acid Receptor Antagonist Use among Hospice Enrollees with a Primary Diagnosis of Dementia","container-title":"Journal of Palliative Medicine","page":"738-745","volume":"11","issue":"5","source":"EBSCOhost","abstract":"Objectives: To describe acetylcholinesterase inhibitor (AChEI) and memantine use among persons over the age of 65 admitted to hospice with a primary diagnosis of dementia and identify patient and hospice program characteristics associated with the use of these agents. Design: Retrospective, cross-sectional study. Setting: Administrative database of a national hospice pharmacy provider. Participants: A total of 10,065 persons with end-stage dementia admitted to one of 441 U.S. hospices in 2004. Measurements: The frequency of AChEI and memantine use was determined and utilized as the unit of analysis for bivariate and multivariate comparisons with patient and hospice program characteristics. Results: Twenty-one percent (2148/10,065) of patients were prescribed AChEI and/or memantine therapy at the time of hospice enrollment. Of these, 49.5% were prescribed donepezil. Odds of receiving AChEI and/or memantine therapy were less likely if the patient was female, (odds ratio [OR] 0.68, 0.62–0.76), died while enrolled in hospice (OR 0.75, 0.67–0.85), received care at home (0.80, 0.71–0.89), or had a hospice length of stay (LOS) less than 7 days (0.53, 0.45–0.62). Patients who had a LOS of at least 60 days were significantly more likely to have received such therapies (OR 1.41 [1.24–1.60] for 61–180 days and 1.33 [1.15–1.54] for over 180 days). Conclusion: A notable number of hospice enrollees with a primary diagnosis of dementia were prescribed AChEI and/or NMDA receptor antagonist therapy. Studies are needed to better define the role of these agents as well as the impact of medication discontinuation in persons with end-stage dementia.","DOI":"10.1089/jpm.2007.0125","ISSN":"10966218","journalAbbreviation":"Journal of Palliative Medicine","author":[{"family":"Weschules","given":"Douglas J."},{"family":"Maxwell","given":"Terri L."},{"family":"Shega","given":"Joseph W."}],"issued":{"date-parts":[["2008",6]]}}},{"id":3682,"uris":["http://zotero.org/users/2597747/items/X7N22KEC"],"uri":["http://zotero.org/users/2597747/items/X7N22KEC"],"itemData":{"id":3682,"type":"article-journal","title":"Antibiotic Policies and Utilization in Oregon Hospice Programs","container-title":"The American Journal of Hospice &amp; Palliative Care","page":"777-781","volume":"33","issue":"8","source":"PubMed","abstract":"Antibiotics are frequently used in hospice care, despite limited data on safety and effectiveness in this patient population. We surveyed Oregon hospice programs on antibiotic policies and prescribing practices. Among 39 responding hospice programs, the median reported proportion of current census using antibiotics was 10% (interquartile range = 3.5%-20.0%). Approximately 31% of responding hospice programs had policies for antibiotic initiation, 17% of hospice programs had policies for antibiotic discontinuation, and 95% of hospice programs had policies for managing drug interactions. Diarrhea, nausea/vomiting, and yeast infections were the most frequently reported antibiotic-associated adverse events, occurring \"sometimes\" or \"often\" among 62%, 47%, and 62% of respondents, respectively. In conclusion, less than a third of participating hospice programs reported having a policy for antibiotic initiation and even less frequently a policy for discontinuation. More data are needed on the risks and benefits of antibiotic use in hospice care to inform these policies and optimize outcomes in this vulnerable patient population.","DOI":"10.1177/1049909115599951","ISSN":"1938-2715","note":"PMID: 26268730","journalAbbreviation":"Am J Hosp Palliat Care","language":"eng","author":[{"family":"Novak","given":"Rachel L."},{"family":"Noble","given":"Brie N."},{"family":"Fromme","given":"Erik K."},{"family":"Tice","given":"Michael O."},{"family":"McGregor","given":"Jessina C."},{"family":"Furuno","given":"Jon P."}],"issued":{"date-parts":[["2016",9]]}}},{"id":1139,"uris":["http://zotero.org/users/2597747/items/SGMTVXTC"],"uri":["http://zotero.org/users/2597747/items/SGMTVXTC"],"itemData":{"id":1139,"type":"article-journal","title":"A Nationwide Analysis of Antibiotic Use in Hospice Care in the Final Week of Life","container-title":"Journal of pain and symptom management","page":"483-490","volume":"46","issue":"4","source":"PubMed Central","abstract":"Context\nAntibiotic prescribing in hospice patients is complicated by the focus on palliative rather than curative care and concerns regarding increasing antibiotic resistance.\n\nObjectives\nTo estimate antibiotic use in a national sample of hospice patients and identify facility and patient characteristics associated with antibiotic use in this population.\n\nMethods\nThis was an analysis of data from the 2007 National Home and Hospice Care Survey, a nationally representative sample of U.S. hospice agencies. We included data from 3884 patients who died in hospice care. The primary outcome measure was prevalence of antibiotic use in the last seven days of life. Diagnoses, including potential infectious indications for antibiotic use, were defined using International Classification of Diseases, Ninth Revision (ICD-9) codes. Chi-square tests and t-tests were used to quantify associations of patient and facility characteristics with antibiotic use.\n\nResults\nDuring the last seven days of life, 27% (95% confidence interval [CI] 24%, 30%) of patients received at least one antibiotic and 1.3% (95% CI 0.7%, 2.0%) received three or more antibiotics. Among patients who received at least one antibiotic, 15% (95% CI 10%, 20%) had a documented infectious diagnosis, compared with 9% (95% CI 7%, 11%) who had an infectious diagnosis but received no antibiotics.\n\nConclusion\nIn this nationally representative sample, 27% of hospice patients received an antibiotic during the last seven days of life, most without a documented infectious diagnosis. Further research is needed to elucidate the role of antibiotics in this patient population to maintain palliative care goals while reducing unnecessary antibiotic use.","DOI":"10.1016/j.jpainsymman.2012.09.010","ISSN":"0885-3924","note":"PMID: 23317761\nPMCID: PMC3723720","journalAbbreviation":"J Pain Symptom Manage","author":[{"family":"Albrecht","given":"Jennifer S."},{"family":"McGregor","given":"Jessina C."},{"family":"Fromme","given":"Erik K."},{"family":"Bearden","given":"David T."},{"family":"Furuno","given":"Jon P."}],"issued":{"date-parts":[["2013",10]]}}}],"schema":"https://github.com/citation-style-language/schema/raw/master/csl-citation.json"}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21–23,135,148–151</w:t>
      </w:r>
      <w:r w:rsidRPr="00725D15">
        <w:rPr>
          <w:rFonts w:cs="Arial"/>
          <w:szCs w:val="22"/>
        </w:rPr>
        <w:fldChar w:fldCharType="end"/>
      </w:r>
      <w:r w:rsidRPr="00725D15">
        <w:rPr>
          <w:rFonts w:cs="Arial"/>
          <w:szCs w:val="22"/>
        </w:rPr>
        <w:t xml:space="preserve"> This dissertation research consists of the largest published studies of medication use in hospice patients to date, and the first to examine longitudinal </w:t>
      </w:r>
      <w:r w:rsidRPr="00725D15">
        <w:rPr>
          <w:rFonts w:cs="Arial"/>
          <w:szCs w:val="22"/>
        </w:rPr>
        <w:lastRenderedPageBreak/>
        <w:t xml:space="preserve">changes in drug use before and after hospice admission. Overall, the results suggest that medication use is suboptimal in older hospice patients and, in many cases, may directly conflict with hospice care principles. The prevalence of LBM dispensings after hospice admission was surprisingly common, and contrary to initial hypotheses, the patient’s primary hospice admission diagnosis does not appear to be a major independent predictor of continuing LBMs after hospice admission. </w:t>
      </w:r>
    </w:p>
    <w:p w14:paraId="30CD1173" w14:textId="0B9DF4E1" w:rsidR="00BF50D9" w:rsidRDefault="00520436" w:rsidP="00520436">
      <w:pPr>
        <w:ind w:firstLine="720"/>
        <w:rPr>
          <w:rFonts w:cs="Arial"/>
          <w:szCs w:val="22"/>
        </w:rPr>
      </w:pPr>
      <w:r w:rsidRPr="00725D15">
        <w:rPr>
          <w:rFonts w:cs="Arial"/>
          <w:szCs w:val="22"/>
        </w:rPr>
        <w:t xml:space="preserve">Though the exact factors leading to this potentially unnecessary medication use are unclear, the published literature and the study findings presented here provide potential explanations that warrant further exploration and confirmation. Perhaps most importantly, there are few guidelines currently available which aid clinicians in determining the specific medications that may be appropriate to deprescribe in the context of limited life expectancy. Such guideline creation is particularly difficult for this patient population given that evidence generation via clinical trials may be unethical or unfeasible, and there is little real-world outcomes data available demonstrating the benefits and risks of medication discontinuation at the end of life. Still, </w:t>
      </w:r>
      <w:r w:rsidR="00CB562D">
        <w:rPr>
          <w:rFonts w:cs="Arial"/>
          <w:szCs w:val="22"/>
        </w:rPr>
        <w:t>the uncertainty surrounding deprescribing</w:t>
      </w:r>
      <w:r w:rsidRPr="00725D15">
        <w:rPr>
          <w:rFonts w:cs="Arial"/>
          <w:szCs w:val="22"/>
        </w:rPr>
        <w:t xml:space="preserve"> in the terminally ill has gained increasing attention in recent years and efforts are being made to address this issue.  The recently published STOPPFrail criteria provide 27 explicit criteria for deprescribing specific classes of commonly used medications in older patients with limited life expectancy.</w:t>
      </w:r>
      <w:r w:rsidRPr="00725D15">
        <w:rPr>
          <w:rFonts w:cs="Arial"/>
          <w:szCs w:val="22"/>
        </w:rPr>
        <w:fldChar w:fldCharType="begin"/>
      </w:r>
      <w:r w:rsidR="00EC3644">
        <w:rPr>
          <w:rFonts w:cs="Arial"/>
          <w:szCs w:val="22"/>
        </w:rPr>
        <w:instrText xml:space="preserve"> ADDIN ZOTERO_ITEM CSL_CITATION {"citationID":"a1imuitjpe4","properties":{"formattedCitation":"\\super 103\\nosupersub{}","plainCitation":"103","noteIndex":0},"citationItems":[{"id":4020,"uris":["http://zotero.org/users/2597747/items/ZGIQV9AG"],"uri":["http://zotero.org/users/2597747/items/ZGIQV9AG"],"itemData":{"id":4020,"type":"article-journal","title":"STOPPFrail (Screening Tool of Older Persons Prescriptions in Frail adults with limited life expectancy): consensus validation","container-title":"Age and Ageing","page":"600-607","volume":"46","issue":"4","source":"PubMed","abstract":"Objective: to validate STOPPFrail, a list of explicit criteria for potentially inappropriate medication (PIM) use in frail older adults with limited life expectancy.\nDesign: a Delphi consensus survey of an expert panel comprising academic geriatricians, clinical pharmacologists, palliative care physicians, old age psychiatrists, general practitioners and clinical pharmacists.\nSetting: Ireland.\nSubjects: seventeen panellists.\nMethods: STOPPFrail criteria were initially created by the authors based on clinical experience and literature appraisal. Criteria were organised according to the physiological system; each criterion accompanied by an explanation. Using Delphi consensus methodology, panellists ranked their agreement with each criterion on a 5-point Likert scale and provided written feedback. Criteria with a median Likert response of 4/5 (agree/strongly agree) and a 25th centile of ≥4 were included in the final list.\nResults: all panellists completed three Delphi rounds. Thirty criteria were proposed, 27 were accepted. The first two criteria suggest deprescribing medications without indication or where compliance is poor. The remaining 25 criteria include lipid-lowering therapies, alpha-blockers for hypertension, anti-platelets, neuroleptics, memantine, proton-pump inhibitors, H2-receptor antagonists, anti-spasmodic agents, theophylline, leukotriene antagonists, calcium supplements, bone anti-resorptive therapy, selective oestrogen receptor modulators, non-steroidal anti-inflammatories, corticosteroids, 5-alpha-reductase inhibitors, alpha-1-selective blockers, muscarinic antagonists, oral diabetic agents, ACE-inhibitors, angiotensin receptor blockers, systemic oestrogens, multivitamins, nutritional supplements and prophylactic antibiotics. Consensus could not be reached on the inclusion of acetylcholinesterase inhibitors. Full consensus was reached on the exclusion of anticoagulants and antidepressants from the list.\nConclusion: STOPPFrail comprises 27 criteria relating to medications that are potentially inappropriate in frail older patients with limited life expectancy. STOPPFrail may assist physicians in deprescribing medications in these patients.","DOI":"10.1093/ageing/afx005","ISSN":"1468-2834","note":"PMID: 28119312","shortTitle":"STOPPFrail (Screening Tool of Older Persons Prescriptions in Frail adults with limited life expectancy)","journalAbbreviation":"Age Ageing","language":"eng","author":[{"family":"Lavan","given":"Amanda Hanora"},{"family":"Gallagher","given":"Paul"},{"family":"Parsons","given":"Carole"},{"family":"O'Mahony","given":"Denis"}],"issued":{"date-parts":[["2017",7,1]]}}}],"schema":"https://github.com/citation-style-language/schema/raw/master/csl-citation.json"}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103</w:t>
      </w:r>
      <w:r w:rsidRPr="00725D15">
        <w:rPr>
          <w:rFonts w:cs="Arial"/>
          <w:szCs w:val="22"/>
        </w:rPr>
        <w:fldChar w:fldCharType="end"/>
      </w:r>
      <w:r w:rsidRPr="00725D15">
        <w:rPr>
          <w:rFonts w:cs="Arial"/>
          <w:szCs w:val="22"/>
        </w:rPr>
        <w:t xml:space="preserve"> Though the most comprehensive and broadly applicable set of deprescribing guidelines in terminal illness developed to date, further testing and validation outside of the country of origin (i.e. Ireland) are needed to enhance generalizability and widespread adoption in clinical practice. A recent randomized, controlled trial demonstrating that stopping statins is safe at the end of life further aids in filling the evidence gap and should prompt further research in this area.</w:t>
      </w:r>
      <w:r w:rsidRPr="00725D15">
        <w:rPr>
          <w:rFonts w:cs="Arial"/>
          <w:szCs w:val="22"/>
        </w:rPr>
        <w:fldChar w:fldCharType="begin"/>
      </w:r>
      <w:r w:rsidR="00EC3644">
        <w:rPr>
          <w:rFonts w:cs="Arial"/>
          <w:szCs w:val="22"/>
        </w:rPr>
        <w:instrText xml:space="preserve"> ADDIN ZOTERO_ITEM CSL_CITATION {"citationID":"a21u0n13o0h","properties":{"formattedCitation":"\\super 108\\nosupersub{}","plainCitation":"108","noteIndex":0},"citationItems":[{"id":354,"uris":["http://zotero.org/users/2597747/items/5MZCQ2JR"],"uri":["http://zotero.org/users/2597747/items/5MZCQ2JR"],"itemData":{"id":354,"type":"article-journal","title":"Safety and Benefit of Discontinuing Statin Therapy in the Setting of Advanced, Life-Limiting Illness","container-title":"JAMA internal medicine","page":"691-700","volume":"175","issue":"5","source":"PubMed Central","abstract":"IMPORTANCE\nFor patients with limited prognosis, some medication risks may outweigh the benefits, particularly when benefits take years to accrue; statins are one example. Data are lacking regarding the risks and benefits of discontinuing statin therapy for patients with limited life expectancy.\n\nOBJECTIVE\nTo evaluate the safety, clinical, and cost impact of discontinuing statin medications for patients in the palliative care setting.\n\nDESIGN, SETTING, AND PARTICIPANTS\nThis was a multicenter, parallel-group, unblinded, pragmatic clinical trial. Eligibility included adults with an estimated life expectancy of between 1 month and 1 year, statin therapy for 3 months or more for primary or secondary prevention of cardiovascular disease, recent deterioration in functional status, and no recent active cardiovascular disease. Participants were randomized to either discontinue or continue statin therapy and were monitored monthly for up to 1 year. The study was conducted from June 3, 2011, to May 2, 2013. All analyses were performed using an intent-to-treat approach.\n\nINTERVENTIONS\nStatin therapy was withdrawn from eligible patients who were randomized to the discontinuation group. Patients in the continuation group continued to receive statins.\n\nMAIN OUTCOMES AND MEASURES\nOutcomes included death within 60 days (primary outcome), survival, cardiovascular events, performance status, quality of life (QOL), symptoms, number of nonstatin medications, and cost savings.\n\nRESULTS\nA total of 381 patients were enrolled; 189 of these were randomized to discontinue statins, and 192 were randomized to continue therapy. Mean (SD) age was 74.1 (11.6) years, 22.0% of the participants were cognitively impaired, and 48.8% had cancer. The proportion of participants in the discontinuation vs continuation groups who died within 60 days was not significantly different (23.8% vs 20.3%; 90% CI, −3.5% to 10.5%; P = .36) and did not meet the noninferiority end point. Total QOL was better for the group discontinuing statin therapy (mean McGill QOL score, 7.11 vs 6.85; P = .04). Few participants experienced cardiovascular events (13 in the discontinuation group vs 11 in the continuation group). Mean cost savings were $3.37 per day and $716 per patient.\n\nCONCLUSIONS AND RELEVANCE\nThis pragmatic trial suggests that stopping statin medication therapy is safe and may be associated with benefits including improved QOL, use of fewer nonstatin medications, and a corresponding reduction in medication costs. Thoughtful patient-provider discussions regarding the uncertain benefit and potential decrement in QOL associated with statin continuation in this setting are warranted.\n\nTRIAL REGISTRATION\nclinicaltrials.gov Identifier: NCT01415934","DOI":"10.1001/jamainternmed.2015.0289","ISSN":"2168-6106","note":"PMID: 25798575\nPMCID: PMC4618294","journalAbbreviation":"JAMA Intern Med","author":[{"family":"Kutner","given":"Jean S."},{"family":"Blatchford","given":"Patrick J."},{"family":"Taylor","given":"Don H."},{"family":"Ritchie","given":"Christine S."},{"family":"Bull","given":"Janet H."},{"family":"Fairclough","given":"Diane L."},{"family":"Hanson","given":"Laura C."},{"family":"LeBlanc","given":"Thomas W."},{"family":"Samsa","given":"Greg P."},{"family":"Wolf","given":"Steven"},{"family":"Aziz","given":"Noreen M."},{"family":"Currow","given":"David C."},{"family":"Ferrell","given":"Betty"},{"family":"Wagner-Johnston","given":"Nina"},{"family":"Zafar","given":"S. Yousuf"},{"family":"Cleary","given":"James F."},{"family":"Dev","given":"Sandesh"},{"family":"Goode","given":"Patricia S."},{"family":"Kamal","given":"Arif H."},{"family":"Kassner","given":"Cordt"},{"family":"Kvale","given":"Elizabeth A."},{"family":"McCallum","given":"Janelle G."},{"family":"Ogunseitan","given":"Adeboye B."},{"family":"Pantilat","given":"Steven Z."},{"family":"Portenoy","given":"Russell K."},{"family":"Prince-Paul","given":"Maryjo"},{"family":"Sloan","given":"Jeff A."},{"family":"Swetz","given":"Keith M."},{"family":"Von Gunten","given":"Charles F."},{"family":"Abernethy","given":"Amy P."}],"issued":{"date-parts":[["2015",5]]}}}],"schema":"https://github.com/citation-style-language/schema/raw/master/csl-citation.json"}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108</w:t>
      </w:r>
      <w:r w:rsidRPr="00725D15">
        <w:rPr>
          <w:rFonts w:cs="Arial"/>
          <w:szCs w:val="22"/>
        </w:rPr>
        <w:fldChar w:fldCharType="end"/>
      </w:r>
      <w:r w:rsidRPr="00725D15">
        <w:rPr>
          <w:rFonts w:cs="Arial"/>
          <w:szCs w:val="22"/>
        </w:rPr>
        <w:t xml:space="preserve"> Until this body of evidence is developed, the results of this dissertation suggest that a more </w:t>
      </w:r>
    </w:p>
    <w:p w14:paraId="52B0EE35" w14:textId="77777777" w:rsidR="00BF50D9" w:rsidRDefault="00BF50D9" w:rsidP="00BF50D9">
      <w:pPr>
        <w:rPr>
          <w:rFonts w:cs="Arial"/>
          <w:szCs w:val="22"/>
        </w:rPr>
      </w:pPr>
    </w:p>
    <w:p w14:paraId="43789561" w14:textId="462348E9" w:rsidR="00520436" w:rsidRPr="00725D15" w:rsidRDefault="00520436" w:rsidP="00BF50D9">
      <w:pPr>
        <w:rPr>
          <w:rFonts w:cs="Arial"/>
          <w:szCs w:val="22"/>
        </w:rPr>
      </w:pPr>
      <w:r w:rsidRPr="00725D15">
        <w:rPr>
          <w:rFonts w:cs="Arial"/>
          <w:szCs w:val="22"/>
        </w:rPr>
        <w:lastRenderedPageBreak/>
        <w:t>thoughtful and careful review of hospice patients’ medication regimens at hospice enrollment is needed to ensure that the medications they continue to receive fully align with their care goals.</w:t>
      </w:r>
    </w:p>
    <w:p w14:paraId="46C6C487" w14:textId="6CBA1F06" w:rsidR="00782E92" w:rsidRPr="00725D15" w:rsidRDefault="00520436" w:rsidP="00CB562D">
      <w:pPr>
        <w:ind w:firstLine="720"/>
        <w:rPr>
          <w:rFonts w:cs="Arial"/>
          <w:szCs w:val="22"/>
        </w:rPr>
      </w:pPr>
      <w:r w:rsidRPr="00725D15">
        <w:rPr>
          <w:rFonts w:cs="Arial"/>
          <w:szCs w:val="22"/>
        </w:rPr>
        <w:t xml:space="preserve">This research identified </w:t>
      </w:r>
      <w:r w:rsidR="00110C66">
        <w:rPr>
          <w:rFonts w:cs="Arial"/>
          <w:szCs w:val="22"/>
        </w:rPr>
        <w:t>f</w:t>
      </w:r>
      <w:r w:rsidRPr="00725D15">
        <w:rPr>
          <w:rFonts w:cs="Arial"/>
          <w:szCs w:val="22"/>
        </w:rPr>
        <w:t>actors such as hospice care setting, hospice length of stay, and burdensome health care transitions as contributing to LBM use in the hospice population. However, the underlying events and processes leading to these observations are likely complex. Apart from the uncertainty over the risk-benefit balance of medications at the end of life as described above, poor communication among providers during care handoffs and between patients/families and providers during the transition to hospice likely plays a role in LBM use and continuation in hospice patients. Patients in this research used an average of approximately 15 unique medications in the year prior to hospice admission. Without careful communication and documentation of medication regimens in patients with this drug burden, medication-related problems are likely. Further, terminally ill patients are often seeing multiple providers due to the complexity of their conditions, each of which may be prescribing and adjusting different medications. If plans of care are poorly communicated during the transition to hospice and any future transitions to non-hospice settings, hospice providers may simply not be aware of all of the medications that a patient is taking. This may make other efforts to curb LBM use at the patient and provider level futile. Other breakdowns and barriers to communication preventing deprescribing may include a lack of education and reluctance among providers to discuss de-escalation of therapy with patients, and the refusal of patients and families to stop medications. There is a significant need to quantify the frequency with which such problems are present at hospice enrollment and develop interventions targeting them, for example, by the implementation of standardized care processes aimed at facilitating better communication throughout patients’ transition to hospice.</w:t>
      </w:r>
    </w:p>
    <w:p w14:paraId="2D9F793E" w14:textId="7CFE05E9" w:rsidR="00520436" w:rsidRDefault="00520436" w:rsidP="00520436">
      <w:pPr>
        <w:ind w:firstLine="720"/>
        <w:rPr>
          <w:rFonts w:cs="Arial"/>
          <w:szCs w:val="22"/>
        </w:rPr>
      </w:pPr>
      <w:r w:rsidRPr="00725D15">
        <w:rPr>
          <w:rFonts w:cs="Arial"/>
          <w:szCs w:val="22"/>
        </w:rPr>
        <w:t xml:space="preserve">Finally, the way in which health care policies might influence LBM use in hospice patients is not well understood. However, the key to widespread change may lie in revisiting the </w:t>
      </w:r>
      <w:r w:rsidRPr="00725D15">
        <w:rPr>
          <w:rFonts w:cs="Arial"/>
          <w:szCs w:val="22"/>
        </w:rPr>
        <w:lastRenderedPageBreak/>
        <w:t>medication coverage policies under Medicare’s hospice benefit, by far the single largest financier of hospice care in th</w:t>
      </w:r>
      <w:r w:rsidR="00110C66">
        <w:rPr>
          <w:rFonts w:cs="Arial"/>
          <w:szCs w:val="22"/>
        </w:rPr>
        <w:t xml:space="preserve">e US. Despite the </w:t>
      </w:r>
      <w:r w:rsidRPr="00725D15">
        <w:rPr>
          <w:rFonts w:cs="Arial"/>
          <w:szCs w:val="22"/>
        </w:rPr>
        <w:t>assumption</w:t>
      </w:r>
      <w:r w:rsidR="00110C66">
        <w:rPr>
          <w:rFonts w:cs="Arial"/>
          <w:szCs w:val="22"/>
        </w:rPr>
        <w:t xml:space="preserve"> by CMS</w:t>
      </w:r>
      <w:r w:rsidRPr="00725D15">
        <w:rPr>
          <w:rFonts w:cs="Arial"/>
          <w:szCs w:val="22"/>
        </w:rPr>
        <w:t xml:space="preserve"> that the Part D benefit would be rarely used in the hospice population, Part D costs to Medicare among patients using the hospice benefit were most recently estimated to total $340 million annually.</w:t>
      </w:r>
      <w:r w:rsidRPr="00725D15">
        <w:rPr>
          <w:rFonts w:cs="Arial"/>
          <w:szCs w:val="22"/>
        </w:rPr>
        <w:fldChar w:fldCharType="begin"/>
      </w:r>
      <w:r w:rsidR="00AB0F6E">
        <w:rPr>
          <w:rFonts w:cs="Arial"/>
          <w:szCs w:val="22"/>
        </w:rPr>
        <w:instrText xml:space="preserve"> ADDIN ZOTERO_ITEM CSL_CITATION {"citationID":"a192vfm7ob7","properties":{"formattedCitation":"\\super 5\\nosupersub{}","plainCitation":"5","noteIndex":0},"citationItems":[{"id":3275,"uris":["http://zotero.org/users/2597747/items/553E3ZIJ"],"uri":["http://zotero.org/users/2597747/items/553E3ZIJ"],"itemData":{"id":3275,"type":"report","title":"Hospice Services. Report to the Congress: Medicare Payment Policy","publisher":"Medicare Payment Advisory Commission","publisher-place":"Washington, D.C.","event-place":"Washington, D.C.","author":[{"family":"Crosson","given":"FJ"}],"issued":{"date-parts":[["2016",3]]}}}],"schema":"https://github.com/citation-style-language/schema/raw/master/csl-citation.json"} </w:instrText>
      </w:r>
      <w:r w:rsidRPr="00725D15">
        <w:rPr>
          <w:rFonts w:cs="Arial"/>
          <w:szCs w:val="22"/>
        </w:rPr>
        <w:fldChar w:fldCharType="separate"/>
      </w:r>
      <w:r w:rsidR="00B55AC2" w:rsidRPr="00B55AC2">
        <w:rPr>
          <w:rFonts w:cs="Arial"/>
          <w:szCs w:val="24"/>
          <w:vertAlign w:val="superscript"/>
        </w:rPr>
        <w:t>5</w:t>
      </w:r>
      <w:r w:rsidRPr="00725D15">
        <w:rPr>
          <w:rFonts w:cs="Arial"/>
          <w:szCs w:val="22"/>
        </w:rPr>
        <w:fldChar w:fldCharType="end"/>
      </w:r>
      <w:r w:rsidRPr="00725D15">
        <w:rPr>
          <w:rFonts w:cs="Arial"/>
          <w:szCs w:val="22"/>
        </w:rPr>
        <w:t xml:space="preserve"> While previous attempts to place prior authorization requirements on all medications submitted for Part D reimbursement in hospice patients were short-lived, a more gradual and targeted approach may find more success within the payer, patient, and hospice provider community. CMS could start by limiting reimbursement through Part D for medications with </w:t>
      </w:r>
      <w:r w:rsidR="007B0916">
        <w:rPr>
          <w:rFonts w:cs="Arial"/>
          <w:szCs w:val="22"/>
        </w:rPr>
        <w:t xml:space="preserve">strong </w:t>
      </w:r>
      <w:r w:rsidRPr="00725D15">
        <w:rPr>
          <w:rFonts w:cs="Arial"/>
          <w:szCs w:val="22"/>
        </w:rPr>
        <w:t xml:space="preserve">consensus and objective evidence for a lack of benefit in terminal illness, such as lipid-lowering medications. As the body </w:t>
      </w:r>
      <w:r w:rsidRPr="00725D15">
        <w:rPr>
          <w:rFonts w:cs="Arial"/>
          <w:szCs w:val="22"/>
        </w:rPr>
        <w:t>of evidence continues to grow, this could be expanded to other medication classes in the future.</w:t>
      </w:r>
      <w:r w:rsidRPr="00725D15">
        <w:rPr>
          <w:rFonts w:cs="Arial"/>
          <w:szCs w:val="22"/>
        </w:rPr>
        <w:fldChar w:fldCharType="begin"/>
      </w:r>
      <w:r w:rsidRPr="00725D15">
        <w:rPr>
          <w:rFonts w:cs="Arial"/>
          <w:szCs w:val="22"/>
        </w:rPr>
        <w:instrText xml:space="preserve"> ADDIN ZOTERO_TEMP </w:instrText>
      </w:r>
      <w:r w:rsidRPr="00725D15">
        <w:rPr>
          <w:rFonts w:cs="Arial"/>
          <w:szCs w:val="22"/>
        </w:rPr>
        <w:fldChar w:fldCharType="end"/>
      </w:r>
      <w:r w:rsidRPr="00725D15">
        <w:rPr>
          <w:rFonts w:cs="Arial"/>
          <w:szCs w:val="22"/>
        </w:rPr>
        <w:tab/>
      </w:r>
    </w:p>
    <w:p w14:paraId="30459F2C" w14:textId="17976232" w:rsidR="00DE6983" w:rsidRDefault="003B7955" w:rsidP="00E91054">
      <w:pPr>
        <w:ind w:firstLine="720"/>
        <w:rPr>
          <w:rFonts w:cs="Arial"/>
          <w:szCs w:val="22"/>
        </w:rPr>
      </w:pPr>
      <w:r>
        <w:rPr>
          <w:rFonts w:cs="Arial"/>
          <w:szCs w:val="22"/>
        </w:rPr>
        <w:t xml:space="preserve">Given the dissertation findings, </w:t>
      </w:r>
      <w:r w:rsidR="00B50FDC">
        <w:rPr>
          <w:rFonts w:cs="Arial"/>
          <w:szCs w:val="22"/>
        </w:rPr>
        <w:t>a reassessment of the</w:t>
      </w:r>
      <w:r>
        <w:rPr>
          <w:rFonts w:cs="Arial"/>
          <w:szCs w:val="22"/>
        </w:rPr>
        <w:t xml:space="preserve"> originally proposed conceptual framework </w:t>
      </w:r>
      <w:r w:rsidR="00BF50D9">
        <w:rPr>
          <w:rFonts w:cs="Arial"/>
          <w:szCs w:val="22"/>
        </w:rPr>
        <w:t xml:space="preserve">is </w:t>
      </w:r>
      <w:r>
        <w:rPr>
          <w:rFonts w:cs="Arial"/>
          <w:szCs w:val="22"/>
        </w:rPr>
        <w:t xml:space="preserve">warranted. </w:t>
      </w:r>
      <w:r w:rsidR="00D6710D">
        <w:rPr>
          <w:rFonts w:cs="Arial"/>
          <w:szCs w:val="22"/>
        </w:rPr>
        <w:t>P</w:t>
      </w:r>
      <w:r w:rsidR="00B50FDC">
        <w:rPr>
          <w:rFonts w:cs="Arial"/>
          <w:szCs w:val="22"/>
        </w:rPr>
        <w:t xml:space="preserve">atient cohorts defined by </w:t>
      </w:r>
      <w:r>
        <w:rPr>
          <w:rFonts w:cs="Arial"/>
          <w:szCs w:val="22"/>
        </w:rPr>
        <w:t xml:space="preserve">primary hospice admission diagnosis </w:t>
      </w:r>
      <w:r w:rsidR="00B50FDC">
        <w:rPr>
          <w:rFonts w:cs="Arial"/>
          <w:szCs w:val="22"/>
        </w:rPr>
        <w:t>experience</w:t>
      </w:r>
      <w:r w:rsidR="00BF50D9">
        <w:rPr>
          <w:rFonts w:cs="Arial"/>
          <w:szCs w:val="22"/>
        </w:rPr>
        <w:t>d</w:t>
      </w:r>
      <w:r w:rsidR="00B50FDC">
        <w:rPr>
          <w:rFonts w:cs="Arial"/>
          <w:szCs w:val="22"/>
        </w:rPr>
        <w:t xml:space="preserve"> differences in</w:t>
      </w:r>
      <w:r w:rsidR="00BF50D9">
        <w:rPr>
          <w:rFonts w:cs="Arial"/>
          <w:szCs w:val="22"/>
        </w:rPr>
        <w:t xml:space="preserve"> the prevalence of</w:t>
      </w:r>
      <w:r w:rsidR="00B50FDC">
        <w:rPr>
          <w:rFonts w:cs="Arial"/>
          <w:szCs w:val="22"/>
        </w:rPr>
        <w:t xml:space="preserve"> LBM use and continuation</w:t>
      </w:r>
      <w:r w:rsidR="00D6710D">
        <w:rPr>
          <w:rFonts w:cs="Arial"/>
          <w:szCs w:val="22"/>
        </w:rPr>
        <w:t>. However, contrary to initial hypotheses</w:t>
      </w:r>
      <w:r w:rsidR="00B50FDC">
        <w:rPr>
          <w:rFonts w:cs="Arial"/>
          <w:szCs w:val="22"/>
        </w:rPr>
        <w:t xml:space="preserve">, </w:t>
      </w:r>
      <w:r w:rsidR="000D17B6">
        <w:rPr>
          <w:rFonts w:cs="Arial"/>
          <w:szCs w:val="22"/>
        </w:rPr>
        <w:t xml:space="preserve">admission </w:t>
      </w:r>
      <w:r w:rsidR="00B50FDC">
        <w:rPr>
          <w:rFonts w:cs="Arial"/>
          <w:szCs w:val="22"/>
        </w:rPr>
        <w:t xml:space="preserve">diagnosis </w:t>
      </w:r>
      <w:r>
        <w:rPr>
          <w:rFonts w:cs="Arial"/>
          <w:szCs w:val="22"/>
        </w:rPr>
        <w:t>does not appear to play</w:t>
      </w:r>
      <w:r w:rsidR="00B50FDC">
        <w:rPr>
          <w:rFonts w:cs="Arial"/>
          <w:szCs w:val="22"/>
        </w:rPr>
        <w:t xml:space="preserve"> a </w:t>
      </w:r>
      <w:r w:rsidR="00140DBB">
        <w:rPr>
          <w:rFonts w:cs="Arial"/>
          <w:szCs w:val="22"/>
        </w:rPr>
        <w:t>significant</w:t>
      </w:r>
      <w:r w:rsidR="00B50FDC">
        <w:rPr>
          <w:rFonts w:cs="Arial"/>
          <w:szCs w:val="22"/>
        </w:rPr>
        <w:t xml:space="preserve"> role</w:t>
      </w:r>
      <w:r>
        <w:rPr>
          <w:rFonts w:cs="Arial"/>
          <w:szCs w:val="22"/>
        </w:rPr>
        <w:t xml:space="preserve"> a</w:t>
      </w:r>
      <w:r w:rsidR="00B50FDC">
        <w:rPr>
          <w:rFonts w:cs="Arial"/>
          <w:szCs w:val="22"/>
        </w:rPr>
        <w:t>s an</w:t>
      </w:r>
      <w:r>
        <w:rPr>
          <w:rFonts w:cs="Arial"/>
          <w:szCs w:val="22"/>
        </w:rPr>
        <w:t xml:space="preserve"> independent </w:t>
      </w:r>
      <w:r w:rsidR="00D6710D">
        <w:rPr>
          <w:rFonts w:cs="Arial"/>
          <w:szCs w:val="22"/>
        </w:rPr>
        <w:t>predictor</w:t>
      </w:r>
      <w:r w:rsidR="001B5584">
        <w:rPr>
          <w:rFonts w:cs="Arial"/>
          <w:szCs w:val="22"/>
        </w:rPr>
        <w:t xml:space="preserve">, with </w:t>
      </w:r>
      <w:r w:rsidR="00140DBB">
        <w:rPr>
          <w:rFonts w:cs="Arial"/>
          <w:szCs w:val="22"/>
        </w:rPr>
        <w:t>variations</w:t>
      </w:r>
      <w:r w:rsidR="00B73AFB">
        <w:rPr>
          <w:rFonts w:cs="Arial"/>
          <w:szCs w:val="22"/>
        </w:rPr>
        <w:t xml:space="preserve"> in use</w:t>
      </w:r>
      <w:r w:rsidR="00DE6983">
        <w:rPr>
          <w:rFonts w:cs="Arial"/>
          <w:szCs w:val="22"/>
        </w:rPr>
        <w:t xml:space="preserve"> largely explained by hospice length of stay. </w:t>
      </w:r>
      <w:r w:rsidR="00572302">
        <w:rPr>
          <w:rFonts w:cs="Arial"/>
          <w:szCs w:val="22"/>
        </w:rPr>
        <w:t>While the demographic characteristics measured in this study</w:t>
      </w:r>
      <w:r w:rsidR="00140DBB">
        <w:rPr>
          <w:rFonts w:cs="Arial"/>
          <w:szCs w:val="22"/>
        </w:rPr>
        <w:t xml:space="preserve"> (e.g., age, sex, rac</w:t>
      </w:r>
      <w:r w:rsidR="00B44814">
        <w:rPr>
          <w:rFonts w:cs="Arial"/>
          <w:szCs w:val="22"/>
        </w:rPr>
        <w:t>e</w:t>
      </w:r>
      <w:r w:rsidR="00622C6A">
        <w:rPr>
          <w:rFonts w:cs="Arial"/>
          <w:szCs w:val="22"/>
        </w:rPr>
        <w:t>, geographic region</w:t>
      </w:r>
      <w:r w:rsidR="00140DBB">
        <w:rPr>
          <w:rFonts w:cs="Arial"/>
          <w:szCs w:val="22"/>
        </w:rPr>
        <w:t>)</w:t>
      </w:r>
      <w:r w:rsidR="00572302">
        <w:rPr>
          <w:rFonts w:cs="Arial"/>
          <w:szCs w:val="22"/>
        </w:rPr>
        <w:t xml:space="preserve"> did not play a major role in LBM continuation</w:t>
      </w:r>
      <w:r w:rsidR="00DE1214">
        <w:rPr>
          <w:rFonts w:cs="Arial"/>
          <w:szCs w:val="22"/>
        </w:rPr>
        <w:t xml:space="preserve"> overall,</w:t>
      </w:r>
      <w:r w:rsidR="00572302">
        <w:rPr>
          <w:rFonts w:cs="Arial"/>
          <w:szCs w:val="22"/>
        </w:rPr>
        <w:t xml:space="preserve"> characteri</w:t>
      </w:r>
      <w:r w:rsidR="00140DBB">
        <w:rPr>
          <w:rFonts w:cs="Arial"/>
          <w:szCs w:val="22"/>
        </w:rPr>
        <w:t>sti</w:t>
      </w:r>
      <w:r w:rsidR="00572302">
        <w:rPr>
          <w:rFonts w:cs="Arial"/>
          <w:szCs w:val="22"/>
        </w:rPr>
        <w:t>cs</w:t>
      </w:r>
      <w:r w:rsidR="000D17B6">
        <w:rPr>
          <w:rFonts w:cs="Arial"/>
          <w:szCs w:val="22"/>
        </w:rPr>
        <w:t xml:space="preserve"> unobservable within our data</w:t>
      </w:r>
      <w:r w:rsidR="00622C6A">
        <w:rPr>
          <w:rFonts w:cs="Arial"/>
          <w:szCs w:val="22"/>
        </w:rPr>
        <w:t xml:space="preserve"> such as socioeconomic status, marital status, and f</w:t>
      </w:r>
      <w:r w:rsidR="00DE1214">
        <w:rPr>
          <w:rFonts w:cs="Arial"/>
          <w:szCs w:val="22"/>
        </w:rPr>
        <w:t>amily support</w:t>
      </w:r>
      <w:r w:rsidR="00572302">
        <w:rPr>
          <w:rFonts w:cs="Arial"/>
          <w:szCs w:val="22"/>
        </w:rPr>
        <w:t xml:space="preserve"> </w:t>
      </w:r>
      <w:r w:rsidR="00DE1214">
        <w:rPr>
          <w:rFonts w:cs="Arial"/>
          <w:szCs w:val="22"/>
        </w:rPr>
        <w:t xml:space="preserve">should be evaluated. </w:t>
      </w:r>
      <w:r w:rsidR="00B73AFB">
        <w:rPr>
          <w:rFonts w:cs="Arial"/>
          <w:szCs w:val="22"/>
        </w:rPr>
        <w:t xml:space="preserve">We attempted to control for differences in treatment patterns at the hospice facility level in our analysis as previous research suggests that </w:t>
      </w:r>
      <w:r w:rsidR="000D17B6">
        <w:rPr>
          <w:rFonts w:cs="Arial"/>
          <w:szCs w:val="22"/>
        </w:rPr>
        <w:t>h</w:t>
      </w:r>
      <w:r w:rsidR="00DE1214">
        <w:rPr>
          <w:rFonts w:cs="Arial"/>
          <w:szCs w:val="22"/>
        </w:rPr>
        <w:t xml:space="preserve">ospice program characteristics (e.g., profit status, staffing levels) </w:t>
      </w:r>
      <w:r w:rsidR="000D17B6">
        <w:rPr>
          <w:rFonts w:cs="Arial"/>
          <w:szCs w:val="22"/>
        </w:rPr>
        <w:t xml:space="preserve">are </w:t>
      </w:r>
      <w:r w:rsidR="00DE1214">
        <w:rPr>
          <w:rFonts w:cs="Arial"/>
          <w:szCs w:val="22"/>
        </w:rPr>
        <w:t>important factors</w:t>
      </w:r>
      <w:r w:rsidR="00B73AFB">
        <w:rPr>
          <w:rFonts w:cs="Arial"/>
          <w:szCs w:val="22"/>
        </w:rPr>
        <w:t xml:space="preserve"> influencing the intensity of care received</w:t>
      </w:r>
      <w:r w:rsidR="00141D8D">
        <w:rPr>
          <w:rFonts w:cs="Arial"/>
          <w:szCs w:val="22"/>
        </w:rPr>
        <w:t xml:space="preserve"> by hospice patients</w:t>
      </w:r>
      <w:r w:rsidR="00DE1214">
        <w:rPr>
          <w:rFonts w:cs="Arial"/>
          <w:szCs w:val="22"/>
        </w:rPr>
        <w:t>.</w:t>
      </w:r>
      <w:r w:rsidR="00B73AFB">
        <w:rPr>
          <w:rFonts w:cs="Arial"/>
          <w:szCs w:val="22"/>
        </w:rPr>
        <w:t xml:space="preserve"> Further research is needed to determine if</w:t>
      </w:r>
      <w:r w:rsidR="00141D8D">
        <w:rPr>
          <w:rFonts w:cs="Arial"/>
          <w:szCs w:val="22"/>
        </w:rPr>
        <w:t xml:space="preserve"> these theoretical predictors </w:t>
      </w:r>
      <w:r w:rsidR="00740272">
        <w:rPr>
          <w:rFonts w:cs="Arial"/>
          <w:szCs w:val="22"/>
        </w:rPr>
        <w:t xml:space="preserve">are </w:t>
      </w:r>
      <w:r w:rsidR="008858EA">
        <w:rPr>
          <w:rFonts w:cs="Arial"/>
          <w:szCs w:val="22"/>
        </w:rPr>
        <w:t xml:space="preserve">indeed </w:t>
      </w:r>
      <w:r w:rsidR="00740272">
        <w:rPr>
          <w:rFonts w:cs="Arial"/>
          <w:szCs w:val="22"/>
        </w:rPr>
        <w:t>influential empirical determinants of LBM continuation</w:t>
      </w:r>
      <w:r w:rsidR="00220B9F">
        <w:rPr>
          <w:rFonts w:cs="Arial"/>
          <w:szCs w:val="22"/>
        </w:rPr>
        <w:t xml:space="preserve">. </w:t>
      </w:r>
      <w:r w:rsidR="00DE6983">
        <w:rPr>
          <w:rFonts w:cs="Arial"/>
          <w:szCs w:val="22"/>
        </w:rPr>
        <w:t>We found differences in LBM continuation by medication class</w:t>
      </w:r>
      <w:r w:rsidR="008858EA">
        <w:rPr>
          <w:rFonts w:cs="Arial"/>
          <w:szCs w:val="22"/>
        </w:rPr>
        <w:t>;</w:t>
      </w:r>
      <w:r w:rsidR="00DE6983">
        <w:rPr>
          <w:rFonts w:cs="Arial"/>
          <w:szCs w:val="22"/>
        </w:rPr>
        <w:t xml:space="preserve"> classes with more objective evidence and consensus supporting discontinuation </w:t>
      </w:r>
      <w:r w:rsidR="008858EA">
        <w:rPr>
          <w:rFonts w:cs="Arial"/>
          <w:szCs w:val="22"/>
        </w:rPr>
        <w:t>were</w:t>
      </w:r>
      <w:r w:rsidR="00DE6983">
        <w:rPr>
          <w:rFonts w:cs="Arial"/>
          <w:szCs w:val="22"/>
        </w:rPr>
        <w:t xml:space="preserve"> continued less frequently</w:t>
      </w:r>
      <w:r w:rsidR="00DC63B3">
        <w:rPr>
          <w:rFonts w:cs="Arial"/>
          <w:szCs w:val="22"/>
        </w:rPr>
        <w:t xml:space="preserve">. This suggests that </w:t>
      </w:r>
      <w:r w:rsidR="008858EA">
        <w:rPr>
          <w:rFonts w:cs="Arial"/>
          <w:szCs w:val="22"/>
        </w:rPr>
        <w:t xml:space="preserve">the </w:t>
      </w:r>
      <w:r w:rsidR="00DC63B3">
        <w:rPr>
          <w:rFonts w:cs="Arial"/>
          <w:szCs w:val="22"/>
        </w:rPr>
        <w:t xml:space="preserve">potential for </w:t>
      </w:r>
      <w:r w:rsidR="00DC63B3">
        <w:rPr>
          <w:rFonts w:cs="Arial"/>
          <w:szCs w:val="22"/>
        </w:rPr>
        <w:lastRenderedPageBreak/>
        <w:t>benefit, either real or perceived, may be a</w:t>
      </w:r>
      <w:r w:rsidR="00220B9F">
        <w:rPr>
          <w:rFonts w:cs="Arial"/>
          <w:szCs w:val="22"/>
        </w:rPr>
        <w:t xml:space="preserve"> relevant addition to the </w:t>
      </w:r>
      <w:r w:rsidR="005B0134">
        <w:rPr>
          <w:rFonts w:cs="Arial"/>
          <w:szCs w:val="22"/>
        </w:rPr>
        <w:t>framework for</w:t>
      </w:r>
      <w:r w:rsidR="00DC63B3">
        <w:rPr>
          <w:rFonts w:cs="Arial"/>
          <w:szCs w:val="22"/>
        </w:rPr>
        <w:t xml:space="preserve"> medication continuation in the hospice setting. </w:t>
      </w:r>
      <w:r w:rsidR="00DE6983">
        <w:rPr>
          <w:rFonts w:cs="Arial"/>
          <w:szCs w:val="22"/>
        </w:rPr>
        <w:t xml:space="preserve">Components of the original framework which </w:t>
      </w:r>
      <w:r w:rsidR="00DE1214">
        <w:rPr>
          <w:rFonts w:cs="Arial"/>
          <w:szCs w:val="22"/>
        </w:rPr>
        <w:t>are preliminarily validated</w:t>
      </w:r>
      <w:r w:rsidR="00141D8D">
        <w:rPr>
          <w:rFonts w:cs="Arial"/>
          <w:szCs w:val="22"/>
        </w:rPr>
        <w:t xml:space="preserve"> as factors affecting LBM continuation</w:t>
      </w:r>
      <w:r w:rsidR="00DE6983">
        <w:rPr>
          <w:rFonts w:cs="Arial"/>
          <w:szCs w:val="22"/>
        </w:rPr>
        <w:t xml:space="preserve"> based on our </w:t>
      </w:r>
      <w:r w:rsidR="0035080D">
        <w:rPr>
          <w:rFonts w:cs="Arial"/>
          <w:szCs w:val="22"/>
        </w:rPr>
        <w:t>research</w:t>
      </w:r>
      <w:r w:rsidR="00DE6983">
        <w:rPr>
          <w:rFonts w:cs="Arial"/>
          <w:szCs w:val="22"/>
        </w:rPr>
        <w:t xml:space="preserve"> include </w:t>
      </w:r>
      <w:r w:rsidR="00141D8D">
        <w:rPr>
          <w:rFonts w:cs="Arial"/>
          <w:szCs w:val="22"/>
        </w:rPr>
        <w:t>hospice care setting and</w:t>
      </w:r>
      <w:r w:rsidR="00F83EF1">
        <w:rPr>
          <w:rFonts w:cs="Arial"/>
          <w:szCs w:val="22"/>
        </w:rPr>
        <w:t xml:space="preserve"> </w:t>
      </w:r>
      <w:r w:rsidR="00220B9F">
        <w:rPr>
          <w:rFonts w:cs="Arial"/>
          <w:szCs w:val="22"/>
        </w:rPr>
        <w:t xml:space="preserve">post-hospice admission </w:t>
      </w:r>
      <w:r w:rsidR="00F83EF1">
        <w:rPr>
          <w:rFonts w:cs="Arial"/>
          <w:szCs w:val="22"/>
        </w:rPr>
        <w:t>health care fragmentation</w:t>
      </w:r>
      <w:r w:rsidR="00141D8D">
        <w:rPr>
          <w:rFonts w:cs="Arial"/>
          <w:szCs w:val="22"/>
        </w:rPr>
        <w:t>.</w:t>
      </w:r>
      <w:r w:rsidR="00F83EF1">
        <w:rPr>
          <w:rFonts w:cs="Arial"/>
          <w:szCs w:val="22"/>
        </w:rPr>
        <w:t xml:space="preserve"> </w:t>
      </w:r>
      <w:r w:rsidR="0035080D">
        <w:rPr>
          <w:rFonts w:cs="Arial"/>
          <w:szCs w:val="22"/>
        </w:rPr>
        <w:t xml:space="preserve">The specific results for these </w:t>
      </w:r>
      <w:r w:rsidR="00220B9F">
        <w:rPr>
          <w:rFonts w:cs="Arial"/>
          <w:szCs w:val="22"/>
        </w:rPr>
        <w:t>factors</w:t>
      </w:r>
      <w:r w:rsidR="00141D8D">
        <w:rPr>
          <w:rFonts w:cs="Arial"/>
          <w:szCs w:val="22"/>
        </w:rPr>
        <w:t xml:space="preserve">, along with hospice length of stay, </w:t>
      </w:r>
      <w:r w:rsidR="0035080D">
        <w:rPr>
          <w:rFonts w:cs="Arial"/>
          <w:szCs w:val="22"/>
        </w:rPr>
        <w:t>suggest that more broad and systemic health care system-level processes may be to blame, and should encompass</w:t>
      </w:r>
      <w:r w:rsidR="00E91054">
        <w:rPr>
          <w:rFonts w:cs="Arial"/>
          <w:szCs w:val="22"/>
        </w:rPr>
        <w:t xml:space="preserve"> these factors within the framework.</w:t>
      </w:r>
      <w:r w:rsidR="0035080D">
        <w:rPr>
          <w:rFonts w:cs="Arial"/>
          <w:szCs w:val="22"/>
        </w:rPr>
        <w:t xml:space="preserve"> </w:t>
      </w:r>
      <w:r w:rsidR="00E91054">
        <w:rPr>
          <w:rFonts w:cs="Arial"/>
          <w:szCs w:val="22"/>
        </w:rPr>
        <w:t>Treatment preferences</w:t>
      </w:r>
      <w:r w:rsidR="00ED58E8">
        <w:rPr>
          <w:rFonts w:cs="Arial"/>
          <w:szCs w:val="22"/>
        </w:rPr>
        <w:t xml:space="preserve"> (provider and patient/family)</w:t>
      </w:r>
      <w:r w:rsidR="00E91054">
        <w:rPr>
          <w:rFonts w:cs="Arial"/>
          <w:szCs w:val="22"/>
        </w:rPr>
        <w:t>, while not measurable in this research, remain a strong theoretical determinant of LBM continuation and</w:t>
      </w:r>
      <w:r w:rsidR="00ED58E8">
        <w:rPr>
          <w:rFonts w:cs="Arial"/>
          <w:szCs w:val="22"/>
        </w:rPr>
        <w:t xml:space="preserve"> warrant future assessment</w:t>
      </w:r>
      <w:r w:rsidR="00E91054">
        <w:rPr>
          <w:rFonts w:cs="Arial"/>
          <w:szCs w:val="22"/>
        </w:rPr>
        <w:t xml:space="preserve">. </w:t>
      </w:r>
      <w:r w:rsidR="000138E1">
        <w:rPr>
          <w:rFonts w:cs="Arial"/>
          <w:szCs w:val="22"/>
        </w:rPr>
        <w:t xml:space="preserve">This updated framework may </w:t>
      </w:r>
      <w:r w:rsidR="002A6E5D">
        <w:rPr>
          <w:rFonts w:cs="Arial"/>
          <w:szCs w:val="22"/>
        </w:rPr>
        <w:t>serve</w:t>
      </w:r>
      <w:r w:rsidR="000138E1">
        <w:rPr>
          <w:rFonts w:cs="Arial"/>
          <w:szCs w:val="22"/>
        </w:rPr>
        <w:t xml:space="preserve"> as a </w:t>
      </w:r>
      <w:r w:rsidR="002A6E5D">
        <w:rPr>
          <w:rFonts w:cs="Arial"/>
          <w:szCs w:val="22"/>
        </w:rPr>
        <w:t xml:space="preserve">starting point </w:t>
      </w:r>
      <w:r w:rsidR="000138E1">
        <w:rPr>
          <w:rFonts w:cs="Arial"/>
          <w:szCs w:val="22"/>
        </w:rPr>
        <w:t>for future studies examining medication use in hospice</w:t>
      </w:r>
      <w:r w:rsidR="002A6E5D">
        <w:rPr>
          <w:rFonts w:cs="Arial"/>
          <w:szCs w:val="22"/>
        </w:rPr>
        <w:t xml:space="preserve"> and</w:t>
      </w:r>
      <w:r w:rsidR="00E91054">
        <w:rPr>
          <w:rFonts w:cs="Arial"/>
          <w:szCs w:val="22"/>
        </w:rPr>
        <w:t xml:space="preserve"> be</w:t>
      </w:r>
      <w:r w:rsidR="002A6E5D">
        <w:rPr>
          <w:rFonts w:cs="Arial"/>
          <w:szCs w:val="22"/>
        </w:rPr>
        <w:t xml:space="preserve"> subsequently refined based on the results</w:t>
      </w:r>
      <w:r w:rsidR="000138E1">
        <w:rPr>
          <w:rFonts w:cs="Arial"/>
          <w:szCs w:val="22"/>
        </w:rPr>
        <w:t>.</w:t>
      </w:r>
    </w:p>
    <w:p w14:paraId="447FFA89" w14:textId="29FF8ADF" w:rsidR="00520436" w:rsidRDefault="00520436" w:rsidP="00520436">
      <w:pPr>
        <w:ind w:firstLine="720"/>
        <w:rPr>
          <w:rFonts w:cs="Arial"/>
          <w:szCs w:val="22"/>
        </w:rPr>
      </w:pPr>
      <w:r w:rsidRPr="00725D15">
        <w:rPr>
          <w:rFonts w:cs="Arial"/>
          <w:szCs w:val="22"/>
        </w:rPr>
        <w:t>At a minimum, the results of this research are intended to provide much need</w:t>
      </w:r>
      <w:r w:rsidRPr="00725D15">
        <w:rPr>
          <w:rFonts w:cs="Arial"/>
          <w:szCs w:val="22"/>
        </w:rPr>
        <w:t>ed evidence for policy makers and healthcare providers to better understand the magnitude of LBM use in hospice patients as well as differences in use by medication class and patient and clinical characteristics. Ideally, this research will also encourage a critical dialog among healthcare providers and patients/families to promote the development of tailored medication management strategies that minimize burden without impacting quality of life during the patient’s final weeks and months. Additional research is needed clarifying the risks and benefits of LBM discontinuation in the hospice setting and eva</w:t>
      </w:r>
      <w:r w:rsidR="000B72B7">
        <w:rPr>
          <w:rFonts w:cs="Arial"/>
          <w:szCs w:val="22"/>
        </w:rPr>
        <w:t xml:space="preserve">luating interventions aimed at </w:t>
      </w:r>
      <w:r w:rsidRPr="00725D15">
        <w:rPr>
          <w:rFonts w:cs="Arial"/>
          <w:szCs w:val="22"/>
        </w:rPr>
        <w:t>limiting problematic medication use at the end of life.</w:t>
      </w:r>
    </w:p>
    <w:p w14:paraId="18AB381A" w14:textId="77777777" w:rsidR="00782E92" w:rsidRDefault="00782E92" w:rsidP="00520436">
      <w:pPr>
        <w:ind w:firstLine="720"/>
        <w:rPr>
          <w:rFonts w:cs="Arial"/>
          <w:szCs w:val="22"/>
        </w:rPr>
      </w:pPr>
    </w:p>
    <w:p w14:paraId="57668A49" w14:textId="77777777" w:rsidR="00CB562D" w:rsidRDefault="00CB562D" w:rsidP="00520436">
      <w:pPr>
        <w:ind w:firstLine="720"/>
        <w:rPr>
          <w:rFonts w:cs="Arial"/>
          <w:szCs w:val="22"/>
        </w:rPr>
      </w:pPr>
    </w:p>
    <w:p w14:paraId="13D3EDA3" w14:textId="77777777" w:rsidR="00CB562D" w:rsidRDefault="00CB562D" w:rsidP="00520436">
      <w:pPr>
        <w:ind w:firstLine="720"/>
        <w:rPr>
          <w:rFonts w:cs="Arial"/>
          <w:szCs w:val="22"/>
        </w:rPr>
      </w:pPr>
    </w:p>
    <w:p w14:paraId="7B93FB68" w14:textId="77777777" w:rsidR="00782E92" w:rsidRPr="00725D15" w:rsidRDefault="00782E92" w:rsidP="00520436">
      <w:pPr>
        <w:ind w:firstLine="720"/>
        <w:rPr>
          <w:rFonts w:cs="Arial"/>
          <w:szCs w:val="22"/>
        </w:rPr>
      </w:pPr>
    </w:p>
    <w:p w14:paraId="3A8E6246" w14:textId="77777777" w:rsidR="00B10696" w:rsidRDefault="00B10696" w:rsidP="00B10696">
      <w:pPr>
        <w:pStyle w:val="Style1"/>
        <w:jc w:val="center"/>
      </w:pPr>
      <w:bookmarkStart w:id="145" w:name="_Toc507326078"/>
      <w:r w:rsidRPr="00DF3833">
        <w:lastRenderedPageBreak/>
        <w:t>VI. CITED LITERATURE</w:t>
      </w:r>
      <w:bookmarkEnd w:id="145"/>
    </w:p>
    <w:p w14:paraId="20023E90" w14:textId="77777777" w:rsidR="00B55AC2" w:rsidRDefault="00576244" w:rsidP="00B55AC2">
      <w:pPr>
        <w:pStyle w:val="Bibliography"/>
      </w:pPr>
      <w:r>
        <w:fldChar w:fldCharType="begin"/>
      </w:r>
      <w:r w:rsidR="00B55AC2">
        <w:instrText xml:space="preserve"> ADDIN ZOTERO_BIBL {"uncited":[],"omitted":[],"custom":[]} CSL_BIBLIOGRAPHY </w:instrText>
      </w:r>
      <w:r>
        <w:fldChar w:fldCharType="separate"/>
      </w:r>
      <w:r w:rsidR="00B55AC2">
        <w:t xml:space="preserve">1. </w:t>
      </w:r>
      <w:r w:rsidR="00B55AC2">
        <w:tab/>
        <w:t xml:space="preserve">Connor SR. Development of hospice and palliative care in the United States. Omega 2007;56(1):89–99. </w:t>
      </w:r>
    </w:p>
    <w:p w14:paraId="1126CB9E" w14:textId="77777777" w:rsidR="00B55AC2" w:rsidRDefault="00B55AC2" w:rsidP="00B55AC2">
      <w:pPr>
        <w:pStyle w:val="Bibliography"/>
      </w:pPr>
      <w:r>
        <w:t xml:space="preserve">2. </w:t>
      </w:r>
      <w:r>
        <w:tab/>
        <w:t>NHPCO Facts and Figures: Hospice Care in America. Alexandria, VA: National Hospice and Palliative Care Organization. [Internet]. 2015;Available from: https://www.nhpco.org/sites/default/files/public/Statistics_Research/2015_Facts_Figures.pdf</w:t>
      </w:r>
    </w:p>
    <w:p w14:paraId="185E33CF" w14:textId="77777777" w:rsidR="00B55AC2" w:rsidRDefault="00B55AC2" w:rsidP="00B55AC2">
      <w:pPr>
        <w:pStyle w:val="Bibliography"/>
      </w:pPr>
      <w:r>
        <w:t xml:space="preserve">3. </w:t>
      </w:r>
      <w:r>
        <w:tab/>
        <w:t>Dying in America: Improving Quality and Honoring Individual Preferences Near the End of Life [Internet]. Washington, D.C.: National Academies Press; 2015. Available from: http://www.nap.edu/catalog/18748</w:t>
      </w:r>
    </w:p>
    <w:p w14:paraId="70F643A5" w14:textId="77777777" w:rsidR="00B55AC2" w:rsidRDefault="00B55AC2" w:rsidP="00B55AC2">
      <w:pPr>
        <w:pStyle w:val="Bibliography"/>
      </w:pPr>
      <w:r>
        <w:t xml:space="preserve">4. </w:t>
      </w:r>
      <w:r>
        <w:tab/>
        <w:t>NHPCO Facts and Figures: Hospice Care in America. Alexandria, VA: National Hospice and Palliative Care Organization. [Internet]. 2016;Available from: https://www.nhpco.org/sites/default/files/public/Statistics_Research/2016_Facts_Figures.pdf</w:t>
      </w:r>
    </w:p>
    <w:p w14:paraId="328DFAAB" w14:textId="77777777" w:rsidR="00B55AC2" w:rsidRDefault="00B55AC2" w:rsidP="00B55AC2">
      <w:pPr>
        <w:pStyle w:val="Bibliography"/>
      </w:pPr>
      <w:r>
        <w:t xml:space="preserve">5. </w:t>
      </w:r>
      <w:r>
        <w:tab/>
        <w:t xml:space="preserve">Crosson F. Hospice Services. Report to the Congress: Medicare Payment Policy. Washington, D.C.: Medicare Payment Advisory Commission; 2016. </w:t>
      </w:r>
    </w:p>
    <w:p w14:paraId="0BD630FD" w14:textId="77777777" w:rsidR="00B55AC2" w:rsidRDefault="00B55AC2" w:rsidP="00B55AC2">
      <w:pPr>
        <w:pStyle w:val="Bibliography"/>
      </w:pPr>
      <w:r>
        <w:t xml:space="preserve">6. </w:t>
      </w:r>
      <w:r>
        <w:tab/>
        <w:t xml:space="preserve">Haupt BJ. Characteristics of hospice care discharges and their length of service: United States, 2000. Vital Health Stat 13 2003;(154):1–36. </w:t>
      </w:r>
    </w:p>
    <w:p w14:paraId="33221C99" w14:textId="77777777" w:rsidR="00B55AC2" w:rsidRDefault="00B55AC2" w:rsidP="00B55AC2">
      <w:pPr>
        <w:pStyle w:val="Bibliography"/>
      </w:pPr>
      <w:r>
        <w:t xml:space="preserve">7. </w:t>
      </w:r>
      <w:r>
        <w:tab/>
        <w:t xml:space="preserve">Teno JM, Clarridge BR, Casey V, Welch LC, Wetle T, Shield R, Mor V. Family perspectives on end-of-life care at the last place of care. JAMA 2004;291(1):88–93. </w:t>
      </w:r>
    </w:p>
    <w:p w14:paraId="3EAFE662" w14:textId="77777777" w:rsidR="00B55AC2" w:rsidRDefault="00B55AC2" w:rsidP="00B55AC2">
      <w:pPr>
        <w:pStyle w:val="Bibliography"/>
      </w:pPr>
      <w:r>
        <w:t xml:space="preserve">8. </w:t>
      </w:r>
      <w:r>
        <w:tab/>
        <w:t xml:space="preserve">Wright AA, Keating NL, Ayanian JZ, Chrischilles EA, Kahn KL, Ritchie CS, Weeks JC, Earle CC, Landrum MB. Family Perspectives on Aggressive Cancer Care Near the End of Life. JAMA 2016;315(3):284–92. </w:t>
      </w:r>
    </w:p>
    <w:p w14:paraId="7D261E68" w14:textId="77777777" w:rsidR="00B55AC2" w:rsidRDefault="00B55AC2" w:rsidP="00B55AC2">
      <w:pPr>
        <w:pStyle w:val="Bibliography"/>
      </w:pPr>
      <w:r>
        <w:t xml:space="preserve">9. </w:t>
      </w:r>
      <w:r>
        <w:tab/>
        <w:t xml:space="preserve">Kelley AS, Deb P, Du Q, Carlson MDA, Morrison RS. Hospice Enrollment Saves Money For Medicare And Improves Care Quality Across A Number Of Different Lengths-Of-Stay. Health Aff (Millwood) 2013;32(3):552–61. </w:t>
      </w:r>
    </w:p>
    <w:p w14:paraId="3A696FB2" w14:textId="77777777" w:rsidR="00B55AC2" w:rsidRDefault="00B55AC2" w:rsidP="00B55AC2">
      <w:pPr>
        <w:pStyle w:val="Bibliography"/>
      </w:pPr>
      <w:r>
        <w:t xml:space="preserve">10. </w:t>
      </w:r>
      <w:r>
        <w:tab/>
        <w:t xml:space="preserve">Obermeyer Z, Makar M, Abujaber S, Dominici F, Block S, Cutler DM. Association Between the Medicare Hospice Benefit and Health Care Utilization and Costs for Patients With Poor-Prognosis Cancer. JAMA 2014;312(18):1888–96. </w:t>
      </w:r>
    </w:p>
    <w:p w14:paraId="79EED980" w14:textId="77777777" w:rsidR="00B55AC2" w:rsidRDefault="00B55AC2" w:rsidP="00B55AC2">
      <w:pPr>
        <w:pStyle w:val="Bibliography"/>
      </w:pPr>
      <w:r>
        <w:t xml:space="preserve">11. </w:t>
      </w:r>
      <w:r>
        <w:tab/>
        <w:t xml:space="preserve">Caffrey C, Sengupta M, Moss A, Harris-Kojetin L, Valverde R. Home health care and discharged hospice care patients: United States, 2000 and 2007. Natl Health Stat Rep 2011;(38):1–27. </w:t>
      </w:r>
    </w:p>
    <w:p w14:paraId="5B1AFB89" w14:textId="77777777" w:rsidR="00B55AC2" w:rsidRDefault="00B55AC2" w:rsidP="00B55AC2">
      <w:pPr>
        <w:pStyle w:val="Bibliography"/>
      </w:pPr>
      <w:r>
        <w:t xml:space="preserve">12. </w:t>
      </w:r>
      <w:r>
        <w:tab/>
        <w:t>NHPCO Facts and Figures: Hospice Care in America. Alexandria, VA: National Hospice and Palliative Care Organization [Internet]. 2014;Available from: http://www.nhpco.org/sites/default/files/public/Statistics_Research/2014_Facts_Figures.pdf</w:t>
      </w:r>
    </w:p>
    <w:p w14:paraId="3530904F" w14:textId="77777777" w:rsidR="00B55AC2" w:rsidRDefault="00B55AC2" w:rsidP="00B55AC2">
      <w:pPr>
        <w:pStyle w:val="Bibliography"/>
      </w:pPr>
      <w:r>
        <w:t xml:space="preserve">13. </w:t>
      </w:r>
      <w:r>
        <w:tab/>
        <w:t xml:space="preserve">NHPCO Facts and Figures: Hospice Care in America. Alexandria, VA: National Hospice and Palliative Care Organization [Internet]. 2013;Available from: </w:t>
      </w:r>
      <w:r>
        <w:lastRenderedPageBreak/>
        <w:t>http://www.nhpco.org/sites/default/files/public/Statistics_Research/2013_Facts_Figures.pdf</w:t>
      </w:r>
    </w:p>
    <w:p w14:paraId="231D02DD" w14:textId="77777777" w:rsidR="00B55AC2" w:rsidRDefault="00B55AC2" w:rsidP="00B55AC2">
      <w:pPr>
        <w:pStyle w:val="Bibliography"/>
      </w:pPr>
      <w:r>
        <w:t xml:space="preserve">14. </w:t>
      </w:r>
      <w:r>
        <w:tab/>
        <w:t>NHPCO Facts and Figures: Hospice Care in America. Alexandria, VA: National Hospice and Palliative Care Organization [Internet]. 2012;Available from: http://www.nhpco.org/sites/default/files/public/Statistics_Research/2012_Facts_Figures.pdf</w:t>
      </w:r>
    </w:p>
    <w:p w14:paraId="2B039BCC" w14:textId="77777777" w:rsidR="00B55AC2" w:rsidRDefault="00B55AC2" w:rsidP="00B55AC2">
      <w:pPr>
        <w:pStyle w:val="Bibliography"/>
      </w:pPr>
      <w:r>
        <w:t xml:space="preserve">15. </w:t>
      </w:r>
      <w:r>
        <w:tab/>
        <w:t xml:space="preserve">Stevenson DG. Growing Pains for the Medicare Hospice Benefit. N Engl J Med 2012;367(18):1683–5. </w:t>
      </w:r>
    </w:p>
    <w:p w14:paraId="447CADD6" w14:textId="77777777" w:rsidR="00B55AC2" w:rsidRDefault="00B55AC2" w:rsidP="00B55AC2">
      <w:pPr>
        <w:pStyle w:val="Bibliography"/>
      </w:pPr>
      <w:r>
        <w:t xml:space="preserve">16. </w:t>
      </w:r>
      <w:r>
        <w:tab/>
        <w:t>Medicare Hospice Benefits [Internet]. Baltimore, MD: Centers for Medicare and Medicaid Services; 2016. Available from: https://www.medicare.gov/Pubs/pdf/02154-Medicare-Hospice-Benefits.PDF</w:t>
      </w:r>
    </w:p>
    <w:p w14:paraId="7E25C494" w14:textId="77777777" w:rsidR="00B55AC2" w:rsidRDefault="00B55AC2" w:rsidP="00B55AC2">
      <w:pPr>
        <w:pStyle w:val="Bibliography"/>
      </w:pPr>
      <w:r>
        <w:t xml:space="preserve">17. </w:t>
      </w:r>
      <w:r>
        <w:tab/>
        <w:t xml:space="preserve">Tudor C, Wilson L, Majestic M. Part D Payment for Drugs for Beneficiaries Enrolled in Hospice—Request for Comments [Memorandum]. Baltimore, MD: Centers for Medicare and Medicaid Services; 2013. </w:t>
      </w:r>
    </w:p>
    <w:p w14:paraId="09F359CE" w14:textId="77777777" w:rsidR="00B55AC2" w:rsidRDefault="00B55AC2" w:rsidP="00B55AC2">
      <w:pPr>
        <w:pStyle w:val="Bibliography"/>
      </w:pPr>
      <w:r>
        <w:t xml:space="preserve">18. </w:t>
      </w:r>
      <w:r>
        <w:tab/>
        <w:t xml:space="preserve">Cheung WY, Le LW, Gagliese L, Zimmermann C. Age and gender differences in symptom intensity and symptom clusters among patients with metastatic cancer. Support Care Cancer 2010;19(3):417–23. </w:t>
      </w:r>
    </w:p>
    <w:p w14:paraId="57C8E703" w14:textId="77777777" w:rsidR="00B55AC2" w:rsidRDefault="00B55AC2" w:rsidP="00B55AC2">
      <w:pPr>
        <w:pStyle w:val="Bibliography"/>
      </w:pPr>
      <w:r>
        <w:t xml:space="preserve">19. </w:t>
      </w:r>
      <w:r>
        <w:tab/>
        <w:t xml:space="preserve">Lima LD. International Association for Hospice and Palliative Care list of essential medicines for palliative care. Ann Oncol 2007;18(2):395–9. </w:t>
      </w:r>
    </w:p>
    <w:p w14:paraId="51533A40" w14:textId="77777777" w:rsidR="00B55AC2" w:rsidRDefault="00B55AC2" w:rsidP="00B55AC2">
      <w:pPr>
        <w:pStyle w:val="Bibliography"/>
      </w:pPr>
      <w:r>
        <w:t xml:space="preserve">20. </w:t>
      </w:r>
      <w:r>
        <w:tab/>
        <w:t xml:space="preserve">Lima LD. Key concepts in palliative care: the IAHPC list of essential medicines in palliative care. Eur J Hosp Pharm Sci Pract 2012;19(1):34–7. </w:t>
      </w:r>
    </w:p>
    <w:p w14:paraId="00EE9321" w14:textId="77777777" w:rsidR="00B55AC2" w:rsidRDefault="00B55AC2" w:rsidP="00B55AC2">
      <w:pPr>
        <w:pStyle w:val="Bibliography"/>
      </w:pPr>
      <w:r>
        <w:t xml:space="preserve">21. </w:t>
      </w:r>
      <w:r>
        <w:tab/>
        <w:t xml:space="preserve">Dwyer LL, Lau DT, Shega JW. Medications That Older Adults in Hospice Care in the United States Take, 2007. J Am Geriatr Soc 2015;63(11):2282–9. </w:t>
      </w:r>
    </w:p>
    <w:p w14:paraId="5B8EFF5A" w14:textId="77777777" w:rsidR="00B55AC2" w:rsidRDefault="00B55AC2" w:rsidP="00B55AC2">
      <w:pPr>
        <w:pStyle w:val="Bibliography"/>
      </w:pPr>
      <w:r>
        <w:t xml:space="preserve">22. </w:t>
      </w:r>
      <w:r>
        <w:tab/>
        <w:t xml:space="preserve">Sera L, Holmes HM, McPherson ML. Prescribing practices in hospice patients with adult failure to thrive or debility. Prog Palliat Care 2014;22(2):69–74. </w:t>
      </w:r>
    </w:p>
    <w:p w14:paraId="17E6F98A" w14:textId="77777777" w:rsidR="00B55AC2" w:rsidRDefault="00B55AC2" w:rsidP="00B55AC2">
      <w:pPr>
        <w:pStyle w:val="Bibliography"/>
      </w:pPr>
      <w:r>
        <w:t xml:space="preserve">23. </w:t>
      </w:r>
      <w:r>
        <w:tab/>
        <w:t xml:space="preserve">Sera L, McPherson ML, Holmes HM. Commonly Prescribed Medications in a Population of Hospice Patients. Am J Hosp Palliat Care 2014;31(2):126–31. </w:t>
      </w:r>
    </w:p>
    <w:p w14:paraId="12FFD9E9" w14:textId="77777777" w:rsidR="00B55AC2" w:rsidRDefault="00B55AC2" w:rsidP="00B55AC2">
      <w:pPr>
        <w:pStyle w:val="Bibliography"/>
      </w:pPr>
      <w:r>
        <w:t xml:space="preserve">24. </w:t>
      </w:r>
      <w:r>
        <w:tab/>
        <w:t xml:space="preserve">Shah BM, Hajjar ER. Polypharmacy, adverse drug reactions, and geriatric syndromes. Clin Geriatr Med 2012;28(2):173–86. </w:t>
      </w:r>
    </w:p>
    <w:p w14:paraId="7C576AA6" w14:textId="77777777" w:rsidR="00B55AC2" w:rsidRDefault="00B55AC2" w:rsidP="00B55AC2">
      <w:pPr>
        <w:pStyle w:val="Bibliography"/>
      </w:pPr>
      <w:r>
        <w:t xml:space="preserve">25. </w:t>
      </w:r>
      <w:r>
        <w:tab/>
        <w:t>Report to the Congress: Medicare and the Health Care Delivery System [Internet]. Washington, D.C.: Medicare Payment Advisory Commission.; 2015. Available from: http://www.medpac.gov/documents/reports/chapter-5-polypharmacy-and-opioid-use-among-medicare-part-d-enrollees-(june-2015-report).pdf?sfvrsn=0</w:t>
      </w:r>
    </w:p>
    <w:p w14:paraId="40A36C8C" w14:textId="77777777" w:rsidR="00B55AC2" w:rsidRDefault="00B55AC2" w:rsidP="00B55AC2">
      <w:pPr>
        <w:pStyle w:val="Bibliography"/>
      </w:pPr>
      <w:r>
        <w:t xml:space="preserve">26. </w:t>
      </w:r>
      <w:r>
        <w:tab/>
        <w:t xml:space="preserve">LeBlanc TW, McNeil MJ, Kamal AH, Currow DC, Abernethy AP. Polypharmacy in patients with advanced cancer and the role of medication discontinuation. Lancet Oncol 2015;16(7):e333–41. </w:t>
      </w:r>
    </w:p>
    <w:p w14:paraId="588815A4" w14:textId="77777777" w:rsidR="00B55AC2" w:rsidRDefault="00B55AC2" w:rsidP="00B55AC2">
      <w:pPr>
        <w:pStyle w:val="Bibliography"/>
      </w:pPr>
      <w:r w:rsidRPr="00B55AC2">
        <w:rPr>
          <w:lang w:val="de-CH"/>
        </w:rPr>
        <w:t xml:space="preserve">27. </w:t>
      </w:r>
      <w:r w:rsidRPr="00B55AC2">
        <w:rPr>
          <w:lang w:val="de-CH"/>
        </w:rPr>
        <w:tab/>
        <w:t xml:space="preserve">Hajjar ER, Cafiero AC, Hanlon JT. </w:t>
      </w:r>
      <w:r>
        <w:t xml:space="preserve">Polypharmacy in elderly patients. Am J Geriatr </w:t>
      </w:r>
      <w:r>
        <w:lastRenderedPageBreak/>
        <w:t xml:space="preserve">Pharmacother 2007;5(4):345–51. </w:t>
      </w:r>
    </w:p>
    <w:p w14:paraId="77B32C29" w14:textId="77777777" w:rsidR="00B55AC2" w:rsidRDefault="00B55AC2" w:rsidP="00B55AC2">
      <w:pPr>
        <w:pStyle w:val="Bibliography"/>
      </w:pPr>
      <w:r>
        <w:t xml:space="preserve">28. </w:t>
      </w:r>
      <w:r>
        <w:tab/>
        <w:t xml:space="preserve">Haque R. ARMOR: a tool to evaluate polypharmacy in elderly persons. Ann Long-Term Care 2009;17(6):26–30. </w:t>
      </w:r>
    </w:p>
    <w:p w14:paraId="2FB21D34" w14:textId="77777777" w:rsidR="00B55AC2" w:rsidRDefault="00B55AC2" w:rsidP="00B55AC2">
      <w:pPr>
        <w:pStyle w:val="Bibliography"/>
      </w:pPr>
      <w:r>
        <w:t xml:space="preserve">29. </w:t>
      </w:r>
      <w:r>
        <w:tab/>
        <w:t xml:space="preserve">Tjia J, Velten S, Parsons C, Valluri S, Briesacher B. Studies to Reduce Unnecessary Medication Use in Frail Older Adults: A Systematic Review. Drugs Aging 2013;30(5):285–307 23p. </w:t>
      </w:r>
    </w:p>
    <w:p w14:paraId="5F17148D" w14:textId="77777777" w:rsidR="00B55AC2" w:rsidRDefault="00B55AC2" w:rsidP="00B55AC2">
      <w:pPr>
        <w:pStyle w:val="Bibliography"/>
      </w:pPr>
      <w:r>
        <w:t xml:space="preserve">30. </w:t>
      </w:r>
      <w:r>
        <w:tab/>
        <w:t xml:space="preserve">Osborn R, Moulds D, Squires D, Doty MM, Anderson C. International Survey Of Older Adults Finds Shortcomings In Access, Coordination, And Patient-Centered Care. Health Aff (Millwood) 2014;33(12):2247–55. </w:t>
      </w:r>
    </w:p>
    <w:p w14:paraId="137C5C10" w14:textId="77777777" w:rsidR="00B55AC2" w:rsidRPr="00B55AC2" w:rsidRDefault="00B55AC2" w:rsidP="00B55AC2">
      <w:pPr>
        <w:pStyle w:val="Bibliography"/>
        <w:rPr>
          <w:lang w:val="de-CH"/>
        </w:rPr>
      </w:pPr>
      <w:r>
        <w:t xml:space="preserve">31. </w:t>
      </w:r>
      <w:r>
        <w:tab/>
        <w:t xml:space="preserve">Qato DM, Wilder J, Schumm L, Gillet V, Alexander G. Changes in prescription and over-the-counter medication and dietary supplement use among older adults in the united states, 2005 vs 2011. </w:t>
      </w:r>
      <w:r w:rsidRPr="00B55AC2">
        <w:rPr>
          <w:lang w:val="de-CH"/>
        </w:rPr>
        <w:t xml:space="preserve">JAMA Intern Med 2016;176(4):473–82. </w:t>
      </w:r>
    </w:p>
    <w:p w14:paraId="24E48870" w14:textId="77777777" w:rsidR="00B55AC2" w:rsidRDefault="00B55AC2" w:rsidP="00B55AC2">
      <w:pPr>
        <w:pStyle w:val="Bibliography"/>
      </w:pPr>
      <w:r w:rsidRPr="00B55AC2">
        <w:rPr>
          <w:lang w:val="de-CH"/>
        </w:rPr>
        <w:t xml:space="preserve">32. </w:t>
      </w:r>
      <w:r w:rsidRPr="00B55AC2">
        <w:rPr>
          <w:lang w:val="de-CH"/>
        </w:rPr>
        <w:tab/>
        <w:t xml:space="preserve">Dwyer LL, Han B, Woodwell DA, Rechtsteiner EA. </w:t>
      </w:r>
      <w:r>
        <w:t xml:space="preserve">Polypharmacy in nursing home residents in the United States: results of the 2004 National Nursing Home Survey. Am J Geriatr Pharmacother 2010;8(1):63–72. </w:t>
      </w:r>
    </w:p>
    <w:p w14:paraId="6E52F41F" w14:textId="77777777" w:rsidR="00B55AC2" w:rsidRDefault="00B55AC2" w:rsidP="00B55AC2">
      <w:pPr>
        <w:pStyle w:val="Bibliography"/>
      </w:pPr>
      <w:r>
        <w:t xml:space="preserve">33. </w:t>
      </w:r>
      <w:r>
        <w:tab/>
        <w:t xml:space="preserve">Hajjar ER, Hanlon JT, Sloane RJ, Lindblad CI, Pieper CF, Ruby CM, Branch LC, Schmader KE. Unnecessary drug use in frail older people at hospital discharge. J Am Geriatr Soc 2005;53(9):1518–23. </w:t>
      </w:r>
    </w:p>
    <w:p w14:paraId="7F6C3561" w14:textId="77777777" w:rsidR="00B55AC2" w:rsidRDefault="00B55AC2" w:rsidP="00B55AC2">
      <w:pPr>
        <w:pStyle w:val="Bibliography"/>
      </w:pPr>
      <w:r>
        <w:t xml:space="preserve">34. </w:t>
      </w:r>
      <w:r>
        <w:tab/>
        <w:t xml:space="preserve">Cimmino K, Pisano M. A Patient’s Last Wish at the End-of-Life. Consult Pharm 2016;31(7):375–80. </w:t>
      </w:r>
    </w:p>
    <w:p w14:paraId="7548CEA2" w14:textId="77777777" w:rsidR="00B55AC2" w:rsidRDefault="00B55AC2" w:rsidP="00B55AC2">
      <w:pPr>
        <w:pStyle w:val="Bibliography"/>
      </w:pPr>
      <w:r>
        <w:t xml:space="preserve">35. </w:t>
      </w:r>
      <w:r>
        <w:tab/>
        <w:t xml:space="preserve">Gandhi TK, Weingart SN, Borus J, Seger AC, Peterson J, Burdick E, Seger DL, Shu K, Federico F, Leape LL, Bates DW. Adverse Drug Events in Ambulatory Care. N Engl J Med 2003;348(16):1556–64. </w:t>
      </w:r>
    </w:p>
    <w:p w14:paraId="052C1B8F" w14:textId="77777777" w:rsidR="00B55AC2" w:rsidRDefault="00B55AC2" w:rsidP="00B55AC2">
      <w:pPr>
        <w:pStyle w:val="Bibliography"/>
      </w:pPr>
      <w:r>
        <w:t xml:space="preserve">36. </w:t>
      </w:r>
      <w:r>
        <w:tab/>
        <w:t xml:space="preserve">Juurlink DN, Mamdani M, Kopp A, Laupacis A, Redelmeier DA. Drug-drug interactions among elderly patients hospitalized for drug toxicity. JAMA 2003;289(13):1652–8. </w:t>
      </w:r>
    </w:p>
    <w:p w14:paraId="0829F66C" w14:textId="77777777" w:rsidR="00B55AC2" w:rsidRDefault="00B55AC2" w:rsidP="00B55AC2">
      <w:pPr>
        <w:pStyle w:val="Bibliography"/>
      </w:pPr>
      <w:r>
        <w:t xml:space="preserve">37. </w:t>
      </w:r>
      <w:r>
        <w:tab/>
        <w:t xml:space="preserve">Crentsil V, Ricks MO, Xue Q-L, Fried LP. A pharmacoepidemiologic study of community-dwelling, disabled older women: Factors associated with medication use. Am J Geriatr Pharmacother 2010;8(3):215–24. </w:t>
      </w:r>
    </w:p>
    <w:p w14:paraId="4CDF4CEC" w14:textId="77777777" w:rsidR="00B55AC2" w:rsidRDefault="00B55AC2" w:rsidP="00B55AC2">
      <w:pPr>
        <w:pStyle w:val="Bibliography"/>
      </w:pPr>
      <w:r>
        <w:t xml:space="preserve">38. </w:t>
      </w:r>
      <w:r>
        <w:tab/>
        <w:t xml:space="preserve">Jyrkkä J, Enlund H, Lavikainen P, Sulkava R, Hartikainen S. Association of polypharmacy with nutritional status, functional ability and cognitive capacity over a three-year period in an elderly population. Pharmacoepidemiol Drug Saf 2011;20(5):514–22. </w:t>
      </w:r>
    </w:p>
    <w:p w14:paraId="2D96E2B6" w14:textId="77777777" w:rsidR="00B55AC2" w:rsidRDefault="00B55AC2" w:rsidP="00B55AC2">
      <w:pPr>
        <w:pStyle w:val="Bibliography"/>
      </w:pPr>
      <w:r>
        <w:t xml:space="preserve">39. </w:t>
      </w:r>
      <w:r>
        <w:tab/>
        <w:t xml:space="preserve">Maher RL, Hanlon JT, Hajjar ER. Clinical Consequences of Polypharmacy in Elderly. Expert Opin Drug Saf 2014;13(1):57–65. </w:t>
      </w:r>
    </w:p>
    <w:p w14:paraId="108425F4" w14:textId="77777777" w:rsidR="00B55AC2" w:rsidRDefault="00B55AC2" w:rsidP="00B55AC2">
      <w:pPr>
        <w:pStyle w:val="Bibliography"/>
      </w:pPr>
      <w:r>
        <w:t xml:space="preserve">40. </w:t>
      </w:r>
      <w:r>
        <w:tab/>
        <w:t xml:space="preserve">Frazier SC. Geropharmacology. Health outcomes and polypharmacy in elderly individuals: an integrated literature review. J Gerontol Nurs 2005;31(9):4–11. </w:t>
      </w:r>
    </w:p>
    <w:p w14:paraId="38B0C035" w14:textId="77777777" w:rsidR="00B55AC2" w:rsidRDefault="00B55AC2" w:rsidP="00B55AC2">
      <w:pPr>
        <w:pStyle w:val="Bibliography"/>
      </w:pPr>
      <w:r>
        <w:t xml:space="preserve">41. </w:t>
      </w:r>
      <w:r>
        <w:tab/>
        <w:t xml:space="preserve">Cruz-Jentoft AJ, Boland B, Rexach L. Drug Therapy Optimization at the End of Life. Drugs Aging 2012;29(6):511–21. </w:t>
      </w:r>
    </w:p>
    <w:p w14:paraId="6FCA7E6D" w14:textId="77777777" w:rsidR="00B55AC2" w:rsidRPr="00B55AC2" w:rsidRDefault="00B55AC2" w:rsidP="00B55AC2">
      <w:pPr>
        <w:pStyle w:val="Bibliography"/>
        <w:rPr>
          <w:lang w:val="de-CH"/>
        </w:rPr>
      </w:pPr>
      <w:r>
        <w:lastRenderedPageBreak/>
        <w:t xml:space="preserve">42. </w:t>
      </w:r>
      <w:r>
        <w:tab/>
        <w:t xml:space="preserve">Currow DC, Abernethy AP. FRameworks for approaching prescribing at the end of life. </w:t>
      </w:r>
      <w:r w:rsidRPr="00B55AC2">
        <w:rPr>
          <w:lang w:val="de-CH"/>
        </w:rPr>
        <w:t xml:space="preserve">Arch Intern Med 2006;166(21):2404–2404. </w:t>
      </w:r>
    </w:p>
    <w:p w14:paraId="46611F3F" w14:textId="77777777" w:rsidR="00B55AC2" w:rsidRDefault="00B55AC2" w:rsidP="00B55AC2">
      <w:pPr>
        <w:pStyle w:val="Bibliography"/>
      </w:pPr>
      <w:r w:rsidRPr="00B55AC2">
        <w:rPr>
          <w:lang w:val="de-CH"/>
        </w:rPr>
        <w:t xml:space="preserve">43. </w:t>
      </w:r>
      <w:r w:rsidRPr="00B55AC2">
        <w:rPr>
          <w:lang w:val="de-CH"/>
        </w:rPr>
        <w:tab/>
        <w:t xml:space="preserve">McNeil MJ, Kamal AH, Kutner JS, Ritchie CS, Abernethy AP. </w:t>
      </w:r>
      <w:r>
        <w:t xml:space="preserve">The Burden of Polypharmacy in Patients Near the End of Life. J Pain Symptom Manage 2016;51(2):178–183.e2. </w:t>
      </w:r>
    </w:p>
    <w:p w14:paraId="16F89346" w14:textId="77777777" w:rsidR="00B55AC2" w:rsidRDefault="00B55AC2" w:rsidP="00B55AC2">
      <w:pPr>
        <w:pStyle w:val="Bibliography"/>
      </w:pPr>
      <w:r>
        <w:t xml:space="preserve">44. </w:t>
      </w:r>
      <w:r>
        <w:tab/>
        <w:t xml:space="preserve">Lindsay J, Dooley M, Martin J, Fay M, Kearney A, Barras M. Reducing potentially inappropriate medications in palliative cancer patients: evidence to support deprescribing approaches. Support Care Cancer 2013;22(4):1113–9. </w:t>
      </w:r>
    </w:p>
    <w:p w14:paraId="5936A0AC" w14:textId="77777777" w:rsidR="00B55AC2" w:rsidRDefault="00B55AC2" w:rsidP="00B55AC2">
      <w:pPr>
        <w:pStyle w:val="Bibliography"/>
      </w:pPr>
      <w:r>
        <w:t xml:space="preserve">45. </w:t>
      </w:r>
      <w:r>
        <w:tab/>
        <w:t xml:space="preserve">Maddison AR, Fisher J, Johnston G. Preventive medication use among persons with limited life expectancy. Prog Palliat Care 2011;19(1):15–21. </w:t>
      </w:r>
    </w:p>
    <w:p w14:paraId="1FBEC1D3" w14:textId="77777777" w:rsidR="00B55AC2" w:rsidRDefault="00B55AC2" w:rsidP="00B55AC2">
      <w:pPr>
        <w:pStyle w:val="Bibliography"/>
      </w:pPr>
      <w:r>
        <w:t xml:space="preserve">46. </w:t>
      </w:r>
      <w:r>
        <w:tab/>
        <w:t xml:space="preserve">Beers MH, Ouslander JG, Rollingher I, Reuben DB, Brooks J, Beck JC. Explicit criteria for determining inappropriate medication use in nursing home residents. UCLA Division of Geriatric Medicine. Arch Intern Med 1991;151(9):1825–32. </w:t>
      </w:r>
    </w:p>
    <w:p w14:paraId="741E7F3C" w14:textId="77777777" w:rsidR="00B55AC2" w:rsidRDefault="00B55AC2" w:rsidP="00B55AC2">
      <w:pPr>
        <w:pStyle w:val="Bibliography"/>
      </w:pPr>
      <w:r>
        <w:t xml:space="preserve">47. </w:t>
      </w:r>
      <w:r>
        <w:tab/>
        <w:t xml:space="preserve">Gallagher P, Ryan C, Byrne S, Kennedy J, O’Mahony D. STOPP (Screening Tool of Older Person’s Prescriptions) and START (Screening Tool to Alert doctors to Right Treatment). Consensus validation. Int J Clin Pharmacol Ther 2008;46(2):72–83. </w:t>
      </w:r>
    </w:p>
    <w:p w14:paraId="51041ADB" w14:textId="77777777" w:rsidR="00B55AC2" w:rsidRDefault="00B55AC2" w:rsidP="00B55AC2">
      <w:pPr>
        <w:pStyle w:val="Bibliography"/>
      </w:pPr>
      <w:r>
        <w:t xml:space="preserve">48. </w:t>
      </w:r>
      <w:r>
        <w:tab/>
        <w:t xml:space="preserve">Bain KT, Weschules DJ. Medication inappropriateness for older adults receiving hospice care: a pilot survey. Consult Pharm J Am Soc Consult Pharm 2007;22(11):926–34. </w:t>
      </w:r>
    </w:p>
    <w:p w14:paraId="2587195A" w14:textId="77777777" w:rsidR="00B55AC2" w:rsidRDefault="00B55AC2" w:rsidP="00B55AC2">
      <w:pPr>
        <w:pStyle w:val="Bibliography"/>
      </w:pPr>
      <w:r>
        <w:t xml:space="preserve">49. </w:t>
      </w:r>
      <w:r>
        <w:tab/>
        <w:t xml:space="preserve">Holmes HM, Hayley D, Alexander G, Sachs GA. Reconsidering medication appropriateness for patients late in life. Arch Intern Med 2006;166(6):605–9. </w:t>
      </w:r>
    </w:p>
    <w:p w14:paraId="4AE46AB6" w14:textId="77777777" w:rsidR="00B55AC2" w:rsidRDefault="00B55AC2" w:rsidP="00B55AC2">
      <w:pPr>
        <w:pStyle w:val="Bibliography"/>
      </w:pPr>
      <w:r>
        <w:t xml:space="preserve">50. </w:t>
      </w:r>
      <w:r>
        <w:tab/>
        <w:t xml:space="preserve">Suhrie EM, Hanlon JT, Jaffe EJ, Sevick MA, Ruby CM, Aspinall SL. Impact of a geriatric nursing home palliative care service on unnecessary medication prescribing. Am J Geriatr Pharmacother 2009;7(1):20–5. </w:t>
      </w:r>
    </w:p>
    <w:p w14:paraId="37DE99DD" w14:textId="77777777" w:rsidR="00B55AC2" w:rsidRDefault="00B55AC2" w:rsidP="00B55AC2">
      <w:pPr>
        <w:pStyle w:val="Bibliography"/>
      </w:pPr>
      <w:r>
        <w:t xml:space="preserve">51. </w:t>
      </w:r>
      <w:r>
        <w:tab/>
        <w:t xml:space="preserve">Domingues D, Carneiro R, Costa I, Monteiro C, Shvetz Y, Barbosa AC, Azevedo P. Therapeutic futility in cancer patients at the time of palliative care transition: An analysis with a modified version of the Medication Appropriateness Index. Palliat Med 2015;29(7):643–51. </w:t>
      </w:r>
    </w:p>
    <w:p w14:paraId="71C193A4" w14:textId="77777777" w:rsidR="00B55AC2" w:rsidRDefault="00B55AC2" w:rsidP="00B55AC2">
      <w:pPr>
        <w:pStyle w:val="Bibliography"/>
      </w:pPr>
      <w:r>
        <w:t xml:space="preserve">52. </w:t>
      </w:r>
      <w:r>
        <w:tab/>
        <w:t xml:space="preserve">Lindsay J, Dooley M, Martin J, Fay M, Kearney A, Khatun M, Barras M. The development and evaluation of an oncological palliative care deprescribing guideline: the ‘OncPal deprescribing guideline.’ Support Care Cancer 2014;23(1):71–8. </w:t>
      </w:r>
    </w:p>
    <w:p w14:paraId="2A49EB0C" w14:textId="77777777" w:rsidR="00B55AC2" w:rsidRDefault="00B55AC2" w:rsidP="00B55AC2">
      <w:pPr>
        <w:pStyle w:val="Bibliography"/>
      </w:pPr>
      <w:r>
        <w:t xml:space="preserve">53. </w:t>
      </w:r>
      <w:r>
        <w:tab/>
        <w:t xml:space="preserve">Graham J. End-of-life medications draw more attention, greater scrutiny. JAMA 2015;313(3):231–3. </w:t>
      </w:r>
    </w:p>
    <w:p w14:paraId="70CAF78F" w14:textId="77777777" w:rsidR="00B55AC2" w:rsidRDefault="00B55AC2" w:rsidP="00B55AC2">
      <w:pPr>
        <w:pStyle w:val="Bibliography"/>
      </w:pPr>
      <w:r>
        <w:t xml:space="preserve">54. </w:t>
      </w:r>
      <w:r>
        <w:tab/>
        <w:t xml:space="preserve">Lee SP, Bain KT, Maio V. Appropriate Discontinuation of Medications at the End of Life: A Need to Establish Consensus Criteria. Am J Med Qual 2007;22(6):393–4. </w:t>
      </w:r>
    </w:p>
    <w:p w14:paraId="35881EBD" w14:textId="77777777" w:rsidR="00B55AC2" w:rsidRPr="00B55AC2" w:rsidRDefault="00B55AC2" w:rsidP="00B55AC2">
      <w:pPr>
        <w:pStyle w:val="Bibliography"/>
        <w:rPr>
          <w:lang w:val="de-CH"/>
        </w:rPr>
      </w:pPr>
      <w:r>
        <w:t xml:space="preserve">55. </w:t>
      </w:r>
      <w:r>
        <w:tab/>
        <w:t xml:space="preserve">O’Mahony D, O’Connor MN. Pharmacotherapy at the end-of-life. </w:t>
      </w:r>
      <w:r w:rsidRPr="00B55AC2">
        <w:rPr>
          <w:lang w:val="de-CH"/>
        </w:rPr>
        <w:t xml:space="preserve">Age Ageing 2011;40(4):419–22. </w:t>
      </w:r>
    </w:p>
    <w:p w14:paraId="421000D1" w14:textId="77777777" w:rsidR="00B55AC2" w:rsidRDefault="00B55AC2" w:rsidP="00B55AC2">
      <w:pPr>
        <w:pStyle w:val="Bibliography"/>
      </w:pPr>
      <w:r w:rsidRPr="00B55AC2">
        <w:rPr>
          <w:lang w:val="de-CH"/>
        </w:rPr>
        <w:t xml:space="preserve">56. </w:t>
      </w:r>
      <w:r w:rsidRPr="00B55AC2">
        <w:rPr>
          <w:lang w:val="de-CH"/>
        </w:rPr>
        <w:tab/>
        <w:t xml:space="preserve">Fede A, Miranda M, Antonangelo D, Trevizan L, Schaffhausser H, Hamermesz B, </w:t>
      </w:r>
      <w:r w:rsidRPr="00B55AC2">
        <w:rPr>
          <w:lang w:val="de-CH"/>
        </w:rPr>
        <w:lastRenderedPageBreak/>
        <w:t xml:space="preserve">Zimmermann C, Giglio AD, Riechelmann RP. </w:t>
      </w:r>
      <w:r>
        <w:t xml:space="preserve">Use of unnecessary medications by patients with advanced cancer: cross-sectional survey. Support Care Cancer 2010;19(9):1313–8. </w:t>
      </w:r>
    </w:p>
    <w:p w14:paraId="7AFC28B1" w14:textId="77777777" w:rsidR="00B55AC2" w:rsidRDefault="00B55AC2" w:rsidP="00B55AC2">
      <w:pPr>
        <w:pStyle w:val="Bibliography"/>
      </w:pPr>
      <w:r>
        <w:t xml:space="preserve">57. </w:t>
      </w:r>
      <w:r>
        <w:tab/>
        <w:t xml:space="preserve">Riechelmann RP, Krzyzanowska MK, Zimmermann C. Futile medication use in terminally ill cancer patients. Support Care Cancer 2008;17(6):745–8. </w:t>
      </w:r>
    </w:p>
    <w:p w14:paraId="36B1F52E" w14:textId="77777777" w:rsidR="00B55AC2" w:rsidRDefault="00B55AC2" w:rsidP="00B55AC2">
      <w:pPr>
        <w:pStyle w:val="Bibliography"/>
      </w:pPr>
      <w:r>
        <w:t xml:space="preserve">58. </w:t>
      </w:r>
      <w:r>
        <w:tab/>
        <w:t xml:space="preserve">Lee HR, Yi SY, Kim DY. Evaluation of Prescribing Medications for Terminal Cancer Patients near Death: Essential or Futile. Cancer Res Treat 2013;45(3):220–5. </w:t>
      </w:r>
    </w:p>
    <w:p w14:paraId="6417A852" w14:textId="77777777" w:rsidR="00B55AC2" w:rsidRDefault="00B55AC2" w:rsidP="00B55AC2">
      <w:pPr>
        <w:pStyle w:val="Bibliography"/>
      </w:pPr>
      <w:r>
        <w:t xml:space="preserve">59. </w:t>
      </w:r>
      <w:r>
        <w:tab/>
        <w:t xml:space="preserve">Holmes HM, Sachs GA, Shega JW, Hougham GW, Cox Hayley D, Dale W. Integrating Palliative Medicine into the Care of Persons with Advanced Dementia: Identifying Appropriate Medication Use. J Am Geriatr Soc 2008;56(7):1306–11. </w:t>
      </w:r>
    </w:p>
    <w:p w14:paraId="7AA13DFB" w14:textId="77777777" w:rsidR="00B55AC2" w:rsidRDefault="00B55AC2" w:rsidP="00B55AC2">
      <w:pPr>
        <w:pStyle w:val="Bibliography"/>
      </w:pPr>
      <w:r>
        <w:t xml:space="preserve">60. </w:t>
      </w:r>
      <w:r>
        <w:tab/>
        <w:t xml:space="preserve">Raijmakers NJH, van Zuylen L, Furst CJ, Beccaro M, Maiorana L, Pilastri P, Rossi C, Flego G, van der Heide A, Costantini M. Variation in medication use in cancer patients at the end of life: a cross-sectional analysis. Support Care Cancer 2013;21(4):1003–11. </w:t>
      </w:r>
    </w:p>
    <w:p w14:paraId="16D3D17A" w14:textId="77777777" w:rsidR="00B55AC2" w:rsidRDefault="00B55AC2" w:rsidP="00B55AC2">
      <w:pPr>
        <w:pStyle w:val="Bibliography"/>
      </w:pPr>
      <w:r>
        <w:t xml:space="preserve">61. </w:t>
      </w:r>
      <w:r>
        <w:tab/>
        <w:t xml:space="preserve">Dewhurst F, Baker L, Andrew I, Todd A. Blood pressure evaluation and review of antihypertensive medication in patients with life limiting illness. Int J Clin Pharm 2016;1–4. </w:t>
      </w:r>
    </w:p>
    <w:p w14:paraId="57180292" w14:textId="77777777" w:rsidR="00B55AC2" w:rsidRDefault="00B55AC2" w:rsidP="00B55AC2">
      <w:pPr>
        <w:pStyle w:val="Bibliography"/>
      </w:pPr>
      <w:r>
        <w:t xml:space="preserve">62. </w:t>
      </w:r>
      <w:r>
        <w:tab/>
        <w:t xml:space="preserve">Vollrath AM, Sinclair C, Hallenbeck J. Discontinuing Cardiovascular Medications at the End of Life: Lipid-Lowering Agents. J Palliat Med 2005;8(4):876–81. </w:t>
      </w:r>
    </w:p>
    <w:p w14:paraId="4F277F4B" w14:textId="77777777" w:rsidR="00B55AC2" w:rsidRDefault="00B55AC2" w:rsidP="00B55AC2">
      <w:pPr>
        <w:pStyle w:val="Bibliography"/>
      </w:pPr>
      <w:r>
        <w:t xml:space="preserve">63. </w:t>
      </w:r>
      <w:r>
        <w:tab/>
        <w:t xml:space="preserve">Nordennen R, Lavrijsen J, Vissers K, Koopmans R. Decision Making About Change of Medication for Comorbid Disease at the End of Life: An Integrative Review. Drugs Aging 2014;31(7):501–12. </w:t>
      </w:r>
    </w:p>
    <w:p w14:paraId="394B3B6F" w14:textId="77777777" w:rsidR="00B55AC2" w:rsidRDefault="00B55AC2" w:rsidP="00B55AC2">
      <w:pPr>
        <w:pStyle w:val="Bibliography"/>
      </w:pPr>
      <w:r>
        <w:t xml:space="preserve">64. </w:t>
      </w:r>
      <w:r>
        <w:tab/>
        <w:t xml:space="preserve">Parsons C, Hughes CM, Passmore AP, Lapane KL. Withholding, Discontinuing and Withdrawing Medications in Dementia Patients at the End of Life: A Neglected Problem in the Disadvantaged Dying? Drugs Aging 2010;27(6):435–49. </w:t>
      </w:r>
    </w:p>
    <w:p w14:paraId="1633ED57" w14:textId="77777777" w:rsidR="00B55AC2" w:rsidRDefault="00B55AC2" w:rsidP="00B55AC2">
      <w:pPr>
        <w:pStyle w:val="Bibliography"/>
      </w:pPr>
      <w:r>
        <w:t xml:space="preserve">65. </w:t>
      </w:r>
      <w:r>
        <w:tab/>
        <w:t xml:space="preserve">Shega JW, Ellner L, Lau DT, Maxwell TL. Cholinesterase Inhibitor and N-Methyl-D-Aspartic Acid Receptor Antagonist Use in Older Adults with End-Stage Dementia: A Survey of Hospice Medical Directors. J Palliat Med 2009;12(9):779–83. </w:t>
      </w:r>
    </w:p>
    <w:p w14:paraId="6124D82D" w14:textId="77777777" w:rsidR="00B55AC2" w:rsidRDefault="00B55AC2" w:rsidP="00B55AC2">
      <w:pPr>
        <w:pStyle w:val="Bibliography"/>
      </w:pPr>
      <w:r>
        <w:t xml:space="preserve">66. </w:t>
      </w:r>
      <w:r>
        <w:tab/>
        <w:t xml:space="preserve">Todd A, Nazar H, Pearson S, Andrew I, Baker L, Husband A. Inappropriate prescribing in patients accessing specialist palliative day care services. Int J Clin Pharm 2014;36(3):535–43. </w:t>
      </w:r>
    </w:p>
    <w:p w14:paraId="5D8631AE" w14:textId="77777777" w:rsidR="00B55AC2" w:rsidRDefault="00B55AC2" w:rsidP="00B55AC2">
      <w:pPr>
        <w:pStyle w:val="Bibliography"/>
      </w:pPr>
      <w:r>
        <w:t xml:space="preserve">67. </w:t>
      </w:r>
      <w:r>
        <w:tab/>
        <w:t xml:space="preserve">Fahlman C, Lynn J, Finch M, Doberman D, Gabel J. Potentially inappropriate medication use by Medicaid+Choice beneficiaries in the last year of life. J Palliat Med 2007;10(3):686–95. </w:t>
      </w:r>
    </w:p>
    <w:p w14:paraId="002CB94E" w14:textId="77777777" w:rsidR="00B55AC2" w:rsidRDefault="00B55AC2" w:rsidP="00B55AC2">
      <w:pPr>
        <w:pStyle w:val="Bibliography"/>
      </w:pPr>
      <w:r>
        <w:t xml:space="preserve">68. </w:t>
      </w:r>
      <w:r>
        <w:tab/>
        <w:t xml:space="preserve">Nicholson A, Andrew I, Etherington R, Gamlin R, Lovel T, Lloyd J. Futile and inappropriate prescribing: an assessment of the issue in a series of patients admitted to a specialist palliative care unit. Int J Pharm Pract 2001;9(S1):72–72. </w:t>
      </w:r>
    </w:p>
    <w:p w14:paraId="4ECD97B0" w14:textId="77777777" w:rsidR="00B55AC2" w:rsidRDefault="00B55AC2" w:rsidP="00B55AC2">
      <w:pPr>
        <w:pStyle w:val="Bibliography"/>
      </w:pPr>
      <w:r>
        <w:t xml:space="preserve">69. </w:t>
      </w:r>
      <w:r>
        <w:tab/>
        <w:t xml:space="preserve">Silveira MJ, Kazanis AS, Shevrin MP. Statins in the Last Six Months of Life: A Recognizable, Life-Limiting Condition Does Not Decrease their Use. J Palliat Med 2008;11(5):685–93. </w:t>
      </w:r>
    </w:p>
    <w:p w14:paraId="4041172D" w14:textId="77777777" w:rsidR="00B55AC2" w:rsidRPr="00B55AC2" w:rsidRDefault="00B55AC2" w:rsidP="00B55AC2">
      <w:pPr>
        <w:pStyle w:val="Bibliography"/>
        <w:rPr>
          <w:lang w:val="de-CH"/>
        </w:rPr>
      </w:pPr>
      <w:r>
        <w:lastRenderedPageBreak/>
        <w:t xml:space="preserve">70. </w:t>
      </w:r>
      <w:r>
        <w:tab/>
        <w:t xml:space="preserve">Tjia J, Rothman MR, Kiely DK, Shaffer ML, Holmes HM, Sachs GA, Mitchell SL. Daily Medication Use in Nursing Home Residents with Advanced Dementia. </w:t>
      </w:r>
      <w:r w:rsidRPr="00B55AC2">
        <w:rPr>
          <w:lang w:val="de-CH"/>
        </w:rPr>
        <w:t xml:space="preserve">J Am Geriatr Soc 2010;58(5):880–8. </w:t>
      </w:r>
    </w:p>
    <w:p w14:paraId="1C22F237" w14:textId="77777777" w:rsidR="00B55AC2" w:rsidRDefault="00B55AC2" w:rsidP="00B55AC2">
      <w:pPr>
        <w:pStyle w:val="Bibliography"/>
      </w:pPr>
      <w:r w:rsidRPr="00B55AC2">
        <w:rPr>
          <w:lang w:val="de-CH"/>
        </w:rPr>
        <w:t xml:space="preserve">71. </w:t>
      </w:r>
      <w:r w:rsidRPr="00B55AC2">
        <w:rPr>
          <w:lang w:val="de-CH"/>
        </w:rPr>
        <w:tab/>
        <w:t xml:space="preserve">Alexander GC, Sayla MA, Holmes HM, Sachs GA. </w:t>
      </w:r>
      <w:r>
        <w:t xml:space="preserve">Prioritizing and stopping prescription medicines. Can Med Assoc J 2006;174(8):1083–4. </w:t>
      </w:r>
    </w:p>
    <w:p w14:paraId="03B2EBCB" w14:textId="77777777" w:rsidR="00B55AC2" w:rsidRDefault="00B55AC2" w:rsidP="00B55AC2">
      <w:pPr>
        <w:pStyle w:val="Bibliography"/>
      </w:pPr>
      <w:r>
        <w:t xml:space="preserve">72. </w:t>
      </w:r>
      <w:r>
        <w:tab/>
        <w:t xml:space="preserve">Bain KT, Holmes HM, Beers MH, Maio V, Handler SM, Pauker SG. Discontinuing Medications: A Novel Approach for Revising the Prescribing Stage of the Medication-Use Process. J Am Geriatr Soc 2008;56(10):1946–52. </w:t>
      </w:r>
    </w:p>
    <w:p w14:paraId="020C8CFD" w14:textId="77777777" w:rsidR="00B55AC2" w:rsidRDefault="00B55AC2" w:rsidP="00B55AC2">
      <w:pPr>
        <w:pStyle w:val="Bibliography"/>
      </w:pPr>
      <w:r>
        <w:t xml:space="preserve">73. </w:t>
      </w:r>
      <w:r>
        <w:tab/>
        <w:t xml:space="preserve">Mullvain JA, Kozak KR, Moody JS, Campbell TC. Statin use in cancer patients with brain metastases: a missed communication opportunity at the end of life. Support Care Cancer 2015;23(9):2643–8. </w:t>
      </w:r>
    </w:p>
    <w:p w14:paraId="368968E7" w14:textId="77777777" w:rsidR="00B55AC2" w:rsidRDefault="00B55AC2" w:rsidP="00B55AC2">
      <w:pPr>
        <w:pStyle w:val="Bibliography"/>
      </w:pPr>
      <w:r>
        <w:t xml:space="preserve">74. </w:t>
      </w:r>
      <w:r>
        <w:tab/>
        <w:t xml:space="preserve">Scott IA, Hilmer SN, Reeve E, et al. Reducing inappropriate polypharmacy: The process of deprescribing. JAMA Intern Med 2015;175(5):827–34. </w:t>
      </w:r>
    </w:p>
    <w:p w14:paraId="508A3917" w14:textId="77777777" w:rsidR="00B55AC2" w:rsidRDefault="00B55AC2" w:rsidP="00B55AC2">
      <w:pPr>
        <w:pStyle w:val="Bibliography"/>
      </w:pPr>
      <w:r>
        <w:t xml:space="preserve">75. </w:t>
      </w:r>
      <w:r>
        <w:tab/>
        <w:t xml:space="preserve">Sivagnanam G. Deprescription: The prescription metabolism. J Pharmacol Pharmacother 2016;7(3):133–7. </w:t>
      </w:r>
    </w:p>
    <w:p w14:paraId="61BD09A9" w14:textId="77777777" w:rsidR="00B55AC2" w:rsidRDefault="00B55AC2" w:rsidP="00B55AC2">
      <w:pPr>
        <w:pStyle w:val="Bibliography"/>
      </w:pPr>
      <w:r>
        <w:t xml:space="preserve">76. </w:t>
      </w:r>
      <w:r>
        <w:tab/>
        <w:t xml:space="preserve">Coleman EA, Smith JD, Raha D, Min S. Posthospital medication discrepancies: Prevalence and contributing factors. Arch Intern Med 2005;165(16):1842–7. </w:t>
      </w:r>
    </w:p>
    <w:p w14:paraId="2C287E39" w14:textId="77777777" w:rsidR="00B55AC2" w:rsidRDefault="00B55AC2" w:rsidP="00B55AC2">
      <w:pPr>
        <w:pStyle w:val="Bibliography"/>
      </w:pPr>
      <w:r>
        <w:t xml:space="preserve">77. </w:t>
      </w:r>
      <w:r>
        <w:tab/>
        <w:t xml:space="preserve">Kripalani S, LeFevre F, Phillips CO, Williams MV, Basaviah P, Baker DW. Deficits in communication and information transfer between hospital-based and primary care physicians: Implications for patient safety and continuity of care. JAMA 2007;297(8):831–41. </w:t>
      </w:r>
    </w:p>
    <w:p w14:paraId="287F24C7" w14:textId="77777777" w:rsidR="00B55AC2" w:rsidRDefault="00B55AC2" w:rsidP="00B55AC2">
      <w:pPr>
        <w:pStyle w:val="Bibliography"/>
      </w:pPr>
      <w:r>
        <w:t xml:space="preserve">78. </w:t>
      </w:r>
      <w:r>
        <w:tab/>
        <w:t xml:space="preserve">Cua YM, Kripalani S. Medication Use in the Transition from Hospital to Home. Ann Acad Med Singapore 2008;37(2):136. </w:t>
      </w:r>
    </w:p>
    <w:p w14:paraId="30B2B87E" w14:textId="77777777" w:rsidR="00B55AC2" w:rsidRDefault="00B55AC2" w:rsidP="00B55AC2">
      <w:pPr>
        <w:pStyle w:val="Bibliography"/>
      </w:pPr>
      <w:r>
        <w:t xml:space="preserve">79. </w:t>
      </w:r>
      <w:r>
        <w:tab/>
        <w:t xml:space="preserve">Coleman EA. Falling Through the Cracks: Challenges and Opportunities for Improving Transitional Care for Persons with Continuous Complex Care Needs. J Am Geriatr Soc 2003;51(4):549–55. </w:t>
      </w:r>
    </w:p>
    <w:p w14:paraId="535C7737" w14:textId="77777777" w:rsidR="00B55AC2" w:rsidRDefault="00B55AC2" w:rsidP="00B55AC2">
      <w:pPr>
        <w:pStyle w:val="Bibliography"/>
      </w:pPr>
      <w:r>
        <w:t xml:space="preserve">80. </w:t>
      </w:r>
      <w:r>
        <w:tab/>
        <w:t xml:space="preserve">Teno JM, Gozalo PL, Bynum JPW, Leland NE, Miller SC, Morden NE, Scupp T, Goodman DC, Mor V. Change in End-of-Life Care for Medicare Beneficiaries. JAMA 2013;309(5):470–7. </w:t>
      </w:r>
    </w:p>
    <w:p w14:paraId="1D5650B9" w14:textId="77777777" w:rsidR="00B55AC2" w:rsidRDefault="00B55AC2" w:rsidP="00B55AC2">
      <w:pPr>
        <w:pStyle w:val="Bibliography"/>
      </w:pPr>
      <w:r>
        <w:t xml:space="preserve">81. </w:t>
      </w:r>
      <w:r>
        <w:tab/>
        <w:t xml:space="preserve">Wang S-Y, Aldridge MD, Gross CP, Canavan M, Cherlin E, Johnson-Hurzeler R, Bradley E. Transitions Between Healthcare Settings of Hospice Enrollees at the End of Life. J Am Geriatr Soc 2016;64(2):314–22. </w:t>
      </w:r>
    </w:p>
    <w:p w14:paraId="13639796" w14:textId="77777777" w:rsidR="00B55AC2" w:rsidRDefault="00B55AC2" w:rsidP="00B55AC2">
      <w:pPr>
        <w:pStyle w:val="Bibliography"/>
      </w:pPr>
      <w:r>
        <w:t xml:space="preserve">82. </w:t>
      </w:r>
      <w:r>
        <w:tab/>
        <w:t xml:space="preserve">Teno JM, Bowman J, Plotzke M, Gozalo PL, Christian T, Miller SC, Williams C, Mor V. Characteristics of Hospice Programs With Problematic Live Discharges. J Pain Symptom Manage 2015;50(4):548–52. </w:t>
      </w:r>
    </w:p>
    <w:p w14:paraId="6EBB08D1" w14:textId="77777777" w:rsidR="00B55AC2" w:rsidRDefault="00B55AC2" w:rsidP="00B55AC2">
      <w:pPr>
        <w:pStyle w:val="Bibliography"/>
      </w:pPr>
      <w:r>
        <w:t xml:space="preserve">83. </w:t>
      </w:r>
      <w:r>
        <w:tab/>
        <w:t xml:space="preserve">Carlson MDA, Herrin J, Du Q, Epstein AJ, Cherlin E, Morrison RS, Bradley EH. Hospice Characteristics and the Disenrollment of Patients with Cancer. Health Serv Res 2009;44(6):2004–21. </w:t>
      </w:r>
    </w:p>
    <w:p w14:paraId="184E2407" w14:textId="77777777" w:rsidR="00B55AC2" w:rsidRDefault="00B55AC2" w:rsidP="00B55AC2">
      <w:pPr>
        <w:pStyle w:val="Bibliography"/>
      </w:pPr>
      <w:r>
        <w:lastRenderedPageBreak/>
        <w:t xml:space="preserve">84. </w:t>
      </w:r>
      <w:r>
        <w:tab/>
        <w:t xml:space="preserve">Kutner JS, Meyer SA, Beaty BL, Kassner CT, Nowels DE, Beehler C. Outcomes and Characteristics of Patients Discharged Alive from Hospice. J Am Geriatr Soc 2004;52(8):1337–42. </w:t>
      </w:r>
    </w:p>
    <w:p w14:paraId="08C8DBD1" w14:textId="77777777" w:rsidR="00B55AC2" w:rsidRDefault="00B55AC2" w:rsidP="00B55AC2">
      <w:pPr>
        <w:pStyle w:val="Bibliography"/>
      </w:pPr>
      <w:r>
        <w:t xml:space="preserve">85. </w:t>
      </w:r>
      <w:r>
        <w:tab/>
        <w:t xml:space="preserve">Phongtankuel V, Scherban BA, Reid MC, Finley A, Martin A, Dennis J, Adelman RD. Why Do Home Hospice Patients Return to the Hospital? A Study of Hospice Provider Perspectives. J Palliat Med 2015;19(1):51–6. </w:t>
      </w:r>
    </w:p>
    <w:p w14:paraId="1CA5880A" w14:textId="77777777" w:rsidR="00B55AC2" w:rsidRDefault="00B55AC2" w:rsidP="00B55AC2">
      <w:pPr>
        <w:pStyle w:val="Bibliography"/>
      </w:pPr>
      <w:r>
        <w:t xml:space="preserve">86. </w:t>
      </w:r>
      <w:r>
        <w:tab/>
        <w:t xml:space="preserve">Currow DC, Stevenson JP, Abernethy AP, Plummer J, Shelby-James TM. Prescribing in Palliative Care as Death Approaches. J Am Geriatr Soc 2007;55(4):590–5. </w:t>
      </w:r>
    </w:p>
    <w:p w14:paraId="1560BA6E" w14:textId="77777777" w:rsidR="00B55AC2" w:rsidRDefault="00B55AC2" w:rsidP="00B55AC2">
      <w:pPr>
        <w:pStyle w:val="Bibliography"/>
      </w:pPr>
      <w:r>
        <w:t xml:space="preserve">87. </w:t>
      </w:r>
      <w:r>
        <w:tab/>
        <w:t xml:space="preserve">Holmes H. Rational Prescribing for Patients With a Reduced Life Expectancy. Clin Pharmacol Ther 2009;85(1):103–7. </w:t>
      </w:r>
    </w:p>
    <w:p w14:paraId="3ADCDCC9" w14:textId="77777777" w:rsidR="00B55AC2" w:rsidRDefault="00B55AC2" w:rsidP="00B55AC2">
      <w:pPr>
        <w:pStyle w:val="Bibliography"/>
      </w:pPr>
      <w:r>
        <w:t xml:space="preserve">88. </w:t>
      </w:r>
      <w:r>
        <w:tab/>
        <w:t xml:space="preserve">Garfinkel D, Ilhan B, Bahat G. Routine deprescribing of chronic medications to combat polypharmacy. Ther Adv Drug Saf 2015;6(6):212–33. </w:t>
      </w:r>
    </w:p>
    <w:p w14:paraId="460EE828" w14:textId="77777777" w:rsidR="00B55AC2" w:rsidRDefault="00B55AC2" w:rsidP="00B55AC2">
      <w:pPr>
        <w:pStyle w:val="Bibliography"/>
      </w:pPr>
      <w:r>
        <w:t xml:space="preserve">89. </w:t>
      </w:r>
      <w:r>
        <w:tab/>
        <w:t xml:space="preserve">Kelley AS, Morrison RS, Wenger NS, Ettner SL, Sarkisian CA. Determinants of Treatment Intensity for Patients with Serious Illness: A New Conceptual Framework. J Palliat Med 2010;13(7):807–13. </w:t>
      </w:r>
    </w:p>
    <w:p w14:paraId="44ED17E7" w14:textId="77777777" w:rsidR="00B55AC2" w:rsidRDefault="00B55AC2" w:rsidP="00B55AC2">
      <w:pPr>
        <w:pStyle w:val="Bibliography"/>
      </w:pPr>
      <w:r>
        <w:t xml:space="preserve">90. </w:t>
      </w:r>
      <w:r>
        <w:tab/>
        <w:t xml:space="preserve">Kelley AS, Ettner SL, Morrison RS, Du Q, Wenger NS, Sarkisian CA. Determinants of Treatment Intensity in the Last 6 Months of Life: The Importance of Patient Characteristics. Ann Intern Med 2011;154(4):235–42. </w:t>
      </w:r>
    </w:p>
    <w:p w14:paraId="56BADCCC" w14:textId="77777777" w:rsidR="00B55AC2" w:rsidRDefault="00B55AC2" w:rsidP="00B55AC2">
      <w:pPr>
        <w:pStyle w:val="Bibliography"/>
      </w:pPr>
      <w:r>
        <w:t xml:space="preserve">91. </w:t>
      </w:r>
      <w:r>
        <w:tab/>
        <w:t xml:space="preserve">Earle CC, Neville BA, Landrum MB, Ayanian JZ, Block SD, Weeks JC. Trends in the Aggressiveness of Cancer Care Near the End of Life. J Clin Oncol 2004;22(2):315–21. </w:t>
      </w:r>
    </w:p>
    <w:p w14:paraId="59B55CD1" w14:textId="77777777" w:rsidR="00B55AC2" w:rsidRDefault="00B55AC2" w:rsidP="00B55AC2">
      <w:pPr>
        <w:pStyle w:val="Bibliography"/>
      </w:pPr>
      <w:r>
        <w:t xml:space="preserve">92. </w:t>
      </w:r>
      <w:r>
        <w:tab/>
        <w:t xml:space="preserve">Earle CC, Landrum MB, Souza JM, Neville BA, Weeks JC, Ayanian JZ. Aggressiveness of Cancer Care Near the End of Life: Is It a Quality-of-Care Issue? J Clin Oncol 2008;26(23):3860–6. </w:t>
      </w:r>
    </w:p>
    <w:p w14:paraId="1DB6AE8C" w14:textId="77777777" w:rsidR="00B55AC2" w:rsidRDefault="00B55AC2" w:rsidP="00B55AC2">
      <w:pPr>
        <w:pStyle w:val="Bibliography"/>
      </w:pPr>
      <w:r>
        <w:t xml:space="preserve">93. </w:t>
      </w:r>
      <w:r>
        <w:tab/>
        <w:t xml:space="preserve">Lackan NA, Ostir GV, Freeman JL, Mahnken JD, Goodwin JS. Decreasing Variation in the Use of Hospice among Older Adults with Breast, Colorectal, Lung, and Prostate Cancer. Med Care 2004;42(2):116–22. </w:t>
      </w:r>
    </w:p>
    <w:p w14:paraId="0452E490" w14:textId="77777777" w:rsidR="00B55AC2" w:rsidRDefault="00B55AC2" w:rsidP="00B55AC2">
      <w:pPr>
        <w:pStyle w:val="Bibliography"/>
      </w:pPr>
      <w:r>
        <w:t xml:space="preserve">94. </w:t>
      </w:r>
      <w:r>
        <w:tab/>
        <w:t xml:space="preserve">Kochanek KD, Murphy SL, Xu J, Tejada-Vera B. Deaths: Final Data for 2014. Natl Vital Stat Rep 2016;65(4):1–122. </w:t>
      </w:r>
    </w:p>
    <w:p w14:paraId="7B172886" w14:textId="77777777" w:rsidR="00B55AC2" w:rsidRDefault="00B55AC2" w:rsidP="00B55AC2">
      <w:pPr>
        <w:pStyle w:val="Bibliography"/>
      </w:pPr>
      <w:r>
        <w:t xml:space="preserve">95. </w:t>
      </w:r>
      <w:r>
        <w:tab/>
        <w:t xml:space="preserve">Kelley AS, Morrison RS. Palliative Care for the Seriously Ill. N Engl J Med 2015;373(8):747–55. </w:t>
      </w:r>
    </w:p>
    <w:p w14:paraId="427A9012" w14:textId="77777777" w:rsidR="00B55AC2" w:rsidRDefault="00B55AC2" w:rsidP="00B55AC2">
      <w:pPr>
        <w:pStyle w:val="Bibliography"/>
      </w:pPr>
      <w:r>
        <w:t xml:space="preserve">96. </w:t>
      </w:r>
      <w:r>
        <w:tab/>
        <w:t xml:space="preserve">Chavez-Valdez A, Wilson L. Update on Part D Payment Responsibility for Drugs for Beneficiaries Enrolled in Medicare Hospice [Memorandum]. Baltimore, MD: Centers for Medicare and Medicaid Services; 2016. </w:t>
      </w:r>
    </w:p>
    <w:p w14:paraId="72F5D1E3" w14:textId="77777777" w:rsidR="00B55AC2" w:rsidRDefault="00B55AC2" w:rsidP="00B55AC2">
      <w:pPr>
        <w:pStyle w:val="Bibliography"/>
      </w:pPr>
      <w:r>
        <w:t xml:space="preserve">97. </w:t>
      </w:r>
      <w:r>
        <w:tab/>
        <w:t xml:space="preserve">Brandt NJ, Stefanacci RG. Discontinuation of unnecessary medications in older adults. Consult Pharm 2011;26(11):845–54. </w:t>
      </w:r>
    </w:p>
    <w:p w14:paraId="5B81D904" w14:textId="77777777" w:rsidR="00B55AC2" w:rsidRDefault="00B55AC2" w:rsidP="00B55AC2">
      <w:pPr>
        <w:pStyle w:val="Bibliography"/>
      </w:pPr>
      <w:r>
        <w:t xml:space="preserve">98. </w:t>
      </w:r>
      <w:r>
        <w:tab/>
        <w:t xml:space="preserve">Lee SJ, Jacobson MA, Johnston CB. Improving Diabetes Care for Hospice Patients. Am J Hosp Palliat Med 2016;33(6):517–9. </w:t>
      </w:r>
    </w:p>
    <w:p w14:paraId="1F6F497E" w14:textId="77777777" w:rsidR="00B55AC2" w:rsidRDefault="00B55AC2" w:rsidP="00B55AC2">
      <w:pPr>
        <w:pStyle w:val="Bibliography"/>
      </w:pPr>
      <w:r>
        <w:lastRenderedPageBreak/>
        <w:t xml:space="preserve">99. </w:t>
      </w:r>
      <w:r>
        <w:tab/>
        <w:t xml:space="preserve">Murray SA, Kendall M, Boyd K, Sheikh A. Illness trajectories and palliative care. BMJ 2005;330(7498):1007–11. </w:t>
      </w:r>
    </w:p>
    <w:p w14:paraId="0B6334DA" w14:textId="77777777" w:rsidR="00B55AC2" w:rsidRDefault="00B55AC2" w:rsidP="00B55AC2">
      <w:pPr>
        <w:pStyle w:val="Bibliography"/>
      </w:pPr>
      <w:r>
        <w:t xml:space="preserve">100. </w:t>
      </w:r>
      <w:r>
        <w:tab/>
        <w:t xml:space="preserve">Lunney JR, Lynn J, Hogan C. Profiles of Older Medicare Decedents. J Am Geriatr Soc 2002;50(6):1108–12. </w:t>
      </w:r>
    </w:p>
    <w:p w14:paraId="77EF4D02" w14:textId="77777777" w:rsidR="00B55AC2" w:rsidRDefault="00B55AC2" w:rsidP="00B55AC2">
      <w:pPr>
        <w:pStyle w:val="Bibliography"/>
      </w:pPr>
      <w:r>
        <w:t xml:space="preserve">101. </w:t>
      </w:r>
      <w:r>
        <w:tab/>
        <w:t xml:space="preserve">Centers for Medicare and Medicaid Services. Medicare Hospice Data Trends: 1998-2009 [Data File]. 2012. Available from: https://www.cms.gov/Medicare/Medicare-Fee-for-Service-Payment/Hospice/Medicare_Hospice_Data.html. </w:t>
      </w:r>
    </w:p>
    <w:p w14:paraId="326A404F" w14:textId="77777777" w:rsidR="00B55AC2" w:rsidRDefault="00B55AC2" w:rsidP="00B55AC2">
      <w:pPr>
        <w:pStyle w:val="Bibliography"/>
      </w:pPr>
      <w:r>
        <w:t xml:space="preserve">102. </w:t>
      </w:r>
      <w:r>
        <w:tab/>
        <w:t xml:space="preserve">Todd A, Williamson S, Husband A, Baqir W, Mahony M. Patients with advanced lung cancer: is there scope to discontinue inappropriate medication? Int J Clin Pharm 2012;35(2):181–4. </w:t>
      </w:r>
    </w:p>
    <w:p w14:paraId="3131F6D5" w14:textId="77777777" w:rsidR="00B55AC2" w:rsidRDefault="00B55AC2" w:rsidP="00B55AC2">
      <w:pPr>
        <w:pStyle w:val="Bibliography"/>
      </w:pPr>
      <w:r>
        <w:t xml:space="preserve">103. </w:t>
      </w:r>
      <w:r>
        <w:tab/>
        <w:t xml:space="preserve">Lavan AH, Gallagher P, Parsons C, O’Mahony D. STOPPFrail (Screening Tool of Older Persons Prescriptions in Frail adults with limited life expectancy): consensus validation. Age Ageing 2017;46(4):600–7. </w:t>
      </w:r>
    </w:p>
    <w:p w14:paraId="64D724F0" w14:textId="77777777" w:rsidR="00B55AC2" w:rsidRDefault="00B55AC2" w:rsidP="00B55AC2">
      <w:pPr>
        <w:pStyle w:val="Bibliography"/>
      </w:pPr>
      <w:r>
        <w:t xml:space="preserve">104. </w:t>
      </w:r>
      <w:r>
        <w:tab/>
        <w:t xml:space="preserve">Todd A, Husband A, Andrew I, Pearson S-A, Lindsey L, Holmes H. Inappropriate prescribing of preventative medication in patients with life-limiting illness: a systematic review. BMJ Support Palliat Care 2017;7(2):113–21. </w:t>
      </w:r>
    </w:p>
    <w:p w14:paraId="2CB10A0B" w14:textId="77777777" w:rsidR="00B55AC2" w:rsidRDefault="00B55AC2" w:rsidP="00B55AC2">
      <w:pPr>
        <w:pStyle w:val="Bibliography"/>
      </w:pPr>
      <w:r>
        <w:t xml:space="preserve">105. </w:t>
      </w:r>
      <w:r>
        <w:tab/>
        <w:t xml:space="preserve">Kotlinska-Lemieszek A, Paulsen Ø, Kaasa S, Klepstad P. Polypharmacy in Patients With Advanced Cancer and Pain: A European Cross-Sectional Study of 2282 Patients. J Pain Symptom Manage 2014;48(6):1145–59. </w:t>
      </w:r>
    </w:p>
    <w:p w14:paraId="1EDB0F55" w14:textId="77777777" w:rsidR="00B55AC2" w:rsidRDefault="00B55AC2" w:rsidP="00B55AC2">
      <w:pPr>
        <w:pStyle w:val="Bibliography"/>
      </w:pPr>
      <w:r>
        <w:t xml:space="preserve">106. </w:t>
      </w:r>
      <w:r>
        <w:tab/>
        <w:t xml:space="preserve">Todd A, Holmes HM. Recommendations to support deprescribing medications late in life. Int J Clin Pharm 2015;37(5):678–81. </w:t>
      </w:r>
    </w:p>
    <w:p w14:paraId="54E7E05B" w14:textId="77777777" w:rsidR="00B55AC2" w:rsidRDefault="00B55AC2" w:rsidP="00B55AC2">
      <w:pPr>
        <w:pStyle w:val="Bibliography"/>
      </w:pPr>
      <w:r>
        <w:t xml:space="preserve">107. </w:t>
      </w:r>
      <w:r>
        <w:tab/>
        <w:t xml:space="preserve">Farrell B, Tsang C, Raman-Wilms L, Irving H, Conklin J, Pottie K. What are priorities for deprescribing for elderly patients? Capturing the voice of practitioners: a modified delphi process. PloS One 2015;10(4):e0122246. </w:t>
      </w:r>
    </w:p>
    <w:p w14:paraId="5E96F0E7" w14:textId="77777777" w:rsidR="00B55AC2" w:rsidRDefault="00B55AC2" w:rsidP="00B55AC2">
      <w:pPr>
        <w:pStyle w:val="Bibliography"/>
      </w:pPr>
      <w:r>
        <w:t xml:space="preserve">108. </w:t>
      </w:r>
      <w:r>
        <w:tab/>
        <w:t xml:space="preserve">Kutner JS, Blatchford PJ, Taylor DH, Ritchie CS, Bull JH, Fairclough DL, Hanson LC, LeBlanc TW, Samsa GP, Wolf S, Aziz NM, Currow DC, Ferrell B, Wagner-Johnston N, Zafar SY, Cleary JF, Dev S, Goode PS, Kamal AH, Kassner C, Kvale EA, McCallum JG, Ogunseitan AB, Pantilat SZ, Portenoy RK, Prince-Paul M, Sloan JA, Swetz KM, Von Gunten CF, Abernethy AP. Safety and Benefit of Discontinuing Statin Therapy in the Setting of Advanced, Life-Limiting Illness. JAMA Intern Med 2015;175(5):691–700. </w:t>
      </w:r>
    </w:p>
    <w:p w14:paraId="5FA4B2B2" w14:textId="77777777" w:rsidR="00B55AC2" w:rsidRDefault="00B55AC2" w:rsidP="00B55AC2">
      <w:pPr>
        <w:pStyle w:val="Bibliography"/>
      </w:pPr>
      <w:r>
        <w:t xml:space="preserve">109. </w:t>
      </w:r>
      <w:r>
        <w:tab/>
        <w:t>Levinson DR. Medicare Could Be Paying Twice for Prescription Drugs for Beneficiaries in Hospice (OIG Report A-06-10-00059) [Internet]. Department of Health and Human Services; 2012. Available from: https://oig.hhs.gov/oas/reports/region6/61000059.pdf</w:t>
      </w:r>
    </w:p>
    <w:p w14:paraId="4C683C44" w14:textId="77777777" w:rsidR="00B55AC2" w:rsidRDefault="00B55AC2" w:rsidP="00B55AC2">
      <w:pPr>
        <w:pStyle w:val="Bibliography"/>
      </w:pPr>
      <w:r>
        <w:t xml:space="preserve">110. </w:t>
      </w:r>
      <w:r>
        <w:tab/>
        <w:t xml:space="preserve">Larrick A, Wilson L. Part D Payment for Drugs for Beneficiaries Enrolled in Medicare Hospice [Memorandum]. Baltimore, MD: Centers for Medicare and Medicaid Services; 2014. </w:t>
      </w:r>
    </w:p>
    <w:p w14:paraId="55DCE23B" w14:textId="77777777" w:rsidR="00B55AC2" w:rsidRDefault="00B55AC2" w:rsidP="00B55AC2">
      <w:pPr>
        <w:pStyle w:val="Bibliography"/>
      </w:pPr>
      <w:r>
        <w:t xml:space="preserve">111. </w:t>
      </w:r>
      <w:r>
        <w:tab/>
        <w:t xml:space="preserve">Mitchell SL, Kiely DK, Miller SC, Connor SR, Spence C, Teno JM. Hospice Care for Patients with Dementia. J Pain Symptom Manage 2007;34(1):7–16. </w:t>
      </w:r>
    </w:p>
    <w:p w14:paraId="15DFCFFF" w14:textId="77777777" w:rsidR="00B55AC2" w:rsidRDefault="00B55AC2" w:rsidP="00B55AC2">
      <w:pPr>
        <w:pStyle w:val="Bibliography"/>
      </w:pPr>
      <w:r>
        <w:lastRenderedPageBreak/>
        <w:t xml:space="preserve">112. </w:t>
      </w:r>
      <w:r>
        <w:tab/>
        <w:t xml:space="preserve">Rothenberg LR, Doberman D, Simon LE, Gryczynski J, Cordts G. Patients Surviving Six Months in Hospice Care: Who Are They? J Palliat Med 2014;17(8):899–905. </w:t>
      </w:r>
    </w:p>
    <w:p w14:paraId="463B25F4" w14:textId="77777777" w:rsidR="00B55AC2" w:rsidRDefault="00B55AC2" w:rsidP="00B55AC2">
      <w:pPr>
        <w:pStyle w:val="Bibliography"/>
      </w:pPr>
      <w:r>
        <w:t xml:space="preserve">113. </w:t>
      </w:r>
      <w:r>
        <w:tab/>
        <w:t>Levinson D. Medicare Hospice Care: A Comparison of Beneficiaries in Nursing Facilities and Beneficiaries in Other Settings (OIG Report OEI-02-06-00220) [Internet]. Department of Health and Human Services; 2007. Available from: https://oig.hhs.gov/oei/reports/oei-02-06-00220.pdf</w:t>
      </w:r>
    </w:p>
    <w:p w14:paraId="662BE3F2" w14:textId="77777777" w:rsidR="00B55AC2" w:rsidRDefault="00B55AC2" w:rsidP="00B55AC2">
      <w:pPr>
        <w:pStyle w:val="Bibliography"/>
      </w:pPr>
      <w:r>
        <w:t xml:space="preserve">114. </w:t>
      </w:r>
      <w:r>
        <w:tab/>
        <w:t xml:space="preserve">Wilson S, Wahler R, Brown J, Doloresco F, Monte SV. Impact of pharmacist intervention on clinical outcomes in the palliative care setting. Am J Hosp Palliat Care 2011;28(5):316–20. </w:t>
      </w:r>
    </w:p>
    <w:p w14:paraId="3CD4A0BE" w14:textId="77777777" w:rsidR="00B55AC2" w:rsidRDefault="00B55AC2" w:rsidP="00B55AC2">
      <w:pPr>
        <w:pStyle w:val="Bibliography"/>
      </w:pPr>
      <w:r>
        <w:t xml:space="preserve">115. </w:t>
      </w:r>
      <w:r>
        <w:tab/>
        <w:t xml:space="preserve">Lee J, McPherson ML. Outcomes of recommendations by hospice pharmacists. Am J Health Syst Pharm 2006;63(22):2235–9. </w:t>
      </w:r>
    </w:p>
    <w:p w14:paraId="44276D18" w14:textId="77777777" w:rsidR="00B55AC2" w:rsidRDefault="00B55AC2" w:rsidP="00B55AC2">
      <w:pPr>
        <w:pStyle w:val="Bibliography"/>
      </w:pPr>
      <w:r>
        <w:t xml:space="preserve">116. </w:t>
      </w:r>
      <w:r>
        <w:tab/>
        <w:t>MLM Matters. Hospice Manual Update for Diagnosis Reporting and Filing Hospice Notice of Election (NOE) and Termination or Revocation of Election. [Internet]. Centers for Medicare and Medicaid Services; 2014. Available from: https://www.cms.gov/Outreach-and-Education/Medicare-Learning-Network-MLN/MLNMattersArticles/downloads/MM8877.pdf</w:t>
      </w:r>
    </w:p>
    <w:p w14:paraId="379103EA" w14:textId="77777777" w:rsidR="00B55AC2" w:rsidRDefault="00B55AC2" w:rsidP="00B55AC2">
      <w:pPr>
        <w:pStyle w:val="Bibliography"/>
      </w:pPr>
      <w:r>
        <w:t xml:space="preserve">117. </w:t>
      </w:r>
      <w:r>
        <w:tab/>
        <w:t xml:space="preserve">Lunney JR, Lynn J, Foley DJ, Lipson S, Guralnik JM. Patterns of functional decline at the end of life. JAMA 2003;289(18):2387–92. </w:t>
      </w:r>
    </w:p>
    <w:p w14:paraId="51500BD0" w14:textId="77777777" w:rsidR="00B55AC2" w:rsidRPr="00B55AC2" w:rsidRDefault="00B55AC2" w:rsidP="00B55AC2">
      <w:pPr>
        <w:pStyle w:val="Bibliography"/>
        <w:rPr>
          <w:lang w:val="de-CH"/>
        </w:rPr>
      </w:pPr>
      <w:r>
        <w:t xml:space="preserve">118. </w:t>
      </w:r>
      <w:r>
        <w:tab/>
        <w:t xml:space="preserve">Harris P, Wong E, Farrington S, Craig TR, Harrold JK, Oldanie B, Teno JM, Casarett DJ. Patterns of Functional Decline in Hospice: What Can Patients and Families Expect? </w:t>
      </w:r>
      <w:r w:rsidRPr="00B55AC2">
        <w:rPr>
          <w:lang w:val="de-CH"/>
        </w:rPr>
        <w:t xml:space="preserve">J Am Geriatr Soc 2013;61(3):413–7. </w:t>
      </w:r>
    </w:p>
    <w:p w14:paraId="06E2024F" w14:textId="77777777" w:rsidR="00B55AC2" w:rsidRDefault="00B55AC2" w:rsidP="00B55AC2">
      <w:pPr>
        <w:pStyle w:val="Bibliography"/>
      </w:pPr>
      <w:r w:rsidRPr="00B55AC2">
        <w:rPr>
          <w:lang w:val="de-CH"/>
        </w:rPr>
        <w:t xml:space="preserve">119. </w:t>
      </w:r>
      <w:r w:rsidRPr="00B55AC2">
        <w:rPr>
          <w:lang w:val="de-CH"/>
        </w:rPr>
        <w:tab/>
        <w:t xml:space="preserve">Lee SJ, Leipzig RM, Walter LC. </w:t>
      </w:r>
      <w:r>
        <w:t xml:space="preserve">Incorporating lag time to benefit into prevention decisions for older adults. JAMA 2013;310(24):2609–10. </w:t>
      </w:r>
    </w:p>
    <w:p w14:paraId="277F38B6" w14:textId="77777777" w:rsidR="00B55AC2" w:rsidRDefault="00B55AC2" w:rsidP="00B55AC2">
      <w:pPr>
        <w:pStyle w:val="Bibliography"/>
      </w:pPr>
      <w:r>
        <w:t xml:space="preserve">120. </w:t>
      </w:r>
      <w:r>
        <w:tab/>
        <w:t xml:space="preserve">Yelland LN, Salter AB, Ryan P. Performance of the modified Poisson regression approach for estimating relative risks from clustered prospective data. Am J Epidemiol 2011;174(8):984–92. </w:t>
      </w:r>
    </w:p>
    <w:p w14:paraId="56AF77CE" w14:textId="77777777" w:rsidR="00B55AC2" w:rsidRDefault="00B55AC2" w:rsidP="00B55AC2">
      <w:pPr>
        <w:pStyle w:val="Bibliography"/>
      </w:pPr>
      <w:r>
        <w:t xml:space="preserve">121. </w:t>
      </w:r>
      <w:r>
        <w:tab/>
        <w:t xml:space="preserve">Zou G, Donner A. Extension of the modified Poisson regression model to prospective studies with correlated binary data. Stat Methods Med Res 2013;22(6):661–70. </w:t>
      </w:r>
    </w:p>
    <w:p w14:paraId="249403F0" w14:textId="77777777" w:rsidR="00B55AC2" w:rsidRDefault="00B55AC2" w:rsidP="00B55AC2">
      <w:pPr>
        <w:pStyle w:val="Bibliography"/>
      </w:pPr>
      <w:r>
        <w:t xml:space="preserve">122. </w:t>
      </w:r>
      <w:r>
        <w:tab/>
        <w:t xml:space="preserve">Westreich D, Greenland S. The Table 2 Fallacy: Presenting and Interpreting Confounder and Modifier Coefficients. Am J Epidemiol 2013;177(4):292–8. </w:t>
      </w:r>
    </w:p>
    <w:p w14:paraId="5D67C974" w14:textId="77777777" w:rsidR="00B55AC2" w:rsidRDefault="00B55AC2" w:rsidP="00B55AC2">
      <w:pPr>
        <w:pStyle w:val="Bibliography"/>
      </w:pPr>
      <w:r>
        <w:t xml:space="preserve">123. </w:t>
      </w:r>
      <w:r>
        <w:tab/>
        <w:t xml:space="preserve">Kruser JM, Cox CE, Schwarze ML. Clinical Momentum in the Intensive Care Unit. A Latent Contributor to Unwanted Care. Ann Am Thorac Soc 2017;14(3):426–31. </w:t>
      </w:r>
    </w:p>
    <w:p w14:paraId="71A85AFA" w14:textId="77777777" w:rsidR="00B55AC2" w:rsidRDefault="00B55AC2" w:rsidP="00B55AC2">
      <w:pPr>
        <w:pStyle w:val="Bibliography"/>
      </w:pPr>
      <w:r>
        <w:t xml:space="preserve">124. </w:t>
      </w:r>
      <w:r>
        <w:tab/>
        <w:t xml:space="preserve">Bayliss EA, Bronsert MR, Reifler LM, Ellis JL, Steiner JF, McQuillen DB, Fairclough DL. Statin Prescribing Patterns in a Cohort of Cancer Patients with Poor Prognosis. J Palliat Med 2013;16(4):412–8. </w:t>
      </w:r>
    </w:p>
    <w:p w14:paraId="62B721FA" w14:textId="77777777" w:rsidR="00B55AC2" w:rsidRDefault="00B55AC2" w:rsidP="00B55AC2">
      <w:pPr>
        <w:pStyle w:val="Bibliography"/>
      </w:pPr>
      <w:r>
        <w:t xml:space="preserve">125. </w:t>
      </w:r>
      <w:r>
        <w:tab/>
        <w:t>CMS Review of Current Standards of Practice for Long-Term Care Pharmacy Services. [Internet]. The Lewin Group; 2004. Available from: https://www.cms.gov/Research-Statistics-Data-and-Systems/Statistics-Trends-and-</w:t>
      </w:r>
      <w:r>
        <w:lastRenderedPageBreak/>
        <w:t>Reports/Reports/downloads/lewingroup.pdf</w:t>
      </w:r>
    </w:p>
    <w:p w14:paraId="269F6916" w14:textId="77777777" w:rsidR="00B55AC2" w:rsidRDefault="00B55AC2" w:rsidP="00B55AC2">
      <w:pPr>
        <w:pStyle w:val="Bibliography"/>
      </w:pPr>
      <w:r>
        <w:t xml:space="preserve">126. </w:t>
      </w:r>
      <w:r>
        <w:tab/>
        <w:t xml:space="preserve">Chróinín DN, Chróinín CN, Beveridge A. Factors influencing deprescribing habits among geriatricians. Age Ageing 2015;44(4):704–8. </w:t>
      </w:r>
    </w:p>
    <w:p w14:paraId="4C8F2EBC" w14:textId="77777777" w:rsidR="00B55AC2" w:rsidRDefault="00B55AC2" w:rsidP="00B55AC2">
      <w:pPr>
        <w:pStyle w:val="Bibliography"/>
      </w:pPr>
      <w:r>
        <w:t xml:space="preserve">127. </w:t>
      </w:r>
      <w:r>
        <w:tab/>
        <w:t xml:space="preserve">Institute of Medicine. Dying in America: Improving Quality and Honoring Individual Preferences Near the End of Life. Washington, DC: The National Academies Press; 2015. </w:t>
      </w:r>
    </w:p>
    <w:p w14:paraId="2C00AF8D" w14:textId="77777777" w:rsidR="00B55AC2" w:rsidRDefault="00B55AC2" w:rsidP="00B55AC2">
      <w:pPr>
        <w:pStyle w:val="Bibliography"/>
      </w:pPr>
      <w:r>
        <w:t xml:space="preserve">128. </w:t>
      </w:r>
      <w:r>
        <w:tab/>
        <w:t xml:space="preserve">Burge FI, Lawson B, Critchley P, Maxwell D. Transitions in care during the end of life: changes experienced following enrolment in a comprehensive palliative care program. BMC Palliat Care 2005;4:3. </w:t>
      </w:r>
    </w:p>
    <w:p w14:paraId="315B721D" w14:textId="77777777" w:rsidR="00B55AC2" w:rsidRDefault="00B55AC2" w:rsidP="00B55AC2">
      <w:pPr>
        <w:pStyle w:val="Bibliography"/>
      </w:pPr>
      <w:r>
        <w:t xml:space="preserve">129. </w:t>
      </w:r>
      <w:r>
        <w:tab/>
        <w:t xml:space="preserve">Higginson IJ, Daveson BA, Morrison RS, Yi D, Meier D, Smith M, Ryan K, McQuillan R, Johnston BM, Normand C, BuildCARE. Social and clinical determinants of preferences and their achievement at the end of life: prospective cohort study of older adults receiving palliative care in three countries. BMC Geriatr 2017;17(1):271. </w:t>
      </w:r>
    </w:p>
    <w:p w14:paraId="1C359DBA" w14:textId="77777777" w:rsidR="00B55AC2" w:rsidRDefault="00B55AC2" w:rsidP="00B55AC2">
      <w:pPr>
        <w:pStyle w:val="Bibliography"/>
      </w:pPr>
      <w:r>
        <w:t xml:space="preserve">130. </w:t>
      </w:r>
      <w:r>
        <w:tab/>
        <w:t xml:space="preserve">Higginson IJ, Sen-Gupta GJ. Place of care in advanced cancer: a qualitative systematic literature review of patient preferences. J Palliat Med 2000;3(3):287–300. </w:t>
      </w:r>
    </w:p>
    <w:p w14:paraId="4FF09E38" w14:textId="77777777" w:rsidR="00B55AC2" w:rsidRDefault="00B55AC2" w:rsidP="00B55AC2">
      <w:pPr>
        <w:pStyle w:val="Bibliography"/>
      </w:pPr>
      <w:r>
        <w:t xml:space="preserve">131. </w:t>
      </w:r>
      <w:r>
        <w:tab/>
        <w:t xml:space="preserve">Cohen J, Pivodic L, Miccinesi G, Onwuteaka-Philipsen BD, Naylor WA, Wilson DM, Loucka M, Csikos A, Pardon K, Van den Block L, Ruiz-Ramos M, Cardenas-Turanzas M, Rhee Y, Aubry R, Hunt K, Teno J, Houttekier D, Deliens L. International study of the place of death of people with cancer: a population-level comparison of 14 countries across 4 continents using death certificate data. Br J Cancer 2015;113(9):1397–404. </w:t>
      </w:r>
    </w:p>
    <w:p w14:paraId="5CF2A648" w14:textId="77777777" w:rsidR="00B55AC2" w:rsidRPr="00B55AC2" w:rsidRDefault="00B55AC2" w:rsidP="00B55AC2">
      <w:pPr>
        <w:pStyle w:val="Bibliography"/>
        <w:rPr>
          <w:lang w:val="de-CH"/>
        </w:rPr>
      </w:pPr>
      <w:r>
        <w:t xml:space="preserve">132. </w:t>
      </w:r>
      <w:r>
        <w:tab/>
        <w:t xml:space="preserve">Wang S-Y, Aldridge MD, Gross CP, Canavan M, Cherlin E, Bradley E. End-of-Life Care Transition Patterns of Medicare Beneficiaries. </w:t>
      </w:r>
      <w:r w:rsidRPr="00B55AC2">
        <w:rPr>
          <w:lang w:val="de-CH"/>
        </w:rPr>
        <w:t xml:space="preserve">J Am Geriatr Soc 2017;65(7):1406–13. </w:t>
      </w:r>
    </w:p>
    <w:p w14:paraId="63E1ED20" w14:textId="77777777" w:rsidR="00B55AC2" w:rsidRPr="00B55AC2" w:rsidRDefault="00B55AC2" w:rsidP="00B55AC2">
      <w:pPr>
        <w:pStyle w:val="Bibliography"/>
        <w:rPr>
          <w:lang w:val="de-CH"/>
        </w:rPr>
      </w:pPr>
      <w:r w:rsidRPr="00B55AC2">
        <w:rPr>
          <w:lang w:val="de-CH"/>
        </w:rPr>
        <w:t xml:space="preserve">133. </w:t>
      </w:r>
      <w:r w:rsidRPr="00B55AC2">
        <w:rPr>
          <w:lang w:val="de-CH"/>
        </w:rPr>
        <w:tab/>
        <w:t xml:space="preserve">Obermeyer Z, Clarke AC, Makar M, Schuur JD, Cutler DM. </w:t>
      </w:r>
      <w:r>
        <w:t xml:space="preserve">Emergency Care Use and the Medicare Hospice Benefit for Individuals with Cancer with a Poor Prognosis. </w:t>
      </w:r>
      <w:r w:rsidRPr="00B55AC2">
        <w:rPr>
          <w:lang w:val="de-CH"/>
        </w:rPr>
        <w:t xml:space="preserve">J Am Geriatr Soc 2016;64(2):323–9. </w:t>
      </w:r>
    </w:p>
    <w:p w14:paraId="6D52BDB6" w14:textId="77777777" w:rsidR="00B55AC2" w:rsidRDefault="00B55AC2" w:rsidP="00B55AC2">
      <w:pPr>
        <w:pStyle w:val="Bibliography"/>
      </w:pPr>
      <w:r w:rsidRPr="00B55AC2">
        <w:rPr>
          <w:lang w:val="de-CH"/>
        </w:rPr>
        <w:t xml:space="preserve">134. </w:t>
      </w:r>
      <w:r w:rsidRPr="00B55AC2">
        <w:rPr>
          <w:lang w:val="de-CH"/>
        </w:rPr>
        <w:tab/>
        <w:t xml:space="preserve">Lee SJ, Leipzig RM, Walter LC. </w:t>
      </w:r>
      <w:r>
        <w:t xml:space="preserve">“When Will it Help?” Incorporating Lagtime to Benefit into Prevention Decisions for Older Adults. JAMA 2013;310(24):2609–10. </w:t>
      </w:r>
    </w:p>
    <w:p w14:paraId="1A44EE33" w14:textId="77777777" w:rsidR="00B55AC2" w:rsidRDefault="00B55AC2" w:rsidP="00B55AC2">
      <w:pPr>
        <w:pStyle w:val="Bibliography"/>
      </w:pPr>
      <w:r>
        <w:t xml:space="preserve">135. </w:t>
      </w:r>
      <w:r>
        <w:tab/>
        <w:t xml:space="preserve">Holmes HM, Bain KT, Zalpour A, Luo R, Bruera E, Goodwin JS. Predictors of Anticoagulation in Hospice Patients With Lung Cancer. Cancer 2010;116(20):4817–24. </w:t>
      </w:r>
    </w:p>
    <w:p w14:paraId="6172D066" w14:textId="77777777" w:rsidR="00B55AC2" w:rsidRDefault="00B55AC2" w:rsidP="00B55AC2">
      <w:pPr>
        <w:pStyle w:val="Bibliography"/>
      </w:pPr>
      <w:r>
        <w:t xml:space="preserve">136. </w:t>
      </w:r>
      <w:r>
        <w:tab/>
        <w:t xml:space="preserve">Kessler C, Williams MC, Moustoukas JN, Pappas C. Transitions of care for the geriatric patient in the emergency department. Clin Geriatr Med 2013;29(1):49–69. </w:t>
      </w:r>
    </w:p>
    <w:p w14:paraId="0CB1C9E6" w14:textId="77777777" w:rsidR="00B55AC2" w:rsidRDefault="00B55AC2" w:rsidP="00B55AC2">
      <w:pPr>
        <w:pStyle w:val="Bibliography"/>
      </w:pPr>
      <w:r>
        <w:t xml:space="preserve">137. </w:t>
      </w:r>
      <w:r>
        <w:tab/>
        <w:t xml:space="preserve">American College of Clinical Pharmacy, Hume AL, Kirwin J, Bieber HL, Couchenour RL, Hall DL, Kennedy AK, LaPointe NMA, D.O. Burkhardt C, Schilli K, Seaton T, Trujillo J, Wiggins B. Improving Care Transitions: Current Practice and Future Opportunities for Pharmacists. Pharmacotherapy 2012;32(11):e326–37. </w:t>
      </w:r>
    </w:p>
    <w:p w14:paraId="1B9B452A" w14:textId="77777777" w:rsidR="00B55AC2" w:rsidRDefault="00B55AC2" w:rsidP="00B55AC2">
      <w:pPr>
        <w:pStyle w:val="Bibliography"/>
      </w:pPr>
      <w:r>
        <w:t xml:space="preserve">138. </w:t>
      </w:r>
      <w:r>
        <w:tab/>
        <w:t xml:space="preserve">Cummings P, McKnight B. Analysis of Matched Cohort Data. Stata J 2004;4(3):274–81. </w:t>
      </w:r>
    </w:p>
    <w:p w14:paraId="2EB9101C" w14:textId="77777777" w:rsidR="00B55AC2" w:rsidRDefault="00B55AC2" w:rsidP="00B55AC2">
      <w:pPr>
        <w:pStyle w:val="Bibliography"/>
      </w:pPr>
      <w:r>
        <w:t xml:space="preserve">139. </w:t>
      </w:r>
      <w:r>
        <w:tab/>
        <w:t xml:space="preserve">Cummings P, McKnight B, Greenland S. Matched Cohort Methods for Injury Research. </w:t>
      </w:r>
      <w:r>
        <w:lastRenderedPageBreak/>
        <w:t xml:space="preserve">Epidemiol Rev 2003;25(1):43–50. </w:t>
      </w:r>
    </w:p>
    <w:p w14:paraId="0CABD053" w14:textId="77777777" w:rsidR="00B55AC2" w:rsidRDefault="00B55AC2" w:rsidP="00B55AC2">
      <w:pPr>
        <w:pStyle w:val="Bibliography"/>
      </w:pPr>
      <w:r>
        <w:t xml:space="preserve">140. </w:t>
      </w:r>
      <w:r>
        <w:tab/>
        <w:t xml:space="preserve">Forster AJ, Murff HJ, Peterson JF, Gandhi TK, Bates DW. Adverse Drug Events Occurring Following Hospital Discharge. J Gen Intern Med 2005;20(4):317–23. </w:t>
      </w:r>
    </w:p>
    <w:p w14:paraId="3663C4F0" w14:textId="77777777" w:rsidR="00B55AC2" w:rsidRDefault="00B55AC2" w:rsidP="00B55AC2">
      <w:pPr>
        <w:pStyle w:val="Bibliography"/>
      </w:pPr>
      <w:r>
        <w:t xml:space="preserve">141. </w:t>
      </w:r>
      <w:r>
        <w:tab/>
        <w:t xml:space="preserve">Forster AJ, Murff HJ, Peterson JF, Gandhi TK, Bates DW. The incidence and severity of adverse events affecting patients after discharge from the hospital. Ann Intern Med 2003;138(3):161–7. </w:t>
      </w:r>
    </w:p>
    <w:p w14:paraId="2C86FB4A" w14:textId="77777777" w:rsidR="00B55AC2" w:rsidRPr="00B55AC2" w:rsidRDefault="00B55AC2" w:rsidP="00B55AC2">
      <w:pPr>
        <w:pStyle w:val="Bibliography"/>
        <w:rPr>
          <w:lang w:val="de-CH"/>
        </w:rPr>
      </w:pPr>
      <w:r>
        <w:t xml:space="preserve">142. </w:t>
      </w:r>
      <w:r>
        <w:tab/>
        <w:t xml:space="preserve">Frankenthal D, Lerman Y, Lerman Y. The impact of hospitalization on potentially inappropriate prescribing in an acute medical geriatric division. </w:t>
      </w:r>
      <w:r w:rsidRPr="00B55AC2">
        <w:rPr>
          <w:lang w:val="de-CH"/>
        </w:rPr>
        <w:t xml:space="preserve">Int J Clin Pharm 2015;37(1):60–7. </w:t>
      </w:r>
    </w:p>
    <w:p w14:paraId="51630007" w14:textId="77777777" w:rsidR="00B55AC2" w:rsidRDefault="00B55AC2" w:rsidP="00B55AC2">
      <w:pPr>
        <w:pStyle w:val="Bibliography"/>
      </w:pPr>
      <w:r w:rsidRPr="00B55AC2">
        <w:rPr>
          <w:lang w:val="de-CH"/>
        </w:rPr>
        <w:t xml:space="preserve">143. </w:t>
      </w:r>
      <w:r w:rsidRPr="00B55AC2">
        <w:rPr>
          <w:lang w:val="de-CH"/>
        </w:rPr>
        <w:tab/>
        <w:t xml:space="preserve">Cwinn MA, Forster AJ, Cwinn AA, Hebert G, Calder L, Stiell. </w:t>
      </w:r>
      <w:r>
        <w:t xml:space="preserve">Prevalence of information gaps for seniors transferred from nursing homes to the emergency department. CJEM 2009;11(5):462–70. </w:t>
      </w:r>
    </w:p>
    <w:p w14:paraId="5E04E495" w14:textId="77777777" w:rsidR="00B55AC2" w:rsidRDefault="00B55AC2" w:rsidP="00B55AC2">
      <w:pPr>
        <w:pStyle w:val="Bibliography"/>
      </w:pPr>
      <w:r>
        <w:t xml:space="preserve">144. </w:t>
      </w:r>
      <w:r>
        <w:tab/>
        <w:t xml:space="preserve">Johnson A, Guirguis E, Grace Y. Preventing medication errors in transitions of care: A patient case approach. J Am Pharm Assoc 2015;55(2):e264-274. </w:t>
      </w:r>
    </w:p>
    <w:p w14:paraId="7CC21260" w14:textId="77777777" w:rsidR="00B55AC2" w:rsidRDefault="00B55AC2" w:rsidP="00B55AC2">
      <w:pPr>
        <w:pStyle w:val="Bibliography"/>
      </w:pPr>
      <w:r>
        <w:t xml:space="preserve">145. </w:t>
      </w:r>
      <w:r>
        <w:tab/>
        <w:t xml:space="preserve">Sinvani LD, Beizer J, Akerman M, Pekmezaris R, Nouryan C, Lutsky L, Cal C, Dlugacz Y, Masick K, Wolf-Klein G. Medication reconciliation in continuum of care transitions: a moving target. J Am Med Dir Assoc 2013;14(9):668–72. </w:t>
      </w:r>
    </w:p>
    <w:p w14:paraId="3C47DC72" w14:textId="77777777" w:rsidR="00B55AC2" w:rsidRDefault="00B55AC2" w:rsidP="00B55AC2">
      <w:pPr>
        <w:pStyle w:val="Bibliography"/>
      </w:pPr>
      <w:r>
        <w:t xml:space="preserve">146. </w:t>
      </w:r>
      <w:r>
        <w:tab/>
        <w:t xml:space="preserve">Willmott L, White B, Gallois C, Parker M, Graves N, Winch S, Callaway LK, Shepherd N, Close E. Reasons doctors provide futile treatment at the end of life: a qualitative study. J Med Ethics 2016;42(8):496–503. </w:t>
      </w:r>
    </w:p>
    <w:p w14:paraId="2BE0C6B9" w14:textId="77777777" w:rsidR="00B55AC2" w:rsidRDefault="00B55AC2" w:rsidP="00B55AC2">
      <w:pPr>
        <w:pStyle w:val="Bibliography"/>
      </w:pPr>
      <w:r>
        <w:t xml:space="preserve">147. </w:t>
      </w:r>
      <w:r>
        <w:tab/>
        <w:t xml:space="preserve">Olsen ML, Bartlett AL, Moynihan TJ. Characterizing care of hospice patients in the hospital setting. J Palliat Med 2011;14(2):185–9. </w:t>
      </w:r>
    </w:p>
    <w:p w14:paraId="693481B8" w14:textId="77777777" w:rsidR="00B55AC2" w:rsidRDefault="00B55AC2" w:rsidP="00B55AC2">
      <w:pPr>
        <w:pStyle w:val="Bibliography"/>
      </w:pPr>
      <w:r>
        <w:t xml:space="preserve">148. </w:t>
      </w:r>
      <w:r>
        <w:tab/>
        <w:t xml:space="preserve">Afrane M, Sera L, Holmes HM, McPherson ML. Commonly Prescribed Medications Among Patients in Hospice Care for Chronic Obstructive Pulmonary Disease. Am J Hosp Palliat Care 2016;33(7):638–43. </w:t>
      </w:r>
    </w:p>
    <w:p w14:paraId="1E6159DF" w14:textId="77777777" w:rsidR="00B55AC2" w:rsidRDefault="00B55AC2" w:rsidP="00B55AC2">
      <w:pPr>
        <w:pStyle w:val="Bibliography"/>
      </w:pPr>
      <w:r>
        <w:t xml:space="preserve">149. </w:t>
      </w:r>
      <w:r>
        <w:tab/>
        <w:t xml:space="preserve">Weschules DJ, Maxwell TL, Shega JW. Acetylcholinesterase Inhibitor and N-Methyl--Aspartic Acid Receptor Antagonist Use among Hospice Enrollees with a Primary Diagnosis of Dementia. J Palliat Med 2008;11(5):738–45. </w:t>
      </w:r>
    </w:p>
    <w:p w14:paraId="17C17450" w14:textId="77777777" w:rsidR="00B55AC2" w:rsidRDefault="00B55AC2" w:rsidP="00B55AC2">
      <w:pPr>
        <w:pStyle w:val="Bibliography"/>
      </w:pPr>
      <w:r>
        <w:t xml:space="preserve">150. </w:t>
      </w:r>
      <w:r>
        <w:tab/>
        <w:t xml:space="preserve">Novak RL, Noble BN, Fromme EK, Tice MO, McGregor JC, Furuno JP. Antibiotic Policies and Utilization in Oregon Hospice Programs. Am J Hosp Palliat Care 2016;33(8):777–81. </w:t>
      </w:r>
    </w:p>
    <w:p w14:paraId="7397F2A8" w14:textId="77777777" w:rsidR="00B55AC2" w:rsidRDefault="00B55AC2" w:rsidP="00B55AC2">
      <w:pPr>
        <w:pStyle w:val="Bibliography"/>
      </w:pPr>
      <w:r>
        <w:t xml:space="preserve">151. </w:t>
      </w:r>
      <w:r>
        <w:tab/>
        <w:t xml:space="preserve">Albrecht JS, McGregor JC, Fromme EK, Bearden DT, Furuno JP. A Nationwide Analysis of Antibiotic Use in Hospice Care in the Final Week of Life. J Pain Symptom Manage 2013;46(4):483–90. </w:t>
      </w:r>
    </w:p>
    <w:p w14:paraId="0BC2DCD5" w14:textId="27450FD1" w:rsidR="00576244" w:rsidRPr="00782E92" w:rsidRDefault="00576244" w:rsidP="00782E92">
      <w:r>
        <w:fldChar w:fldCharType="end"/>
      </w:r>
    </w:p>
    <w:p w14:paraId="462506F4" w14:textId="77777777" w:rsidR="00303748" w:rsidRPr="00782E92" w:rsidRDefault="00303748" w:rsidP="00782E92"/>
    <w:p w14:paraId="4D9E9066" w14:textId="4932F350" w:rsidR="00B10696" w:rsidRDefault="00B10696" w:rsidP="00B10696">
      <w:pPr>
        <w:pStyle w:val="Style1"/>
        <w:jc w:val="center"/>
      </w:pPr>
      <w:bookmarkStart w:id="146" w:name="_Toc507326079"/>
      <w:r w:rsidRPr="00DF3833">
        <w:lastRenderedPageBreak/>
        <w:t>VII. APPENDI</w:t>
      </w:r>
      <w:r w:rsidR="00303748">
        <w:t>X</w:t>
      </w:r>
      <w:bookmarkEnd w:id="146"/>
    </w:p>
    <w:p w14:paraId="05FE676E" w14:textId="14B2CFE3" w:rsidR="00CD7604" w:rsidRDefault="00CD7604" w:rsidP="00CD7604">
      <w:r>
        <w:t>Copyright permission for reuse of manuscript comprising Chapter 2 of this dissertation</w:t>
      </w:r>
    </w:p>
    <w:p w14:paraId="138FD823" w14:textId="023C2EEF" w:rsidR="00303748" w:rsidRPr="00020FBF" w:rsidRDefault="00CD7604" w:rsidP="00020FBF">
      <w:r>
        <w:rPr>
          <w:noProof/>
        </w:rPr>
        <w:drawing>
          <wp:inline distT="0" distB="0" distL="0" distR="0" wp14:anchorId="35CC8300" wp14:editId="13948D14">
            <wp:extent cx="5772150" cy="7315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81466" cy="7327562"/>
                    </a:xfrm>
                    <a:prstGeom prst="rect">
                      <a:avLst/>
                    </a:prstGeom>
                  </pic:spPr>
                </pic:pic>
              </a:graphicData>
            </a:graphic>
          </wp:inline>
        </w:drawing>
      </w:r>
    </w:p>
    <w:p w14:paraId="226F4BB1" w14:textId="77777777" w:rsidR="00A515F8" w:rsidRDefault="00B10696" w:rsidP="00B10696">
      <w:pPr>
        <w:pStyle w:val="Style1"/>
        <w:jc w:val="center"/>
      </w:pPr>
      <w:bookmarkStart w:id="147" w:name="_Toc507326080"/>
      <w:r w:rsidRPr="00DF3833">
        <w:lastRenderedPageBreak/>
        <w:t>VIII. VITA</w:t>
      </w:r>
      <w:bookmarkEnd w:id="1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A515F8" w14:paraId="3448A54A" w14:textId="77777777" w:rsidTr="00402C46">
        <w:tc>
          <w:tcPr>
            <w:tcW w:w="2065" w:type="dxa"/>
          </w:tcPr>
          <w:p w14:paraId="35B3E571" w14:textId="68846780" w:rsidR="00A515F8" w:rsidRDefault="00A515F8" w:rsidP="005E37BA">
            <w:pPr>
              <w:spacing w:after="0" w:line="240" w:lineRule="auto"/>
            </w:pPr>
            <w:r>
              <w:t>NAME</w:t>
            </w:r>
          </w:p>
        </w:tc>
        <w:tc>
          <w:tcPr>
            <w:tcW w:w="7285" w:type="dxa"/>
          </w:tcPr>
          <w:p w14:paraId="253F0CBB" w14:textId="77777777" w:rsidR="00A515F8" w:rsidRDefault="005E37BA" w:rsidP="005E37BA">
            <w:pPr>
              <w:spacing w:after="0" w:line="240" w:lineRule="auto"/>
            </w:pPr>
            <w:r>
              <w:t>Patrick M. Zueger</w:t>
            </w:r>
          </w:p>
          <w:p w14:paraId="5175EE6D" w14:textId="1C741186" w:rsidR="00FF6454" w:rsidRDefault="00FF6454" w:rsidP="005E37BA">
            <w:pPr>
              <w:spacing w:after="0" w:line="240" w:lineRule="auto"/>
            </w:pPr>
          </w:p>
        </w:tc>
      </w:tr>
      <w:tr w:rsidR="00A515F8" w14:paraId="318F5662" w14:textId="77777777" w:rsidTr="00402C46">
        <w:tc>
          <w:tcPr>
            <w:tcW w:w="2065" w:type="dxa"/>
          </w:tcPr>
          <w:p w14:paraId="61F9CB9E" w14:textId="3A83944F" w:rsidR="00A515F8" w:rsidRDefault="00A515F8" w:rsidP="005E37BA">
            <w:pPr>
              <w:spacing w:after="0" w:line="240" w:lineRule="auto"/>
            </w:pPr>
            <w:r>
              <w:t>EDUCATION</w:t>
            </w:r>
          </w:p>
        </w:tc>
        <w:tc>
          <w:tcPr>
            <w:tcW w:w="7285" w:type="dxa"/>
          </w:tcPr>
          <w:p w14:paraId="28BCA889" w14:textId="77777777" w:rsidR="00A515F8" w:rsidRDefault="005E37BA" w:rsidP="00FF6454">
            <w:pPr>
              <w:spacing w:after="0" w:line="240" w:lineRule="auto"/>
            </w:pPr>
            <w:r>
              <w:t>B.S., Chemistry, University of Illinois at Urbana-Champaign, Urbana-Champaign, Illinois, 2009</w:t>
            </w:r>
          </w:p>
          <w:p w14:paraId="7B844290" w14:textId="77777777" w:rsidR="005E37BA" w:rsidRDefault="005E37BA" w:rsidP="00FF6454">
            <w:pPr>
              <w:spacing w:after="0" w:line="240" w:lineRule="auto"/>
            </w:pPr>
          </w:p>
          <w:p w14:paraId="5EA1AB89" w14:textId="3B2A5AB6" w:rsidR="005E37BA" w:rsidRDefault="005E37BA" w:rsidP="00FF6454">
            <w:pPr>
              <w:spacing w:after="0" w:line="240" w:lineRule="auto"/>
            </w:pPr>
            <w:r>
              <w:t>Pharm.D., Pharmacy, University of Illinois at Chicago, Chicago, Illinois, 2013</w:t>
            </w:r>
          </w:p>
          <w:p w14:paraId="1BFA7677" w14:textId="77777777" w:rsidR="005E37BA" w:rsidRDefault="005E37BA" w:rsidP="00FF6454">
            <w:pPr>
              <w:spacing w:after="0" w:line="240" w:lineRule="auto"/>
            </w:pPr>
          </w:p>
          <w:p w14:paraId="05FE9473" w14:textId="77777777" w:rsidR="005E37BA" w:rsidRDefault="005E37BA" w:rsidP="00FF6454">
            <w:pPr>
              <w:spacing w:after="0" w:line="240" w:lineRule="auto"/>
            </w:pPr>
            <w:r>
              <w:t>Ph.D., Pharmacy, University of Illinois at Chicago, Chicago, Illinois, 2018</w:t>
            </w:r>
          </w:p>
          <w:p w14:paraId="47054E08" w14:textId="32E27B96" w:rsidR="00FF6454" w:rsidRDefault="00FF6454" w:rsidP="00FF6454">
            <w:pPr>
              <w:spacing w:after="0" w:line="240" w:lineRule="auto"/>
            </w:pPr>
          </w:p>
        </w:tc>
      </w:tr>
      <w:tr w:rsidR="00FF6454" w14:paraId="67596A02" w14:textId="77777777" w:rsidTr="00402C46">
        <w:tc>
          <w:tcPr>
            <w:tcW w:w="2065" w:type="dxa"/>
          </w:tcPr>
          <w:p w14:paraId="7B5563C0" w14:textId="6C44B17B" w:rsidR="00FF6454" w:rsidRDefault="00FF6454" w:rsidP="005E37BA">
            <w:pPr>
              <w:spacing w:after="0" w:line="240" w:lineRule="auto"/>
            </w:pPr>
            <w:r>
              <w:t>RESEARCH AND PROFESSIONAL EXPERIENCE</w:t>
            </w:r>
          </w:p>
        </w:tc>
        <w:tc>
          <w:tcPr>
            <w:tcW w:w="7285" w:type="dxa"/>
          </w:tcPr>
          <w:p w14:paraId="2E253077" w14:textId="606D9DC1" w:rsidR="00000B6A" w:rsidRDefault="00000B6A" w:rsidP="00FF6454">
            <w:pPr>
              <w:spacing w:after="0" w:line="240" w:lineRule="auto"/>
            </w:pPr>
            <w:r>
              <w:t>Long-Term Care Pharmacist, Pharmerica Corp., Bensenville, Illinois, 2013-present</w:t>
            </w:r>
          </w:p>
          <w:p w14:paraId="63C11DDE" w14:textId="77777777" w:rsidR="00000B6A" w:rsidRDefault="00000B6A" w:rsidP="00FF6454">
            <w:pPr>
              <w:spacing w:after="0" w:line="240" w:lineRule="auto"/>
            </w:pPr>
          </w:p>
          <w:p w14:paraId="6554FB41" w14:textId="77777777" w:rsidR="00FF6454" w:rsidRDefault="00000B6A" w:rsidP="00FF6454">
            <w:pPr>
              <w:spacing w:after="0" w:line="240" w:lineRule="auto"/>
            </w:pPr>
            <w:r>
              <w:t>Research Assistant, University of Illinois at Chicago, Chicago, Illinois, 2015-2016</w:t>
            </w:r>
          </w:p>
          <w:p w14:paraId="0837DF68" w14:textId="77777777" w:rsidR="00000B6A" w:rsidRDefault="00000B6A" w:rsidP="00FF6454">
            <w:pPr>
              <w:spacing w:after="0" w:line="240" w:lineRule="auto"/>
            </w:pPr>
          </w:p>
          <w:p w14:paraId="6849E3B5" w14:textId="77777777" w:rsidR="00000B6A" w:rsidRDefault="00000B6A" w:rsidP="00FF6454">
            <w:pPr>
              <w:spacing w:after="0" w:line="240" w:lineRule="auto"/>
            </w:pPr>
            <w:r>
              <w:t>Pharmacoepidemiologist, Astellas Pharma Inc., Northbrook, Illinois, 2015-2016</w:t>
            </w:r>
          </w:p>
          <w:p w14:paraId="5C372042" w14:textId="77777777" w:rsidR="00D977F9" w:rsidRDefault="00D977F9" w:rsidP="00FF6454">
            <w:pPr>
              <w:spacing w:after="0" w:line="240" w:lineRule="auto"/>
            </w:pPr>
          </w:p>
          <w:p w14:paraId="49DD6FA6" w14:textId="5C4BF4F3" w:rsidR="00D977F9" w:rsidRDefault="00D977F9" w:rsidP="00FF6454">
            <w:pPr>
              <w:spacing w:after="0" w:line="240" w:lineRule="auto"/>
            </w:pPr>
            <w:r>
              <w:t>Research Associate, University of Illinois at Chicago Outpatient Care Center, Chicago, Illinois, 2010-2013</w:t>
            </w:r>
          </w:p>
          <w:p w14:paraId="75B18B7D" w14:textId="77777777" w:rsidR="00000B6A" w:rsidRDefault="00000B6A" w:rsidP="00FF6454">
            <w:pPr>
              <w:spacing w:after="0" w:line="240" w:lineRule="auto"/>
            </w:pPr>
          </w:p>
          <w:p w14:paraId="37413A77" w14:textId="77777777" w:rsidR="00000B6A" w:rsidRDefault="00000B6A" w:rsidP="00FF6454">
            <w:pPr>
              <w:spacing w:after="0" w:line="240" w:lineRule="auto"/>
            </w:pPr>
            <w:r>
              <w:t>Health Economics and Outcomes Research Associate, Russell Becker Consulting, Chicago, Illinois, 2012-2013</w:t>
            </w:r>
          </w:p>
          <w:p w14:paraId="4FEA873B" w14:textId="77777777" w:rsidR="00000B6A" w:rsidRDefault="00000B6A" w:rsidP="00FF6454">
            <w:pPr>
              <w:spacing w:after="0" w:line="240" w:lineRule="auto"/>
            </w:pPr>
          </w:p>
          <w:p w14:paraId="7352D226" w14:textId="77777777" w:rsidR="00000B6A" w:rsidRDefault="00000B6A" w:rsidP="00FF6454">
            <w:pPr>
              <w:spacing w:after="0" w:line="240" w:lineRule="auto"/>
            </w:pPr>
            <w:r>
              <w:t>Editor, American Journal Experts, Durham, North Carolina, 2012-2013</w:t>
            </w:r>
          </w:p>
          <w:p w14:paraId="15E0ACFF" w14:textId="6EC59D01" w:rsidR="00000B6A" w:rsidRDefault="00000B6A" w:rsidP="00FF6454">
            <w:pPr>
              <w:spacing w:after="0" w:line="240" w:lineRule="auto"/>
            </w:pPr>
          </w:p>
        </w:tc>
      </w:tr>
      <w:tr w:rsidR="00A515F8" w14:paraId="0A5CAFE1" w14:textId="77777777" w:rsidTr="00402C46">
        <w:trPr>
          <w:trHeight w:val="666"/>
        </w:trPr>
        <w:tc>
          <w:tcPr>
            <w:tcW w:w="2065" w:type="dxa"/>
          </w:tcPr>
          <w:p w14:paraId="62F1C065" w14:textId="4B54F557" w:rsidR="00A515F8" w:rsidRDefault="00A515F8" w:rsidP="005E37BA">
            <w:pPr>
              <w:spacing w:after="0" w:line="240" w:lineRule="auto"/>
            </w:pPr>
            <w:r>
              <w:t>HONORS</w:t>
            </w:r>
            <w:r w:rsidR="00E23927">
              <w:t xml:space="preserve"> AND AWARDS</w:t>
            </w:r>
          </w:p>
        </w:tc>
        <w:tc>
          <w:tcPr>
            <w:tcW w:w="7285" w:type="dxa"/>
          </w:tcPr>
          <w:p w14:paraId="03162E13" w14:textId="0D89273B" w:rsidR="00376B95" w:rsidRDefault="00376B95" w:rsidP="005E37BA">
            <w:pPr>
              <w:spacing w:after="0" w:line="240" w:lineRule="auto"/>
            </w:pPr>
            <w:r>
              <w:t>Paul D. Doolen Scholarship for the Study of Aging, University of Illinois, 2016</w:t>
            </w:r>
            <w:r w:rsidR="00D200E8">
              <w:t>-2017</w:t>
            </w:r>
          </w:p>
          <w:p w14:paraId="04F24947" w14:textId="77777777" w:rsidR="00376B95" w:rsidRDefault="00376B95" w:rsidP="005E37BA">
            <w:pPr>
              <w:spacing w:after="0" w:line="240" w:lineRule="auto"/>
            </w:pPr>
          </w:p>
          <w:p w14:paraId="317AF56A" w14:textId="7CF63CD8" w:rsidR="00376B95" w:rsidRDefault="00376B95" w:rsidP="005E37BA">
            <w:pPr>
              <w:spacing w:after="0" w:line="240" w:lineRule="auto"/>
            </w:pPr>
            <w:r>
              <w:t>Dean’s Scholar Fellowship, University of Illinois at Chicago, 2016</w:t>
            </w:r>
            <w:r w:rsidR="00D200E8">
              <w:t>-2017</w:t>
            </w:r>
          </w:p>
          <w:p w14:paraId="29C0C5B7" w14:textId="77777777" w:rsidR="00376B95" w:rsidRDefault="00376B95" w:rsidP="005E37BA">
            <w:pPr>
              <w:spacing w:after="0" w:line="240" w:lineRule="auto"/>
            </w:pPr>
          </w:p>
          <w:p w14:paraId="1291A997" w14:textId="77777777" w:rsidR="005E37BA" w:rsidRDefault="00E23927" w:rsidP="005E37BA">
            <w:pPr>
              <w:spacing w:after="0" w:line="240" w:lineRule="auto"/>
            </w:pPr>
            <w:r>
              <w:t>W.E. Van Doren</w:t>
            </w:r>
            <w:r w:rsidR="00376B95">
              <w:t xml:space="preserve"> Scholarship, University of Illinois at Chicago, 2016</w:t>
            </w:r>
          </w:p>
          <w:p w14:paraId="7C9F882E" w14:textId="77777777" w:rsidR="00E97792" w:rsidRDefault="00E97792" w:rsidP="005E37BA">
            <w:pPr>
              <w:spacing w:after="0" w:line="240" w:lineRule="auto"/>
            </w:pPr>
          </w:p>
          <w:p w14:paraId="0F385A67" w14:textId="3D46BF8B" w:rsidR="00E97792" w:rsidRDefault="00E97792" w:rsidP="005E37BA">
            <w:pPr>
              <w:spacing w:after="0" w:line="240" w:lineRule="auto"/>
            </w:pPr>
            <w:r>
              <w:t>Pharmacoepidemiology and Pharmacovigilance Graduate Research Fellowship, University of Illinois at Chicago and Astellas Pharma</w:t>
            </w:r>
            <w:r w:rsidR="00000B6A">
              <w:t xml:space="preserve"> Inc.</w:t>
            </w:r>
            <w:r>
              <w:t>, 2013-2015</w:t>
            </w:r>
          </w:p>
          <w:p w14:paraId="6F6ED7E0" w14:textId="1FCDB3E4" w:rsidR="00FF6454" w:rsidRDefault="00FF6454" w:rsidP="005E37BA">
            <w:pPr>
              <w:spacing w:after="0" w:line="240" w:lineRule="auto"/>
            </w:pPr>
          </w:p>
        </w:tc>
      </w:tr>
      <w:tr w:rsidR="005E37BA" w14:paraId="1E306D4E" w14:textId="77777777" w:rsidTr="00402C46">
        <w:trPr>
          <w:trHeight w:val="666"/>
        </w:trPr>
        <w:tc>
          <w:tcPr>
            <w:tcW w:w="2065" w:type="dxa"/>
          </w:tcPr>
          <w:p w14:paraId="20D3F5D3" w14:textId="636DB719" w:rsidR="005E37BA" w:rsidRDefault="005E37BA" w:rsidP="005E37BA">
            <w:pPr>
              <w:spacing w:after="0" w:line="240" w:lineRule="auto"/>
            </w:pPr>
            <w:r>
              <w:t>PROFESSIONAL MEMBERSHIP</w:t>
            </w:r>
          </w:p>
        </w:tc>
        <w:tc>
          <w:tcPr>
            <w:tcW w:w="7285" w:type="dxa"/>
          </w:tcPr>
          <w:p w14:paraId="5D086F40" w14:textId="77777777" w:rsidR="005E37BA" w:rsidRPr="005E37BA" w:rsidRDefault="005E37BA" w:rsidP="005E37BA">
            <w:pPr>
              <w:spacing w:after="0" w:line="240" w:lineRule="auto"/>
            </w:pPr>
            <w:r w:rsidRPr="005E37BA">
              <w:t>International Society for Pharmacoepidemiology</w:t>
            </w:r>
          </w:p>
          <w:p w14:paraId="27A0E06A" w14:textId="77777777" w:rsidR="005E37BA" w:rsidRPr="005E37BA" w:rsidRDefault="005E37BA" w:rsidP="005E37BA">
            <w:pPr>
              <w:spacing w:after="0" w:line="240" w:lineRule="auto"/>
            </w:pPr>
          </w:p>
          <w:p w14:paraId="472674B2" w14:textId="7DAAE373" w:rsidR="005E37BA" w:rsidRPr="005E37BA" w:rsidRDefault="005E37BA" w:rsidP="005E37BA">
            <w:pPr>
              <w:spacing w:after="0" w:line="240" w:lineRule="auto"/>
              <w:rPr>
                <w:rFonts w:eastAsia="Calibri"/>
                <w:bCs/>
              </w:rPr>
            </w:pPr>
            <w:r w:rsidRPr="005E37BA">
              <w:rPr>
                <w:rFonts w:eastAsia="Calibri"/>
                <w:bCs/>
                <w:spacing w:val="1"/>
              </w:rPr>
              <w:t>I</w:t>
            </w:r>
            <w:r w:rsidRPr="005E37BA">
              <w:rPr>
                <w:rFonts w:eastAsia="Calibri"/>
                <w:bCs/>
                <w:spacing w:val="-1"/>
              </w:rPr>
              <w:t>n</w:t>
            </w:r>
            <w:r w:rsidRPr="005E37BA">
              <w:rPr>
                <w:rFonts w:eastAsia="Calibri"/>
                <w:bCs/>
              </w:rPr>
              <w:t>t</w:t>
            </w:r>
            <w:r w:rsidRPr="005E37BA">
              <w:rPr>
                <w:rFonts w:eastAsia="Calibri"/>
                <w:bCs/>
                <w:spacing w:val="-3"/>
              </w:rPr>
              <w:t>e</w:t>
            </w:r>
            <w:r w:rsidRPr="005E37BA">
              <w:rPr>
                <w:rFonts w:eastAsia="Calibri"/>
                <w:bCs/>
                <w:spacing w:val="1"/>
              </w:rPr>
              <w:t>r</w:t>
            </w:r>
            <w:r w:rsidRPr="005E37BA">
              <w:rPr>
                <w:rFonts w:eastAsia="Calibri"/>
                <w:bCs/>
                <w:spacing w:val="-1"/>
              </w:rPr>
              <w:t>na</w:t>
            </w:r>
            <w:r w:rsidRPr="005E37BA">
              <w:rPr>
                <w:rFonts w:eastAsia="Calibri"/>
                <w:bCs/>
              </w:rPr>
              <w:t>t</w:t>
            </w:r>
            <w:r w:rsidRPr="005E37BA">
              <w:rPr>
                <w:rFonts w:eastAsia="Calibri"/>
                <w:bCs/>
                <w:spacing w:val="1"/>
              </w:rPr>
              <w:t>i</w:t>
            </w:r>
            <w:r w:rsidRPr="005E37BA">
              <w:rPr>
                <w:rFonts w:eastAsia="Calibri"/>
                <w:bCs/>
                <w:spacing w:val="-1"/>
              </w:rPr>
              <w:t>ona</w:t>
            </w:r>
            <w:r w:rsidRPr="005E37BA">
              <w:rPr>
                <w:rFonts w:eastAsia="Calibri"/>
                <w:bCs/>
              </w:rPr>
              <w:t>l</w:t>
            </w:r>
            <w:r w:rsidRPr="005E37BA">
              <w:rPr>
                <w:rFonts w:eastAsia="Calibri"/>
                <w:bCs/>
                <w:spacing w:val="2"/>
              </w:rPr>
              <w:t xml:space="preserve"> </w:t>
            </w:r>
            <w:r w:rsidRPr="005E37BA">
              <w:rPr>
                <w:rFonts w:eastAsia="Calibri"/>
                <w:bCs/>
                <w:spacing w:val="-1"/>
              </w:rPr>
              <w:t>So</w:t>
            </w:r>
            <w:r w:rsidRPr="005E37BA">
              <w:rPr>
                <w:rFonts w:eastAsia="Calibri"/>
                <w:bCs/>
                <w:spacing w:val="1"/>
              </w:rPr>
              <w:t>ci</w:t>
            </w:r>
            <w:r w:rsidRPr="005E37BA">
              <w:rPr>
                <w:rFonts w:eastAsia="Calibri"/>
                <w:bCs/>
                <w:spacing w:val="-1"/>
              </w:rPr>
              <w:t>e</w:t>
            </w:r>
            <w:r w:rsidRPr="005E37BA">
              <w:rPr>
                <w:rFonts w:eastAsia="Calibri"/>
                <w:bCs/>
                <w:spacing w:val="-2"/>
              </w:rPr>
              <w:t>t</w:t>
            </w:r>
            <w:r w:rsidRPr="005E37BA">
              <w:rPr>
                <w:rFonts w:eastAsia="Calibri"/>
                <w:bCs/>
              </w:rPr>
              <w:t>y</w:t>
            </w:r>
            <w:r w:rsidRPr="005E37BA">
              <w:rPr>
                <w:rFonts w:eastAsia="Calibri"/>
                <w:bCs/>
                <w:spacing w:val="2"/>
              </w:rPr>
              <w:t xml:space="preserve"> </w:t>
            </w:r>
            <w:r w:rsidRPr="005E37BA">
              <w:rPr>
                <w:rFonts w:eastAsia="Calibri"/>
                <w:bCs/>
              </w:rPr>
              <w:t>f</w:t>
            </w:r>
            <w:r w:rsidRPr="005E37BA">
              <w:rPr>
                <w:rFonts w:eastAsia="Calibri"/>
                <w:bCs/>
                <w:spacing w:val="-1"/>
              </w:rPr>
              <w:t>o</w:t>
            </w:r>
            <w:r w:rsidRPr="005E37BA">
              <w:rPr>
                <w:rFonts w:eastAsia="Calibri"/>
                <w:bCs/>
              </w:rPr>
              <w:t>r</w:t>
            </w:r>
            <w:r w:rsidRPr="005E37BA">
              <w:rPr>
                <w:rFonts w:eastAsia="Calibri"/>
                <w:bCs/>
                <w:spacing w:val="-1"/>
              </w:rPr>
              <w:t xml:space="preserve"> </w:t>
            </w:r>
            <w:r w:rsidRPr="005E37BA">
              <w:rPr>
                <w:rFonts w:eastAsia="Calibri"/>
                <w:bCs/>
              </w:rPr>
              <w:t>P</w:t>
            </w:r>
            <w:r w:rsidRPr="005E37BA">
              <w:rPr>
                <w:rFonts w:eastAsia="Calibri"/>
                <w:bCs/>
                <w:spacing w:val="-1"/>
              </w:rPr>
              <w:t>ha</w:t>
            </w:r>
            <w:r w:rsidRPr="005E37BA">
              <w:rPr>
                <w:rFonts w:eastAsia="Calibri"/>
                <w:bCs/>
                <w:spacing w:val="-2"/>
              </w:rPr>
              <w:t>r</w:t>
            </w:r>
            <w:r w:rsidRPr="005E37BA">
              <w:rPr>
                <w:rFonts w:eastAsia="Calibri"/>
                <w:bCs/>
              </w:rPr>
              <w:t>m</w:t>
            </w:r>
            <w:r w:rsidRPr="005E37BA">
              <w:rPr>
                <w:rFonts w:eastAsia="Calibri"/>
                <w:bCs/>
                <w:spacing w:val="-1"/>
              </w:rPr>
              <w:t>a</w:t>
            </w:r>
            <w:r w:rsidRPr="005E37BA">
              <w:rPr>
                <w:rFonts w:eastAsia="Calibri"/>
                <w:bCs/>
                <w:spacing w:val="1"/>
              </w:rPr>
              <w:t>c</w:t>
            </w:r>
            <w:r w:rsidRPr="005E37BA">
              <w:rPr>
                <w:rFonts w:eastAsia="Calibri"/>
                <w:bCs/>
                <w:spacing w:val="-1"/>
              </w:rPr>
              <w:t>oe</w:t>
            </w:r>
            <w:r w:rsidRPr="005E37BA">
              <w:rPr>
                <w:rFonts w:eastAsia="Calibri"/>
                <w:bCs/>
                <w:spacing w:val="1"/>
              </w:rPr>
              <w:t>c</w:t>
            </w:r>
            <w:r w:rsidRPr="005E37BA">
              <w:rPr>
                <w:rFonts w:eastAsia="Calibri"/>
                <w:bCs/>
                <w:spacing w:val="-1"/>
              </w:rPr>
              <w:t>ono</w:t>
            </w:r>
            <w:r w:rsidRPr="005E37BA">
              <w:rPr>
                <w:rFonts w:eastAsia="Calibri"/>
                <w:bCs/>
              </w:rPr>
              <w:t>m</w:t>
            </w:r>
            <w:r w:rsidRPr="005E37BA">
              <w:rPr>
                <w:rFonts w:eastAsia="Calibri"/>
                <w:bCs/>
                <w:spacing w:val="-1"/>
              </w:rPr>
              <w:t>i</w:t>
            </w:r>
            <w:r w:rsidRPr="005E37BA">
              <w:rPr>
                <w:rFonts w:eastAsia="Calibri"/>
                <w:bCs/>
                <w:spacing w:val="1"/>
              </w:rPr>
              <w:t>c</w:t>
            </w:r>
            <w:r w:rsidRPr="005E37BA">
              <w:rPr>
                <w:rFonts w:eastAsia="Calibri"/>
                <w:bCs/>
              </w:rPr>
              <w:t>s</w:t>
            </w:r>
            <w:r w:rsidRPr="005E37BA">
              <w:rPr>
                <w:rFonts w:eastAsia="Calibri"/>
                <w:bCs/>
                <w:spacing w:val="-1"/>
              </w:rPr>
              <w:t xml:space="preserve"> an</w:t>
            </w:r>
            <w:r w:rsidRPr="005E37BA">
              <w:rPr>
                <w:rFonts w:eastAsia="Calibri"/>
                <w:bCs/>
              </w:rPr>
              <w:t xml:space="preserve">d </w:t>
            </w:r>
            <w:r w:rsidRPr="005E37BA">
              <w:rPr>
                <w:rFonts w:eastAsia="Calibri"/>
                <w:bCs/>
                <w:spacing w:val="-1"/>
              </w:rPr>
              <w:t>Ou</w:t>
            </w:r>
            <w:r w:rsidRPr="005E37BA">
              <w:rPr>
                <w:rFonts w:eastAsia="Calibri"/>
                <w:bCs/>
              </w:rPr>
              <w:t>t</w:t>
            </w:r>
            <w:r w:rsidRPr="005E37BA">
              <w:rPr>
                <w:rFonts w:eastAsia="Calibri"/>
                <w:bCs/>
                <w:spacing w:val="-1"/>
              </w:rPr>
              <w:t>co</w:t>
            </w:r>
            <w:r w:rsidRPr="005E37BA">
              <w:rPr>
                <w:rFonts w:eastAsia="Calibri"/>
                <w:bCs/>
              </w:rPr>
              <w:t>m</w:t>
            </w:r>
            <w:r w:rsidRPr="005E37BA">
              <w:rPr>
                <w:rFonts w:eastAsia="Calibri"/>
                <w:bCs/>
                <w:spacing w:val="-1"/>
              </w:rPr>
              <w:t>e</w:t>
            </w:r>
            <w:r w:rsidRPr="005E37BA">
              <w:rPr>
                <w:rFonts w:eastAsia="Calibri"/>
                <w:bCs/>
              </w:rPr>
              <w:t>s</w:t>
            </w:r>
            <w:r w:rsidRPr="005E37BA">
              <w:rPr>
                <w:rFonts w:eastAsia="Calibri"/>
                <w:bCs/>
                <w:spacing w:val="1"/>
              </w:rPr>
              <w:t xml:space="preserve"> </w:t>
            </w:r>
            <w:r w:rsidRPr="005E37BA">
              <w:rPr>
                <w:rFonts w:eastAsia="Calibri"/>
                <w:bCs/>
              </w:rPr>
              <w:t>R</w:t>
            </w:r>
            <w:r w:rsidRPr="005E37BA">
              <w:rPr>
                <w:rFonts w:eastAsia="Calibri"/>
                <w:bCs/>
                <w:spacing w:val="-1"/>
              </w:rPr>
              <w:t>e</w:t>
            </w:r>
            <w:r w:rsidRPr="005E37BA">
              <w:rPr>
                <w:rFonts w:eastAsia="Calibri"/>
                <w:bCs/>
                <w:spacing w:val="1"/>
              </w:rPr>
              <w:t>s</w:t>
            </w:r>
            <w:r w:rsidRPr="005E37BA">
              <w:rPr>
                <w:rFonts w:eastAsia="Calibri"/>
                <w:bCs/>
                <w:spacing w:val="-1"/>
              </w:rPr>
              <w:t>ea</w:t>
            </w:r>
            <w:r w:rsidRPr="005E37BA">
              <w:rPr>
                <w:rFonts w:eastAsia="Calibri"/>
                <w:bCs/>
                <w:spacing w:val="-2"/>
              </w:rPr>
              <w:t>r</w:t>
            </w:r>
            <w:r w:rsidRPr="005E37BA">
              <w:rPr>
                <w:rFonts w:eastAsia="Calibri"/>
                <w:bCs/>
                <w:spacing w:val="1"/>
              </w:rPr>
              <w:t>c</w:t>
            </w:r>
            <w:r w:rsidRPr="005E37BA">
              <w:rPr>
                <w:rFonts w:eastAsia="Calibri"/>
                <w:bCs/>
              </w:rPr>
              <w:t>h</w:t>
            </w:r>
            <w:r w:rsidR="006D307E">
              <w:rPr>
                <w:rFonts w:eastAsia="Calibri"/>
                <w:bCs/>
              </w:rPr>
              <w:t xml:space="preserve"> (ISPOR)</w:t>
            </w:r>
          </w:p>
          <w:p w14:paraId="2957A7F5" w14:textId="77777777" w:rsidR="005E37BA" w:rsidRPr="005E37BA" w:rsidRDefault="005E37BA" w:rsidP="005E37BA">
            <w:pPr>
              <w:spacing w:after="0" w:line="240" w:lineRule="auto"/>
              <w:rPr>
                <w:rFonts w:eastAsia="Calibri"/>
                <w:bCs/>
              </w:rPr>
            </w:pPr>
          </w:p>
          <w:p w14:paraId="7923C6F7" w14:textId="77777777" w:rsidR="005E37BA" w:rsidRDefault="005E37BA" w:rsidP="005E37BA">
            <w:pPr>
              <w:spacing w:after="0" w:line="240" w:lineRule="auto"/>
              <w:rPr>
                <w:rFonts w:eastAsia="Calibri"/>
                <w:bCs/>
              </w:rPr>
            </w:pPr>
            <w:r w:rsidRPr="005E37BA">
              <w:rPr>
                <w:rFonts w:eastAsia="Calibri"/>
                <w:bCs/>
              </w:rPr>
              <w:t>R</w:t>
            </w:r>
            <w:r w:rsidRPr="005E37BA">
              <w:rPr>
                <w:rFonts w:eastAsia="Calibri"/>
                <w:bCs/>
                <w:spacing w:val="-1"/>
              </w:rPr>
              <w:t>h</w:t>
            </w:r>
            <w:r w:rsidRPr="005E37BA">
              <w:rPr>
                <w:rFonts w:eastAsia="Calibri"/>
                <w:bCs/>
              </w:rPr>
              <w:t xml:space="preserve">o </w:t>
            </w:r>
            <w:r w:rsidRPr="005E37BA">
              <w:rPr>
                <w:rFonts w:eastAsia="Calibri"/>
                <w:bCs/>
                <w:spacing w:val="1"/>
              </w:rPr>
              <w:t>C</w:t>
            </w:r>
            <w:r w:rsidRPr="005E37BA">
              <w:rPr>
                <w:rFonts w:eastAsia="Calibri"/>
                <w:bCs/>
                <w:spacing w:val="-1"/>
              </w:rPr>
              <w:t>h</w:t>
            </w:r>
            <w:r w:rsidRPr="005E37BA">
              <w:rPr>
                <w:rFonts w:eastAsia="Calibri"/>
                <w:bCs/>
              </w:rPr>
              <w:t>i</w:t>
            </w:r>
            <w:r w:rsidRPr="005E37BA">
              <w:rPr>
                <w:rFonts w:eastAsia="Calibri"/>
                <w:bCs/>
                <w:spacing w:val="-1"/>
              </w:rPr>
              <w:t xml:space="preserve"> </w:t>
            </w:r>
            <w:r w:rsidRPr="005E37BA">
              <w:rPr>
                <w:rFonts w:eastAsia="Calibri"/>
                <w:bCs/>
              </w:rPr>
              <w:t>P</w:t>
            </w:r>
            <w:r w:rsidRPr="005E37BA">
              <w:rPr>
                <w:rFonts w:eastAsia="Calibri"/>
                <w:bCs/>
                <w:spacing w:val="-1"/>
              </w:rPr>
              <w:t>ha</w:t>
            </w:r>
            <w:r w:rsidRPr="005E37BA">
              <w:rPr>
                <w:rFonts w:eastAsia="Calibri"/>
                <w:bCs/>
                <w:spacing w:val="1"/>
              </w:rPr>
              <w:t>r</w:t>
            </w:r>
            <w:r w:rsidRPr="005E37BA">
              <w:rPr>
                <w:rFonts w:eastAsia="Calibri"/>
                <w:bCs/>
              </w:rPr>
              <w:t>m</w:t>
            </w:r>
            <w:r w:rsidRPr="005E37BA">
              <w:rPr>
                <w:rFonts w:eastAsia="Calibri"/>
                <w:bCs/>
                <w:spacing w:val="-1"/>
              </w:rPr>
              <w:t>ac</w:t>
            </w:r>
            <w:r w:rsidRPr="005E37BA">
              <w:rPr>
                <w:rFonts w:eastAsia="Calibri"/>
                <w:bCs/>
              </w:rPr>
              <w:t>y</w:t>
            </w:r>
            <w:r w:rsidRPr="005E37BA">
              <w:rPr>
                <w:rFonts w:eastAsia="Calibri"/>
                <w:bCs/>
                <w:spacing w:val="2"/>
              </w:rPr>
              <w:t xml:space="preserve"> </w:t>
            </w:r>
            <w:r w:rsidRPr="005E37BA">
              <w:rPr>
                <w:rFonts w:eastAsia="Calibri"/>
                <w:bCs/>
              </w:rPr>
              <w:t>H</w:t>
            </w:r>
            <w:r w:rsidRPr="005E37BA">
              <w:rPr>
                <w:rFonts w:eastAsia="Calibri"/>
                <w:bCs/>
                <w:spacing w:val="-1"/>
              </w:rPr>
              <w:t>ono</w:t>
            </w:r>
            <w:r w:rsidRPr="005E37BA">
              <w:rPr>
                <w:rFonts w:eastAsia="Calibri"/>
                <w:bCs/>
              </w:rPr>
              <w:t>r</w:t>
            </w:r>
            <w:r w:rsidRPr="005E37BA">
              <w:rPr>
                <w:rFonts w:eastAsia="Calibri"/>
                <w:bCs/>
                <w:spacing w:val="1"/>
              </w:rPr>
              <w:t xml:space="preserve"> </w:t>
            </w:r>
            <w:r w:rsidRPr="005E37BA">
              <w:rPr>
                <w:rFonts w:eastAsia="Calibri"/>
                <w:bCs/>
                <w:spacing w:val="-1"/>
              </w:rPr>
              <w:t>Soc</w:t>
            </w:r>
            <w:r w:rsidRPr="005E37BA">
              <w:rPr>
                <w:rFonts w:eastAsia="Calibri"/>
                <w:bCs/>
                <w:spacing w:val="1"/>
              </w:rPr>
              <w:t>i</w:t>
            </w:r>
            <w:r w:rsidRPr="005E37BA">
              <w:rPr>
                <w:rFonts w:eastAsia="Calibri"/>
                <w:bCs/>
                <w:spacing w:val="-3"/>
              </w:rPr>
              <w:t>e</w:t>
            </w:r>
            <w:r w:rsidRPr="005E37BA">
              <w:rPr>
                <w:rFonts w:eastAsia="Calibri"/>
                <w:bCs/>
              </w:rPr>
              <w:t>ty</w:t>
            </w:r>
          </w:p>
          <w:p w14:paraId="7E8A6422" w14:textId="4648B13A" w:rsidR="00FF6454" w:rsidRDefault="00FF6454" w:rsidP="005E37BA">
            <w:pPr>
              <w:spacing w:after="0" w:line="240" w:lineRule="auto"/>
            </w:pPr>
          </w:p>
        </w:tc>
      </w:tr>
      <w:tr w:rsidR="005E37BA" w14:paraId="7239D64A" w14:textId="77777777" w:rsidTr="00402C46">
        <w:trPr>
          <w:trHeight w:val="666"/>
        </w:trPr>
        <w:tc>
          <w:tcPr>
            <w:tcW w:w="2065" w:type="dxa"/>
          </w:tcPr>
          <w:p w14:paraId="42DE140A" w14:textId="7CB94D83" w:rsidR="005E37BA" w:rsidRDefault="005E37BA" w:rsidP="005E37BA">
            <w:pPr>
              <w:spacing w:after="0" w:line="240" w:lineRule="auto"/>
            </w:pPr>
            <w:r>
              <w:t>ABSTRACTS</w:t>
            </w:r>
          </w:p>
        </w:tc>
        <w:tc>
          <w:tcPr>
            <w:tcW w:w="7285" w:type="dxa"/>
          </w:tcPr>
          <w:p w14:paraId="6B61CAC9" w14:textId="64342FC8" w:rsidR="005E37BA" w:rsidRPr="006D307E" w:rsidRDefault="005E37BA" w:rsidP="006D307E">
            <w:pPr>
              <w:snapToGrid/>
              <w:spacing w:after="0" w:line="240" w:lineRule="auto"/>
              <w:rPr>
                <w:rFonts w:eastAsia="Calibri" w:cs="Arial"/>
                <w:bCs/>
                <w:szCs w:val="22"/>
              </w:rPr>
            </w:pPr>
            <w:r w:rsidRPr="006D307E">
              <w:rPr>
                <w:rFonts w:eastAsia="Calibri" w:cs="Arial"/>
                <w:szCs w:val="22"/>
              </w:rPr>
              <w:t>Harrington R, Kumar VM,</w:t>
            </w:r>
            <w:r w:rsidRPr="006D307E">
              <w:rPr>
                <w:rFonts w:eastAsia="Calibri" w:cs="Arial"/>
                <w:b/>
                <w:szCs w:val="22"/>
              </w:rPr>
              <w:t xml:space="preserve"> </w:t>
            </w:r>
            <w:r w:rsidRPr="006D307E">
              <w:rPr>
                <w:rFonts w:eastAsia="Calibri" w:cs="Arial"/>
                <w:szCs w:val="22"/>
              </w:rPr>
              <w:t>Zueger PM, Rigoni G, Atwood AM, DiDo</w:t>
            </w:r>
            <w:r w:rsidR="00E23927">
              <w:rPr>
                <w:rFonts w:eastAsia="Calibri" w:cs="Arial"/>
                <w:szCs w:val="22"/>
              </w:rPr>
              <w:t xml:space="preserve">menico RJ, Touchette D. </w:t>
            </w:r>
            <w:r w:rsidRPr="006D307E">
              <w:rPr>
                <w:rFonts w:eastAsia="Calibri" w:cs="Arial"/>
                <w:bCs/>
                <w:szCs w:val="22"/>
              </w:rPr>
              <w:t xml:space="preserve">Cost-Utility Analysis of Angiotensin Receptor–Neprilysin Inhibitor Sacubitril/Valsartan Compared to ACE Inhibitors for </w:t>
            </w:r>
            <w:r w:rsidR="00E23927">
              <w:rPr>
                <w:rFonts w:eastAsia="Calibri" w:cs="Arial"/>
                <w:bCs/>
                <w:szCs w:val="22"/>
              </w:rPr>
              <w:t xml:space="preserve">the </w:t>
            </w:r>
            <w:r w:rsidRPr="006D307E">
              <w:rPr>
                <w:rFonts w:eastAsia="Calibri" w:cs="Arial"/>
                <w:bCs/>
                <w:szCs w:val="22"/>
              </w:rPr>
              <w:t>Treatment of Chronic Hear</w:t>
            </w:r>
            <w:r w:rsidR="00E23927">
              <w:rPr>
                <w:rFonts w:eastAsia="Calibri" w:cs="Arial"/>
                <w:bCs/>
                <w:szCs w:val="22"/>
              </w:rPr>
              <w:t xml:space="preserve">t Failure in the United </w:t>
            </w:r>
            <w:r w:rsidR="00E23927">
              <w:rPr>
                <w:rFonts w:eastAsia="Calibri" w:cs="Arial"/>
                <w:bCs/>
                <w:szCs w:val="22"/>
              </w:rPr>
              <w:lastRenderedPageBreak/>
              <w:t>States.</w:t>
            </w:r>
            <w:r w:rsidRPr="006D307E">
              <w:rPr>
                <w:rFonts w:eastAsia="Calibri" w:cs="Arial"/>
                <w:bCs/>
                <w:szCs w:val="22"/>
              </w:rPr>
              <w:t xml:space="preserve"> </w:t>
            </w:r>
            <w:r w:rsidRPr="006D307E">
              <w:rPr>
                <w:rFonts w:eastAsia="Calibri" w:cs="Arial"/>
                <w:position w:val="1"/>
                <w:szCs w:val="22"/>
              </w:rPr>
              <w:t>I</w:t>
            </w:r>
            <w:r w:rsidRPr="006D307E">
              <w:rPr>
                <w:rFonts w:eastAsia="Calibri" w:cs="Arial"/>
                <w:spacing w:val="-1"/>
                <w:position w:val="1"/>
                <w:szCs w:val="22"/>
              </w:rPr>
              <w:t>S</w:t>
            </w:r>
            <w:r w:rsidRPr="006D307E">
              <w:rPr>
                <w:rFonts w:eastAsia="Calibri" w:cs="Arial"/>
                <w:spacing w:val="1"/>
                <w:position w:val="1"/>
                <w:szCs w:val="22"/>
              </w:rPr>
              <w:t>P</w:t>
            </w:r>
            <w:r w:rsidRPr="006D307E">
              <w:rPr>
                <w:rFonts w:eastAsia="Calibri" w:cs="Arial"/>
                <w:spacing w:val="-2"/>
                <w:position w:val="1"/>
                <w:szCs w:val="22"/>
              </w:rPr>
              <w:t>O</w:t>
            </w:r>
            <w:r w:rsidRPr="006D307E">
              <w:rPr>
                <w:rFonts w:eastAsia="Calibri" w:cs="Arial"/>
                <w:position w:val="1"/>
                <w:szCs w:val="22"/>
              </w:rPr>
              <w:t>R</w:t>
            </w:r>
            <w:r w:rsidR="00E23927">
              <w:rPr>
                <w:rFonts w:eastAsia="Calibri" w:cs="Arial"/>
                <w:spacing w:val="-2"/>
                <w:position w:val="1"/>
                <w:szCs w:val="22"/>
              </w:rPr>
              <w:t xml:space="preserve"> 21st</w:t>
            </w:r>
            <w:r w:rsidRPr="006D307E">
              <w:rPr>
                <w:rFonts w:eastAsia="Calibri" w:cs="Arial"/>
                <w:spacing w:val="16"/>
                <w:position w:val="8"/>
                <w:szCs w:val="22"/>
              </w:rPr>
              <w:t xml:space="preserve"> </w:t>
            </w:r>
            <w:r w:rsidRPr="006D307E">
              <w:rPr>
                <w:rFonts w:eastAsia="Calibri" w:cs="Arial"/>
                <w:spacing w:val="-1"/>
                <w:position w:val="1"/>
                <w:szCs w:val="22"/>
              </w:rPr>
              <w:t>Annu</w:t>
            </w:r>
            <w:r w:rsidRPr="006D307E">
              <w:rPr>
                <w:rFonts w:eastAsia="Calibri" w:cs="Arial"/>
                <w:position w:val="1"/>
                <w:szCs w:val="22"/>
              </w:rPr>
              <w:t>al I</w:t>
            </w:r>
            <w:r w:rsidRPr="006D307E">
              <w:rPr>
                <w:rFonts w:eastAsia="Calibri" w:cs="Arial"/>
                <w:spacing w:val="-1"/>
                <w:position w:val="1"/>
                <w:szCs w:val="22"/>
              </w:rPr>
              <w:t>n</w:t>
            </w:r>
            <w:r w:rsidRPr="006D307E">
              <w:rPr>
                <w:rFonts w:eastAsia="Calibri" w:cs="Arial"/>
                <w:position w:val="1"/>
                <w:szCs w:val="22"/>
              </w:rPr>
              <w:t>t</w:t>
            </w:r>
            <w:r w:rsidRPr="006D307E">
              <w:rPr>
                <w:rFonts w:eastAsia="Calibri" w:cs="Arial"/>
                <w:spacing w:val="1"/>
                <w:position w:val="1"/>
                <w:szCs w:val="22"/>
              </w:rPr>
              <w:t>e</w:t>
            </w:r>
            <w:r w:rsidRPr="006D307E">
              <w:rPr>
                <w:rFonts w:eastAsia="Calibri" w:cs="Arial"/>
                <w:position w:val="1"/>
                <w:szCs w:val="22"/>
              </w:rPr>
              <w:t>r</w:t>
            </w:r>
            <w:r w:rsidRPr="006D307E">
              <w:rPr>
                <w:rFonts w:eastAsia="Calibri" w:cs="Arial"/>
                <w:spacing w:val="-1"/>
                <w:position w:val="1"/>
                <w:szCs w:val="22"/>
              </w:rPr>
              <w:t>n</w:t>
            </w:r>
            <w:r w:rsidRPr="006D307E">
              <w:rPr>
                <w:rFonts w:eastAsia="Calibri" w:cs="Arial"/>
                <w:position w:val="1"/>
                <w:szCs w:val="22"/>
              </w:rPr>
              <w:t>ati</w:t>
            </w:r>
            <w:r w:rsidRPr="006D307E">
              <w:rPr>
                <w:rFonts w:eastAsia="Calibri" w:cs="Arial"/>
                <w:spacing w:val="1"/>
                <w:position w:val="1"/>
                <w:szCs w:val="22"/>
              </w:rPr>
              <w:t>o</w:t>
            </w:r>
            <w:r w:rsidRPr="006D307E">
              <w:rPr>
                <w:rFonts w:eastAsia="Calibri" w:cs="Arial"/>
                <w:spacing w:val="-1"/>
                <w:position w:val="1"/>
                <w:szCs w:val="22"/>
              </w:rPr>
              <w:t>n</w:t>
            </w:r>
            <w:r w:rsidRPr="006D307E">
              <w:rPr>
                <w:rFonts w:eastAsia="Calibri" w:cs="Arial"/>
                <w:position w:val="1"/>
                <w:szCs w:val="22"/>
              </w:rPr>
              <w:t>al</w:t>
            </w:r>
            <w:r w:rsidRPr="006D307E">
              <w:rPr>
                <w:rFonts w:eastAsia="Calibri" w:cs="Arial"/>
                <w:spacing w:val="-2"/>
                <w:position w:val="1"/>
                <w:szCs w:val="22"/>
              </w:rPr>
              <w:t xml:space="preserve"> </w:t>
            </w:r>
            <w:r w:rsidRPr="006D307E">
              <w:rPr>
                <w:rFonts w:eastAsia="Calibri" w:cs="Arial"/>
                <w:spacing w:val="1"/>
                <w:position w:val="1"/>
                <w:szCs w:val="22"/>
              </w:rPr>
              <w:t>Me</w:t>
            </w:r>
            <w:r w:rsidRPr="006D307E">
              <w:rPr>
                <w:rFonts w:eastAsia="Calibri" w:cs="Arial"/>
                <w:spacing w:val="-2"/>
                <w:position w:val="1"/>
                <w:szCs w:val="22"/>
              </w:rPr>
              <w:t>e</w:t>
            </w:r>
            <w:r w:rsidRPr="006D307E">
              <w:rPr>
                <w:rFonts w:eastAsia="Calibri" w:cs="Arial"/>
                <w:position w:val="1"/>
                <w:szCs w:val="22"/>
              </w:rPr>
              <w:t>ti</w:t>
            </w:r>
            <w:r w:rsidRPr="006D307E">
              <w:rPr>
                <w:rFonts w:eastAsia="Calibri" w:cs="Arial"/>
                <w:spacing w:val="-1"/>
                <w:position w:val="1"/>
                <w:szCs w:val="22"/>
              </w:rPr>
              <w:t>ng</w:t>
            </w:r>
            <w:r w:rsidRPr="006D307E">
              <w:rPr>
                <w:rFonts w:eastAsia="Calibri" w:cs="Arial"/>
                <w:bCs/>
                <w:szCs w:val="22"/>
              </w:rPr>
              <w:t xml:space="preserve">, Washington, D.C., USA, May 2016. </w:t>
            </w:r>
          </w:p>
          <w:p w14:paraId="21AD704A" w14:textId="77777777" w:rsidR="005E37BA" w:rsidRPr="006D307E" w:rsidRDefault="005E37BA" w:rsidP="006D307E">
            <w:pPr>
              <w:pStyle w:val="ListParagraph"/>
              <w:spacing w:after="0" w:line="240" w:lineRule="auto"/>
              <w:ind w:left="475" w:right="-20"/>
              <w:rPr>
                <w:rFonts w:eastAsia="Calibri" w:cs="Arial"/>
                <w:szCs w:val="22"/>
              </w:rPr>
            </w:pPr>
          </w:p>
          <w:p w14:paraId="15B996AF" w14:textId="4750DDA3" w:rsidR="005E37BA" w:rsidRPr="006D307E" w:rsidRDefault="005E37BA" w:rsidP="006D307E">
            <w:pPr>
              <w:snapToGrid/>
              <w:spacing w:after="0" w:line="240" w:lineRule="auto"/>
              <w:ind w:right="-20"/>
              <w:rPr>
                <w:rFonts w:eastAsia="Calibri" w:cs="Arial"/>
                <w:szCs w:val="22"/>
              </w:rPr>
            </w:pPr>
            <w:r w:rsidRPr="006D307E">
              <w:rPr>
                <w:rFonts w:eastAsia="Calibri" w:cs="Arial"/>
                <w:bCs/>
                <w:szCs w:val="22"/>
              </w:rPr>
              <w:t>Z</w:t>
            </w:r>
            <w:r w:rsidRPr="006D307E">
              <w:rPr>
                <w:rFonts w:eastAsia="Calibri" w:cs="Arial"/>
                <w:bCs/>
                <w:spacing w:val="-1"/>
                <w:szCs w:val="22"/>
              </w:rPr>
              <w:t>ue</w:t>
            </w:r>
            <w:r w:rsidRPr="006D307E">
              <w:rPr>
                <w:rFonts w:eastAsia="Calibri" w:cs="Arial"/>
                <w:bCs/>
                <w:spacing w:val="1"/>
                <w:szCs w:val="22"/>
              </w:rPr>
              <w:t>g</w:t>
            </w:r>
            <w:r w:rsidRPr="006D307E">
              <w:rPr>
                <w:rFonts w:eastAsia="Calibri" w:cs="Arial"/>
                <w:bCs/>
                <w:spacing w:val="-1"/>
                <w:szCs w:val="22"/>
              </w:rPr>
              <w:t>e</w:t>
            </w:r>
            <w:r w:rsidRPr="006D307E">
              <w:rPr>
                <w:rFonts w:eastAsia="Calibri" w:cs="Arial"/>
                <w:bCs/>
                <w:szCs w:val="22"/>
              </w:rPr>
              <w:t>r</w:t>
            </w:r>
            <w:r w:rsidRPr="006D307E">
              <w:rPr>
                <w:rFonts w:eastAsia="Calibri" w:cs="Arial"/>
                <w:bCs/>
                <w:spacing w:val="1"/>
                <w:szCs w:val="22"/>
              </w:rPr>
              <w:t xml:space="preserve"> </w:t>
            </w:r>
            <w:r w:rsidRPr="006D307E">
              <w:rPr>
                <w:rFonts w:eastAsia="Calibri" w:cs="Arial"/>
                <w:bCs/>
                <w:szCs w:val="22"/>
              </w:rPr>
              <w:t>PM,</w:t>
            </w:r>
            <w:r w:rsidRPr="006D307E">
              <w:rPr>
                <w:rFonts w:eastAsia="Calibri" w:cs="Arial"/>
                <w:bCs/>
                <w:spacing w:val="-6"/>
                <w:szCs w:val="22"/>
              </w:rPr>
              <w:t xml:space="preserve"> </w:t>
            </w:r>
            <w:r w:rsidRPr="006D307E">
              <w:rPr>
                <w:rFonts w:eastAsia="Calibri" w:cs="Arial"/>
                <w:spacing w:val="1"/>
                <w:szCs w:val="22"/>
              </w:rPr>
              <w:t>L</w:t>
            </w:r>
            <w:r w:rsidRPr="006D307E">
              <w:rPr>
                <w:rFonts w:eastAsia="Calibri" w:cs="Arial"/>
                <w:spacing w:val="-2"/>
                <w:szCs w:val="22"/>
              </w:rPr>
              <w:t>e</w:t>
            </w:r>
            <w:r w:rsidRPr="006D307E">
              <w:rPr>
                <w:rFonts w:eastAsia="Calibri" w:cs="Arial"/>
                <w:szCs w:val="22"/>
              </w:rPr>
              <w:t>e</w:t>
            </w:r>
            <w:r w:rsidRPr="006D307E">
              <w:rPr>
                <w:rFonts w:eastAsia="Calibri" w:cs="Arial"/>
                <w:spacing w:val="1"/>
                <w:szCs w:val="22"/>
              </w:rPr>
              <w:t xml:space="preserve"> </w:t>
            </w:r>
            <w:r w:rsidRPr="006D307E">
              <w:rPr>
                <w:rFonts w:eastAsia="Calibri" w:cs="Arial"/>
                <w:szCs w:val="22"/>
              </w:rPr>
              <w:t>T</w:t>
            </w:r>
            <w:r w:rsidRPr="006D307E">
              <w:rPr>
                <w:rFonts w:eastAsia="Calibri" w:cs="Arial"/>
                <w:spacing w:val="-1"/>
                <w:szCs w:val="22"/>
              </w:rPr>
              <w:t>A</w:t>
            </w:r>
            <w:r w:rsidRPr="006D307E">
              <w:rPr>
                <w:rFonts w:eastAsia="Calibri" w:cs="Arial"/>
                <w:szCs w:val="22"/>
              </w:rPr>
              <w:t>.</w:t>
            </w:r>
            <w:r w:rsidR="00E23927">
              <w:rPr>
                <w:rFonts w:eastAsia="Calibri" w:cs="Arial"/>
                <w:spacing w:val="-2"/>
                <w:szCs w:val="22"/>
              </w:rPr>
              <w:t xml:space="preserve"> </w:t>
            </w:r>
            <w:r w:rsidRPr="006D307E">
              <w:rPr>
                <w:rFonts w:eastAsia="Calibri" w:cs="Arial"/>
                <w:spacing w:val="-1"/>
                <w:szCs w:val="22"/>
              </w:rPr>
              <w:t>H</w:t>
            </w:r>
            <w:r w:rsidRPr="006D307E">
              <w:rPr>
                <w:rFonts w:eastAsia="Calibri" w:cs="Arial"/>
                <w:spacing w:val="1"/>
                <w:szCs w:val="22"/>
              </w:rPr>
              <w:t>e</w:t>
            </w:r>
            <w:r w:rsidRPr="006D307E">
              <w:rPr>
                <w:rFonts w:eastAsia="Calibri" w:cs="Arial"/>
                <w:szCs w:val="22"/>
              </w:rPr>
              <w:t>alt</w:t>
            </w:r>
            <w:r w:rsidRPr="006D307E">
              <w:rPr>
                <w:rFonts w:eastAsia="Calibri" w:cs="Arial"/>
                <w:spacing w:val="-1"/>
                <w:szCs w:val="22"/>
              </w:rPr>
              <w:t>h</w:t>
            </w:r>
            <w:r w:rsidRPr="006D307E">
              <w:rPr>
                <w:rFonts w:eastAsia="Calibri" w:cs="Arial"/>
                <w:szCs w:val="22"/>
              </w:rPr>
              <w:t>c</w:t>
            </w:r>
            <w:r w:rsidRPr="006D307E">
              <w:rPr>
                <w:rFonts w:eastAsia="Calibri" w:cs="Arial"/>
                <w:spacing w:val="-3"/>
                <w:szCs w:val="22"/>
              </w:rPr>
              <w:t>a</w:t>
            </w:r>
            <w:r w:rsidRPr="006D307E">
              <w:rPr>
                <w:rFonts w:eastAsia="Calibri" w:cs="Arial"/>
                <w:szCs w:val="22"/>
              </w:rPr>
              <w:t>re</w:t>
            </w:r>
            <w:r w:rsidRPr="006D307E">
              <w:rPr>
                <w:rFonts w:eastAsia="Calibri" w:cs="Arial"/>
                <w:spacing w:val="1"/>
                <w:szCs w:val="22"/>
              </w:rPr>
              <w:t xml:space="preserve"> </w:t>
            </w:r>
            <w:r w:rsidRPr="006D307E">
              <w:rPr>
                <w:rFonts w:eastAsia="Calibri" w:cs="Arial"/>
                <w:szCs w:val="22"/>
              </w:rPr>
              <w:t>C</w:t>
            </w:r>
            <w:r w:rsidRPr="006D307E">
              <w:rPr>
                <w:rFonts w:eastAsia="Calibri" w:cs="Arial"/>
                <w:spacing w:val="-1"/>
                <w:szCs w:val="22"/>
              </w:rPr>
              <w:t>o</w:t>
            </w:r>
            <w:r w:rsidRPr="006D307E">
              <w:rPr>
                <w:rFonts w:eastAsia="Calibri" w:cs="Arial"/>
                <w:szCs w:val="22"/>
              </w:rPr>
              <w:t>sts</w:t>
            </w:r>
            <w:r w:rsidRPr="006D307E">
              <w:rPr>
                <w:rFonts w:eastAsia="Calibri" w:cs="Arial"/>
                <w:spacing w:val="1"/>
                <w:szCs w:val="22"/>
              </w:rPr>
              <w:t xml:space="preserve"> </w:t>
            </w:r>
            <w:r w:rsidRPr="006D307E">
              <w:rPr>
                <w:rFonts w:eastAsia="Calibri" w:cs="Arial"/>
                <w:spacing w:val="-1"/>
                <w:szCs w:val="22"/>
              </w:rPr>
              <w:t>A</w:t>
            </w:r>
            <w:r w:rsidRPr="006D307E">
              <w:rPr>
                <w:rFonts w:eastAsia="Calibri" w:cs="Arial"/>
                <w:spacing w:val="-2"/>
                <w:szCs w:val="22"/>
              </w:rPr>
              <w:t>s</w:t>
            </w:r>
            <w:r w:rsidRPr="006D307E">
              <w:rPr>
                <w:rFonts w:eastAsia="Calibri" w:cs="Arial"/>
                <w:szCs w:val="22"/>
              </w:rPr>
              <w:t>s</w:t>
            </w:r>
            <w:r w:rsidRPr="006D307E">
              <w:rPr>
                <w:rFonts w:eastAsia="Calibri" w:cs="Arial"/>
                <w:spacing w:val="1"/>
                <w:szCs w:val="22"/>
              </w:rPr>
              <w:t>o</w:t>
            </w:r>
            <w:r w:rsidRPr="006D307E">
              <w:rPr>
                <w:rFonts w:eastAsia="Calibri" w:cs="Arial"/>
                <w:szCs w:val="22"/>
              </w:rPr>
              <w:t>c</w:t>
            </w:r>
            <w:r w:rsidRPr="006D307E">
              <w:rPr>
                <w:rFonts w:eastAsia="Calibri" w:cs="Arial"/>
                <w:spacing w:val="-3"/>
                <w:szCs w:val="22"/>
              </w:rPr>
              <w:t>i</w:t>
            </w:r>
            <w:r w:rsidRPr="006D307E">
              <w:rPr>
                <w:rFonts w:eastAsia="Calibri" w:cs="Arial"/>
                <w:szCs w:val="22"/>
              </w:rPr>
              <w:t>at</w:t>
            </w:r>
            <w:r w:rsidRPr="006D307E">
              <w:rPr>
                <w:rFonts w:eastAsia="Calibri" w:cs="Arial"/>
                <w:spacing w:val="1"/>
                <w:szCs w:val="22"/>
              </w:rPr>
              <w:t>e</w:t>
            </w:r>
            <w:r w:rsidRPr="006D307E">
              <w:rPr>
                <w:rFonts w:eastAsia="Calibri" w:cs="Arial"/>
                <w:szCs w:val="22"/>
              </w:rPr>
              <w:t>d</w:t>
            </w:r>
            <w:r w:rsidRPr="006D307E">
              <w:rPr>
                <w:rFonts w:eastAsia="Calibri" w:cs="Arial"/>
                <w:spacing w:val="-3"/>
                <w:szCs w:val="22"/>
              </w:rPr>
              <w:t xml:space="preserve"> </w:t>
            </w:r>
            <w:r w:rsidRPr="006D307E">
              <w:rPr>
                <w:rFonts w:eastAsia="Calibri" w:cs="Arial"/>
                <w:szCs w:val="22"/>
              </w:rPr>
              <w:t xml:space="preserve">with </w:t>
            </w:r>
            <w:r w:rsidRPr="006D307E">
              <w:rPr>
                <w:rFonts w:eastAsia="Calibri" w:cs="Arial"/>
                <w:spacing w:val="-1"/>
                <w:szCs w:val="22"/>
              </w:rPr>
              <w:t>A</w:t>
            </w:r>
            <w:r w:rsidRPr="006D307E">
              <w:rPr>
                <w:rFonts w:eastAsia="Calibri" w:cs="Arial"/>
                <w:spacing w:val="-2"/>
                <w:szCs w:val="22"/>
              </w:rPr>
              <w:t>c</w:t>
            </w:r>
            <w:r w:rsidRPr="006D307E">
              <w:rPr>
                <w:rFonts w:eastAsia="Calibri" w:cs="Arial"/>
                <w:spacing w:val="-1"/>
                <w:szCs w:val="22"/>
              </w:rPr>
              <w:t>u</w:t>
            </w:r>
            <w:r w:rsidRPr="006D307E">
              <w:rPr>
                <w:rFonts w:eastAsia="Calibri" w:cs="Arial"/>
                <w:szCs w:val="22"/>
              </w:rPr>
              <w:t>te</w:t>
            </w:r>
            <w:r w:rsidRPr="006D307E">
              <w:rPr>
                <w:rFonts w:eastAsia="Calibri" w:cs="Arial"/>
                <w:spacing w:val="1"/>
                <w:szCs w:val="22"/>
              </w:rPr>
              <w:t xml:space="preserve"> </w:t>
            </w:r>
            <w:r w:rsidRPr="006D307E">
              <w:rPr>
                <w:rFonts w:eastAsia="Calibri" w:cs="Arial"/>
                <w:szCs w:val="22"/>
              </w:rPr>
              <w:t>Car</w:t>
            </w:r>
            <w:r w:rsidRPr="006D307E">
              <w:rPr>
                <w:rFonts w:eastAsia="Calibri" w:cs="Arial"/>
                <w:spacing w:val="-1"/>
                <w:szCs w:val="22"/>
              </w:rPr>
              <w:t>d</w:t>
            </w:r>
            <w:r w:rsidRPr="006D307E">
              <w:rPr>
                <w:rFonts w:eastAsia="Calibri" w:cs="Arial"/>
                <w:szCs w:val="22"/>
              </w:rPr>
              <w:t>i</w:t>
            </w:r>
            <w:r w:rsidRPr="006D307E">
              <w:rPr>
                <w:rFonts w:eastAsia="Calibri" w:cs="Arial"/>
                <w:spacing w:val="-1"/>
                <w:szCs w:val="22"/>
              </w:rPr>
              <w:t>o</w:t>
            </w:r>
            <w:r w:rsidRPr="006D307E">
              <w:rPr>
                <w:rFonts w:eastAsia="Calibri" w:cs="Arial"/>
                <w:spacing w:val="1"/>
                <w:szCs w:val="22"/>
              </w:rPr>
              <w:t>v</w:t>
            </w:r>
            <w:r w:rsidRPr="006D307E">
              <w:rPr>
                <w:rFonts w:eastAsia="Calibri" w:cs="Arial"/>
                <w:szCs w:val="22"/>
              </w:rPr>
              <w:t>a</w:t>
            </w:r>
            <w:r w:rsidRPr="006D307E">
              <w:rPr>
                <w:rFonts w:eastAsia="Calibri" w:cs="Arial"/>
                <w:spacing w:val="-2"/>
                <w:szCs w:val="22"/>
              </w:rPr>
              <w:t>s</w:t>
            </w:r>
            <w:r w:rsidRPr="006D307E">
              <w:rPr>
                <w:rFonts w:eastAsia="Calibri" w:cs="Arial"/>
                <w:szCs w:val="22"/>
              </w:rPr>
              <w:t>c</w:t>
            </w:r>
            <w:r w:rsidRPr="006D307E">
              <w:rPr>
                <w:rFonts w:eastAsia="Calibri" w:cs="Arial"/>
                <w:spacing w:val="-1"/>
                <w:szCs w:val="22"/>
              </w:rPr>
              <w:t>u</w:t>
            </w:r>
            <w:r w:rsidRPr="006D307E">
              <w:rPr>
                <w:rFonts w:eastAsia="Calibri" w:cs="Arial"/>
                <w:szCs w:val="22"/>
              </w:rPr>
              <w:t xml:space="preserve">lar </w:t>
            </w:r>
            <w:r w:rsidRPr="006D307E">
              <w:rPr>
                <w:rFonts w:eastAsia="Calibri" w:cs="Arial"/>
                <w:spacing w:val="-2"/>
                <w:szCs w:val="22"/>
              </w:rPr>
              <w:t>E</w:t>
            </w:r>
            <w:r w:rsidRPr="006D307E">
              <w:rPr>
                <w:rFonts w:eastAsia="Calibri" w:cs="Arial"/>
                <w:spacing w:val="1"/>
                <w:szCs w:val="22"/>
              </w:rPr>
              <w:t>ve</w:t>
            </w:r>
            <w:r w:rsidRPr="006D307E">
              <w:rPr>
                <w:rFonts w:eastAsia="Calibri" w:cs="Arial"/>
                <w:spacing w:val="-1"/>
                <w:szCs w:val="22"/>
              </w:rPr>
              <w:t>n</w:t>
            </w:r>
            <w:r w:rsidRPr="006D307E">
              <w:rPr>
                <w:rFonts w:eastAsia="Calibri" w:cs="Arial"/>
                <w:szCs w:val="22"/>
              </w:rPr>
              <w:t>ts</w:t>
            </w:r>
            <w:r w:rsidRPr="006D307E">
              <w:rPr>
                <w:rFonts w:eastAsia="Calibri" w:cs="Arial"/>
                <w:spacing w:val="-2"/>
                <w:szCs w:val="22"/>
              </w:rPr>
              <w:t xml:space="preserve"> </w:t>
            </w:r>
            <w:r w:rsidRPr="006D307E">
              <w:rPr>
                <w:rFonts w:eastAsia="Calibri" w:cs="Arial"/>
                <w:szCs w:val="22"/>
              </w:rPr>
              <w:t>in a C</w:t>
            </w:r>
            <w:r w:rsidRPr="006D307E">
              <w:rPr>
                <w:rFonts w:eastAsia="Calibri" w:cs="Arial"/>
                <w:spacing w:val="-2"/>
                <w:szCs w:val="22"/>
              </w:rPr>
              <w:t>O</w:t>
            </w:r>
            <w:r w:rsidRPr="006D307E">
              <w:rPr>
                <w:rFonts w:eastAsia="Calibri" w:cs="Arial"/>
                <w:spacing w:val="1"/>
                <w:szCs w:val="22"/>
              </w:rPr>
              <w:t>P</w:t>
            </w:r>
            <w:r w:rsidRPr="006D307E">
              <w:rPr>
                <w:rFonts w:eastAsia="Calibri" w:cs="Arial"/>
                <w:szCs w:val="22"/>
              </w:rPr>
              <w:t>D</w:t>
            </w:r>
            <w:r w:rsidRPr="006D307E">
              <w:rPr>
                <w:rFonts w:eastAsia="Calibri" w:cs="Arial"/>
                <w:spacing w:val="-1"/>
                <w:szCs w:val="22"/>
              </w:rPr>
              <w:t xml:space="preserve"> </w:t>
            </w:r>
            <w:r w:rsidRPr="006D307E">
              <w:rPr>
                <w:rFonts w:eastAsia="Calibri" w:cs="Arial"/>
                <w:spacing w:val="1"/>
                <w:szCs w:val="22"/>
              </w:rPr>
              <w:t>P</w:t>
            </w:r>
            <w:r w:rsidRPr="006D307E">
              <w:rPr>
                <w:rFonts w:eastAsia="Calibri" w:cs="Arial"/>
                <w:szCs w:val="22"/>
              </w:rPr>
              <w:t>at</w:t>
            </w:r>
            <w:r w:rsidRPr="006D307E">
              <w:rPr>
                <w:rFonts w:eastAsia="Calibri" w:cs="Arial"/>
                <w:spacing w:val="-3"/>
                <w:szCs w:val="22"/>
              </w:rPr>
              <w:t>i</w:t>
            </w:r>
            <w:r w:rsidRPr="006D307E">
              <w:rPr>
                <w:rFonts w:eastAsia="Calibri" w:cs="Arial"/>
                <w:spacing w:val="1"/>
                <w:szCs w:val="22"/>
              </w:rPr>
              <w:t>e</w:t>
            </w:r>
            <w:r w:rsidRPr="006D307E">
              <w:rPr>
                <w:rFonts w:eastAsia="Calibri" w:cs="Arial"/>
                <w:spacing w:val="-1"/>
                <w:szCs w:val="22"/>
              </w:rPr>
              <w:t>n</w:t>
            </w:r>
            <w:r w:rsidRPr="006D307E">
              <w:rPr>
                <w:rFonts w:eastAsia="Calibri" w:cs="Arial"/>
                <w:szCs w:val="22"/>
              </w:rPr>
              <w:t>t</w:t>
            </w:r>
            <w:r w:rsidRPr="006D307E">
              <w:rPr>
                <w:rFonts w:eastAsia="Calibri" w:cs="Arial"/>
                <w:spacing w:val="-1"/>
                <w:szCs w:val="22"/>
              </w:rPr>
              <w:t xml:space="preserve"> </w:t>
            </w:r>
            <w:r w:rsidRPr="006D307E">
              <w:rPr>
                <w:rFonts w:eastAsia="Calibri" w:cs="Arial"/>
                <w:spacing w:val="1"/>
                <w:szCs w:val="22"/>
              </w:rPr>
              <w:t>Po</w:t>
            </w:r>
            <w:r w:rsidRPr="006D307E">
              <w:rPr>
                <w:rFonts w:eastAsia="Calibri" w:cs="Arial"/>
                <w:spacing w:val="-1"/>
                <w:szCs w:val="22"/>
              </w:rPr>
              <w:t>pu</w:t>
            </w:r>
            <w:r w:rsidRPr="006D307E">
              <w:rPr>
                <w:rFonts w:eastAsia="Calibri" w:cs="Arial"/>
                <w:szCs w:val="22"/>
              </w:rPr>
              <w:t>lat</w:t>
            </w:r>
            <w:r w:rsidRPr="006D307E">
              <w:rPr>
                <w:rFonts w:eastAsia="Calibri" w:cs="Arial"/>
                <w:spacing w:val="-3"/>
                <w:szCs w:val="22"/>
              </w:rPr>
              <w:t>i</w:t>
            </w:r>
            <w:r w:rsidRPr="006D307E">
              <w:rPr>
                <w:rFonts w:eastAsia="Calibri" w:cs="Arial"/>
                <w:spacing w:val="-1"/>
                <w:szCs w:val="22"/>
              </w:rPr>
              <w:t>on</w:t>
            </w:r>
            <w:r w:rsidR="00E23927">
              <w:rPr>
                <w:rFonts w:eastAsia="Calibri" w:cs="Arial"/>
                <w:szCs w:val="22"/>
              </w:rPr>
              <w:t>.</w:t>
            </w:r>
            <w:r w:rsidRPr="006D307E">
              <w:rPr>
                <w:rFonts w:eastAsia="Calibri" w:cs="Arial"/>
                <w:szCs w:val="22"/>
              </w:rPr>
              <w:t xml:space="preserve"> </w:t>
            </w:r>
            <w:r w:rsidRPr="006D307E">
              <w:rPr>
                <w:rFonts w:eastAsia="Calibri" w:cs="Arial"/>
                <w:position w:val="1"/>
                <w:szCs w:val="22"/>
              </w:rPr>
              <w:t>I</w:t>
            </w:r>
            <w:r w:rsidRPr="006D307E">
              <w:rPr>
                <w:rFonts w:eastAsia="Calibri" w:cs="Arial"/>
                <w:spacing w:val="-1"/>
                <w:position w:val="1"/>
                <w:szCs w:val="22"/>
              </w:rPr>
              <w:t>S</w:t>
            </w:r>
            <w:r w:rsidRPr="006D307E">
              <w:rPr>
                <w:rFonts w:eastAsia="Calibri" w:cs="Arial"/>
                <w:spacing w:val="1"/>
                <w:position w:val="1"/>
                <w:szCs w:val="22"/>
              </w:rPr>
              <w:t>P</w:t>
            </w:r>
            <w:r w:rsidRPr="006D307E">
              <w:rPr>
                <w:rFonts w:eastAsia="Calibri" w:cs="Arial"/>
                <w:spacing w:val="-2"/>
                <w:position w:val="1"/>
                <w:szCs w:val="22"/>
              </w:rPr>
              <w:t>O</w:t>
            </w:r>
            <w:r w:rsidRPr="006D307E">
              <w:rPr>
                <w:rFonts w:eastAsia="Calibri" w:cs="Arial"/>
                <w:position w:val="1"/>
                <w:szCs w:val="22"/>
              </w:rPr>
              <w:t>R</w:t>
            </w:r>
            <w:r w:rsidRPr="006D307E">
              <w:rPr>
                <w:rFonts w:eastAsia="Calibri" w:cs="Arial"/>
                <w:spacing w:val="-2"/>
                <w:position w:val="1"/>
                <w:szCs w:val="22"/>
              </w:rPr>
              <w:t xml:space="preserve"> </w:t>
            </w:r>
            <w:r w:rsidR="00E23927">
              <w:rPr>
                <w:rFonts w:eastAsia="Calibri" w:cs="Arial"/>
                <w:spacing w:val="1"/>
                <w:position w:val="1"/>
                <w:szCs w:val="22"/>
              </w:rPr>
              <w:t>19th</w:t>
            </w:r>
            <w:r w:rsidRPr="006D307E">
              <w:rPr>
                <w:rFonts w:eastAsia="Calibri" w:cs="Arial"/>
                <w:spacing w:val="16"/>
                <w:position w:val="8"/>
                <w:szCs w:val="22"/>
              </w:rPr>
              <w:t xml:space="preserve"> </w:t>
            </w:r>
            <w:r w:rsidRPr="006D307E">
              <w:rPr>
                <w:rFonts w:eastAsia="Calibri" w:cs="Arial"/>
                <w:spacing w:val="-1"/>
                <w:position w:val="1"/>
                <w:szCs w:val="22"/>
              </w:rPr>
              <w:t>Annu</w:t>
            </w:r>
            <w:r w:rsidRPr="006D307E">
              <w:rPr>
                <w:rFonts w:eastAsia="Calibri" w:cs="Arial"/>
                <w:position w:val="1"/>
                <w:szCs w:val="22"/>
              </w:rPr>
              <w:t>al I</w:t>
            </w:r>
            <w:r w:rsidRPr="006D307E">
              <w:rPr>
                <w:rFonts w:eastAsia="Calibri" w:cs="Arial"/>
                <w:spacing w:val="-1"/>
                <w:position w:val="1"/>
                <w:szCs w:val="22"/>
              </w:rPr>
              <w:t>n</w:t>
            </w:r>
            <w:r w:rsidRPr="006D307E">
              <w:rPr>
                <w:rFonts w:eastAsia="Calibri" w:cs="Arial"/>
                <w:position w:val="1"/>
                <w:szCs w:val="22"/>
              </w:rPr>
              <w:t>t</w:t>
            </w:r>
            <w:r w:rsidRPr="006D307E">
              <w:rPr>
                <w:rFonts w:eastAsia="Calibri" w:cs="Arial"/>
                <w:spacing w:val="1"/>
                <w:position w:val="1"/>
                <w:szCs w:val="22"/>
              </w:rPr>
              <w:t>e</w:t>
            </w:r>
            <w:r w:rsidRPr="006D307E">
              <w:rPr>
                <w:rFonts w:eastAsia="Calibri" w:cs="Arial"/>
                <w:position w:val="1"/>
                <w:szCs w:val="22"/>
              </w:rPr>
              <w:t>r</w:t>
            </w:r>
            <w:r w:rsidRPr="006D307E">
              <w:rPr>
                <w:rFonts w:eastAsia="Calibri" w:cs="Arial"/>
                <w:spacing w:val="-1"/>
                <w:position w:val="1"/>
                <w:szCs w:val="22"/>
              </w:rPr>
              <w:t>n</w:t>
            </w:r>
            <w:r w:rsidRPr="006D307E">
              <w:rPr>
                <w:rFonts w:eastAsia="Calibri" w:cs="Arial"/>
                <w:position w:val="1"/>
                <w:szCs w:val="22"/>
              </w:rPr>
              <w:t>ati</w:t>
            </w:r>
            <w:r w:rsidRPr="006D307E">
              <w:rPr>
                <w:rFonts w:eastAsia="Calibri" w:cs="Arial"/>
                <w:spacing w:val="1"/>
                <w:position w:val="1"/>
                <w:szCs w:val="22"/>
              </w:rPr>
              <w:t>o</w:t>
            </w:r>
            <w:r w:rsidRPr="006D307E">
              <w:rPr>
                <w:rFonts w:eastAsia="Calibri" w:cs="Arial"/>
                <w:spacing w:val="-1"/>
                <w:position w:val="1"/>
                <w:szCs w:val="22"/>
              </w:rPr>
              <w:t>n</w:t>
            </w:r>
            <w:r w:rsidRPr="006D307E">
              <w:rPr>
                <w:rFonts w:eastAsia="Calibri" w:cs="Arial"/>
                <w:position w:val="1"/>
                <w:szCs w:val="22"/>
              </w:rPr>
              <w:t>al</w:t>
            </w:r>
            <w:r w:rsidRPr="006D307E">
              <w:rPr>
                <w:rFonts w:eastAsia="Calibri" w:cs="Arial"/>
                <w:spacing w:val="-2"/>
                <w:position w:val="1"/>
                <w:szCs w:val="22"/>
              </w:rPr>
              <w:t xml:space="preserve"> </w:t>
            </w:r>
            <w:r w:rsidRPr="006D307E">
              <w:rPr>
                <w:rFonts w:eastAsia="Calibri" w:cs="Arial"/>
                <w:spacing w:val="1"/>
                <w:position w:val="1"/>
                <w:szCs w:val="22"/>
              </w:rPr>
              <w:t>Me</w:t>
            </w:r>
            <w:r w:rsidRPr="006D307E">
              <w:rPr>
                <w:rFonts w:eastAsia="Calibri" w:cs="Arial"/>
                <w:spacing w:val="-2"/>
                <w:position w:val="1"/>
                <w:szCs w:val="22"/>
              </w:rPr>
              <w:t>e</w:t>
            </w:r>
            <w:r w:rsidRPr="006D307E">
              <w:rPr>
                <w:rFonts w:eastAsia="Calibri" w:cs="Arial"/>
                <w:position w:val="1"/>
                <w:szCs w:val="22"/>
              </w:rPr>
              <w:t>ti</w:t>
            </w:r>
            <w:r w:rsidRPr="006D307E">
              <w:rPr>
                <w:rFonts w:eastAsia="Calibri" w:cs="Arial"/>
                <w:spacing w:val="-1"/>
                <w:position w:val="1"/>
                <w:szCs w:val="22"/>
              </w:rPr>
              <w:t>ng</w:t>
            </w:r>
            <w:r w:rsidRPr="006D307E">
              <w:rPr>
                <w:rFonts w:eastAsia="Calibri" w:cs="Arial"/>
                <w:position w:val="1"/>
                <w:szCs w:val="22"/>
              </w:rPr>
              <w:t>,</w:t>
            </w:r>
            <w:r w:rsidRPr="006D307E">
              <w:rPr>
                <w:rFonts w:eastAsia="Calibri" w:cs="Arial"/>
                <w:spacing w:val="1"/>
                <w:position w:val="1"/>
                <w:szCs w:val="22"/>
              </w:rPr>
              <w:t xml:space="preserve"> </w:t>
            </w:r>
            <w:r w:rsidRPr="006D307E">
              <w:rPr>
                <w:rFonts w:eastAsia="Calibri" w:cs="Arial"/>
                <w:spacing w:val="-2"/>
                <w:position w:val="1"/>
                <w:szCs w:val="22"/>
              </w:rPr>
              <w:t>M</w:t>
            </w:r>
            <w:r w:rsidRPr="006D307E">
              <w:rPr>
                <w:rFonts w:eastAsia="Calibri" w:cs="Arial"/>
                <w:spacing w:val="1"/>
                <w:position w:val="1"/>
                <w:szCs w:val="22"/>
              </w:rPr>
              <w:t>o</w:t>
            </w:r>
            <w:r w:rsidRPr="006D307E">
              <w:rPr>
                <w:rFonts w:eastAsia="Calibri" w:cs="Arial"/>
                <w:spacing w:val="-1"/>
                <w:position w:val="1"/>
                <w:szCs w:val="22"/>
              </w:rPr>
              <w:t>n</w:t>
            </w:r>
            <w:r w:rsidRPr="006D307E">
              <w:rPr>
                <w:rFonts w:eastAsia="Calibri" w:cs="Arial"/>
                <w:position w:val="1"/>
                <w:szCs w:val="22"/>
              </w:rPr>
              <w:t>t</w:t>
            </w:r>
            <w:r w:rsidRPr="006D307E">
              <w:rPr>
                <w:rFonts w:eastAsia="Calibri" w:cs="Arial"/>
                <w:spacing w:val="-3"/>
                <w:position w:val="1"/>
                <w:szCs w:val="22"/>
              </w:rPr>
              <w:t>r</w:t>
            </w:r>
            <w:r w:rsidRPr="006D307E">
              <w:rPr>
                <w:rFonts w:eastAsia="Calibri" w:cs="Arial"/>
                <w:spacing w:val="1"/>
                <w:position w:val="1"/>
                <w:szCs w:val="22"/>
              </w:rPr>
              <w:t>e</w:t>
            </w:r>
            <w:r w:rsidRPr="006D307E">
              <w:rPr>
                <w:rFonts w:eastAsia="Calibri" w:cs="Arial"/>
                <w:position w:val="1"/>
                <w:szCs w:val="22"/>
              </w:rPr>
              <w:t>al,</w:t>
            </w:r>
            <w:r w:rsidRPr="006D307E">
              <w:rPr>
                <w:rFonts w:eastAsia="Calibri" w:cs="Arial"/>
                <w:spacing w:val="1"/>
                <w:position w:val="1"/>
                <w:szCs w:val="22"/>
              </w:rPr>
              <w:t xml:space="preserve"> </w:t>
            </w:r>
            <w:r w:rsidRPr="006D307E">
              <w:rPr>
                <w:rFonts w:eastAsia="Calibri" w:cs="Arial"/>
                <w:position w:val="1"/>
                <w:szCs w:val="22"/>
              </w:rPr>
              <w:t>Q</w:t>
            </w:r>
            <w:r w:rsidRPr="006D307E">
              <w:rPr>
                <w:rFonts w:eastAsia="Calibri" w:cs="Arial"/>
                <w:spacing w:val="-2"/>
                <w:position w:val="1"/>
                <w:szCs w:val="22"/>
              </w:rPr>
              <w:t>C</w:t>
            </w:r>
            <w:r w:rsidRPr="006D307E">
              <w:rPr>
                <w:rFonts w:eastAsia="Calibri" w:cs="Arial"/>
                <w:position w:val="1"/>
                <w:szCs w:val="22"/>
              </w:rPr>
              <w:t>,</w:t>
            </w:r>
            <w:r w:rsidRPr="006D307E">
              <w:rPr>
                <w:rFonts w:eastAsia="Calibri" w:cs="Arial"/>
                <w:spacing w:val="1"/>
                <w:position w:val="1"/>
                <w:szCs w:val="22"/>
              </w:rPr>
              <w:t xml:space="preserve"> </w:t>
            </w:r>
            <w:r w:rsidRPr="006D307E">
              <w:rPr>
                <w:rFonts w:eastAsia="Calibri" w:cs="Arial"/>
                <w:position w:val="1"/>
                <w:szCs w:val="22"/>
              </w:rPr>
              <w:t>C</w:t>
            </w:r>
            <w:r w:rsidRPr="006D307E">
              <w:rPr>
                <w:rFonts w:eastAsia="Calibri" w:cs="Arial"/>
                <w:spacing w:val="-3"/>
                <w:position w:val="1"/>
                <w:szCs w:val="22"/>
              </w:rPr>
              <w:t>a</w:t>
            </w:r>
            <w:r w:rsidRPr="006D307E">
              <w:rPr>
                <w:rFonts w:eastAsia="Calibri" w:cs="Arial"/>
                <w:spacing w:val="-1"/>
                <w:position w:val="1"/>
                <w:szCs w:val="22"/>
              </w:rPr>
              <w:t>n</w:t>
            </w:r>
            <w:r w:rsidRPr="006D307E">
              <w:rPr>
                <w:rFonts w:eastAsia="Calibri" w:cs="Arial"/>
                <w:position w:val="1"/>
                <w:szCs w:val="22"/>
              </w:rPr>
              <w:t>a</w:t>
            </w:r>
            <w:r w:rsidRPr="006D307E">
              <w:rPr>
                <w:rFonts w:eastAsia="Calibri" w:cs="Arial"/>
                <w:spacing w:val="-1"/>
                <w:position w:val="1"/>
                <w:szCs w:val="22"/>
              </w:rPr>
              <w:t>d</w:t>
            </w:r>
            <w:r w:rsidRPr="006D307E">
              <w:rPr>
                <w:rFonts w:eastAsia="Calibri" w:cs="Arial"/>
                <w:position w:val="1"/>
                <w:szCs w:val="22"/>
              </w:rPr>
              <w:t>a,</w:t>
            </w:r>
            <w:r w:rsidRPr="006D307E">
              <w:rPr>
                <w:rFonts w:eastAsia="Calibri" w:cs="Arial"/>
                <w:spacing w:val="1"/>
                <w:position w:val="1"/>
                <w:szCs w:val="22"/>
              </w:rPr>
              <w:t xml:space="preserve"> M</w:t>
            </w:r>
            <w:r w:rsidRPr="006D307E">
              <w:rPr>
                <w:rFonts w:eastAsia="Calibri" w:cs="Arial"/>
                <w:position w:val="1"/>
                <w:szCs w:val="22"/>
              </w:rPr>
              <w:t>ay</w:t>
            </w:r>
            <w:r w:rsidRPr="006D307E">
              <w:rPr>
                <w:rFonts w:eastAsia="Calibri" w:cs="Arial"/>
                <w:spacing w:val="-1"/>
                <w:position w:val="1"/>
                <w:szCs w:val="22"/>
              </w:rPr>
              <w:t xml:space="preserve"> </w:t>
            </w:r>
            <w:r w:rsidRPr="006D307E">
              <w:rPr>
                <w:rFonts w:eastAsia="Calibri" w:cs="Arial"/>
                <w:spacing w:val="-2"/>
                <w:position w:val="1"/>
                <w:szCs w:val="22"/>
              </w:rPr>
              <w:t>2</w:t>
            </w:r>
            <w:r w:rsidRPr="006D307E">
              <w:rPr>
                <w:rFonts w:eastAsia="Calibri" w:cs="Arial"/>
                <w:spacing w:val="1"/>
                <w:position w:val="1"/>
                <w:szCs w:val="22"/>
              </w:rPr>
              <w:t>0</w:t>
            </w:r>
            <w:r w:rsidRPr="006D307E">
              <w:rPr>
                <w:rFonts w:eastAsia="Calibri" w:cs="Arial"/>
                <w:spacing w:val="-2"/>
                <w:position w:val="1"/>
                <w:szCs w:val="22"/>
              </w:rPr>
              <w:t>1</w:t>
            </w:r>
            <w:r w:rsidRPr="006D307E">
              <w:rPr>
                <w:rFonts w:eastAsia="Calibri" w:cs="Arial"/>
                <w:spacing w:val="1"/>
                <w:position w:val="1"/>
                <w:szCs w:val="22"/>
              </w:rPr>
              <w:t>4</w:t>
            </w:r>
            <w:r w:rsidRPr="006D307E">
              <w:rPr>
                <w:rFonts w:eastAsia="Calibri" w:cs="Arial"/>
                <w:position w:val="1"/>
                <w:szCs w:val="22"/>
              </w:rPr>
              <w:t xml:space="preserve">. </w:t>
            </w:r>
          </w:p>
          <w:p w14:paraId="0BD67C36" w14:textId="77777777" w:rsidR="005E37BA" w:rsidRPr="006D307E" w:rsidRDefault="005E37BA" w:rsidP="006D307E">
            <w:pPr>
              <w:pStyle w:val="ListParagraph"/>
              <w:spacing w:after="0" w:line="240" w:lineRule="auto"/>
              <w:ind w:left="432" w:right="-20"/>
              <w:rPr>
                <w:rFonts w:eastAsia="Calibri" w:cs="Arial"/>
                <w:position w:val="1"/>
                <w:szCs w:val="22"/>
              </w:rPr>
            </w:pPr>
          </w:p>
          <w:p w14:paraId="3E67E5C7" w14:textId="354CFE32" w:rsidR="005E37BA" w:rsidRPr="006D307E" w:rsidRDefault="005E37BA" w:rsidP="006D307E">
            <w:pPr>
              <w:snapToGrid/>
              <w:spacing w:after="0" w:line="240" w:lineRule="auto"/>
              <w:ind w:right="-20"/>
              <w:rPr>
                <w:rFonts w:eastAsia="Calibri" w:cs="Arial"/>
                <w:position w:val="1"/>
                <w:szCs w:val="22"/>
              </w:rPr>
            </w:pPr>
            <w:r w:rsidRPr="006D307E">
              <w:rPr>
                <w:rFonts w:eastAsia="Calibri" w:cs="Arial"/>
                <w:szCs w:val="22"/>
              </w:rPr>
              <w:t>Schultz NM, Zueger PM.</w:t>
            </w:r>
            <w:r w:rsidR="00E23927">
              <w:rPr>
                <w:rFonts w:eastAsia="Calibri" w:cs="Arial"/>
                <w:szCs w:val="22"/>
              </w:rPr>
              <w:t xml:space="preserve"> </w:t>
            </w:r>
            <w:r w:rsidRPr="006D307E">
              <w:rPr>
                <w:rFonts w:eastAsia="Calibri" w:cs="Arial"/>
                <w:szCs w:val="22"/>
              </w:rPr>
              <w:t xml:space="preserve">Liraglutide: A Pharmacoeconomic Review </w:t>
            </w:r>
            <w:r w:rsidR="00E23927">
              <w:rPr>
                <w:rFonts w:eastAsia="Calibri" w:cs="Arial"/>
                <w:szCs w:val="22"/>
              </w:rPr>
              <w:t>of its Use in Type II Diabetes.</w:t>
            </w:r>
            <w:r w:rsidRPr="006D307E">
              <w:rPr>
                <w:rFonts w:eastAsia="Calibri" w:cs="Arial"/>
                <w:szCs w:val="22"/>
              </w:rPr>
              <w:t xml:space="preserve"> </w:t>
            </w:r>
            <w:r w:rsidRPr="006D307E">
              <w:rPr>
                <w:rFonts w:eastAsia="Calibri" w:cs="Arial"/>
                <w:position w:val="1"/>
                <w:szCs w:val="22"/>
              </w:rPr>
              <w:t>I</w:t>
            </w:r>
            <w:r w:rsidRPr="006D307E">
              <w:rPr>
                <w:rFonts w:eastAsia="Calibri" w:cs="Arial"/>
                <w:spacing w:val="-1"/>
                <w:position w:val="1"/>
                <w:szCs w:val="22"/>
              </w:rPr>
              <w:t>S</w:t>
            </w:r>
            <w:r w:rsidRPr="006D307E">
              <w:rPr>
                <w:rFonts w:eastAsia="Calibri" w:cs="Arial"/>
                <w:spacing w:val="1"/>
                <w:position w:val="1"/>
                <w:szCs w:val="22"/>
              </w:rPr>
              <w:t>P</w:t>
            </w:r>
            <w:r w:rsidRPr="006D307E">
              <w:rPr>
                <w:rFonts w:eastAsia="Calibri" w:cs="Arial"/>
                <w:spacing w:val="-2"/>
                <w:position w:val="1"/>
                <w:szCs w:val="22"/>
              </w:rPr>
              <w:t>O</w:t>
            </w:r>
            <w:r w:rsidRPr="006D307E">
              <w:rPr>
                <w:rFonts w:eastAsia="Calibri" w:cs="Arial"/>
                <w:position w:val="1"/>
                <w:szCs w:val="22"/>
              </w:rPr>
              <w:t>R</w:t>
            </w:r>
            <w:r w:rsidRPr="006D307E">
              <w:rPr>
                <w:rFonts w:eastAsia="Calibri" w:cs="Arial"/>
                <w:spacing w:val="-2"/>
                <w:position w:val="1"/>
                <w:szCs w:val="22"/>
              </w:rPr>
              <w:t xml:space="preserve"> </w:t>
            </w:r>
            <w:r w:rsidR="00E23927">
              <w:rPr>
                <w:rFonts w:eastAsia="Calibri" w:cs="Arial"/>
                <w:spacing w:val="1"/>
                <w:position w:val="1"/>
                <w:szCs w:val="22"/>
              </w:rPr>
              <w:t>19th</w:t>
            </w:r>
            <w:r w:rsidRPr="006D307E">
              <w:rPr>
                <w:rFonts w:eastAsia="Calibri" w:cs="Arial"/>
                <w:spacing w:val="16"/>
                <w:position w:val="8"/>
                <w:szCs w:val="22"/>
              </w:rPr>
              <w:t xml:space="preserve"> </w:t>
            </w:r>
            <w:r w:rsidRPr="006D307E">
              <w:rPr>
                <w:rFonts w:eastAsia="Calibri" w:cs="Arial"/>
                <w:spacing w:val="-1"/>
                <w:position w:val="1"/>
                <w:szCs w:val="22"/>
              </w:rPr>
              <w:t>Annu</w:t>
            </w:r>
            <w:r w:rsidRPr="006D307E">
              <w:rPr>
                <w:rFonts w:eastAsia="Calibri" w:cs="Arial"/>
                <w:position w:val="1"/>
                <w:szCs w:val="22"/>
              </w:rPr>
              <w:t>al I</w:t>
            </w:r>
            <w:r w:rsidRPr="006D307E">
              <w:rPr>
                <w:rFonts w:eastAsia="Calibri" w:cs="Arial"/>
                <w:spacing w:val="-1"/>
                <w:position w:val="1"/>
                <w:szCs w:val="22"/>
              </w:rPr>
              <w:t>n</w:t>
            </w:r>
            <w:r w:rsidRPr="006D307E">
              <w:rPr>
                <w:rFonts w:eastAsia="Calibri" w:cs="Arial"/>
                <w:position w:val="1"/>
                <w:szCs w:val="22"/>
              </w:rPr>
              <w:t>t</w:t>
            </w:r>
            <w:r w:rsidRPr="006D307E">
              <w:rPr>
                <w:rFonts w:eastAsia="Calibri" w:cs="Arial"/>
                <w:spacing w:val="1"/>
                <w:position w:val="1"/>
                <w:szCs w:val="22"/>
              </w:rPr>
              <w:t>e</w:t>
            </w:r>
            <w:r w:rsidRPr="006D307E">
              <w:rPr>
                <w:rFonts w:eastAsia="Calibri" w:cs="Arial"/>
                <w:position w:val="1"/>
                <w:szCs w:val="22"/>
              </w:rPr>
              <w:t>r</w:t>
            </w:r>
            <w:r w:rsidRPr="006D307E">
              <w:rPr>
                <w:rFonts w:eastAsia="Calibri" w:cs="Arial"/>
                <w:spacing w:val="-1"/>
                <w:position w:val="1"/>
                <w:szCs w:val="22"/>
              </w:rPr>
              <w:t>n</w:t>
            </w:r>
            <w:r w:rsidRPr="006D307E">
              <w:rPr>
                <w:rFonts w:eastAsia="Calibri" w:cs="Arial"/>
                <w:position w:val="1"/>
                <w:szCs w:val="22"/>
              </w:rPr>
              <w:t>ati</w:t>
            </w:r>
            <w:r w:rsidRPr="006D307E">
              <w:rPr>
                <w:rFonts w:eastAsia="Calibri" w:cs="Arial"/>
                <w:spacing w:val="1"/>
                <w:position w:val="1"/>
                <w:szCs w:val="22"/>
              </w:rPr>
              <w:t>o</w:t>
            </w:r>
            <w:r w:rsidRPr="006D307E">
              <w:rPr>
                <w:rFonts w:eastAsia="Calibri" w:cs="Arial"/>
                <w:spacing w:val="-1"/>
                <w:position w:val="1"/>
                <w:szCs w:val="22"/>
              </w:rPr>
              <w:t>n</w:t>
            </w:r>
            <w:r w:rsidRPr="006D307E">
              <w:rPr>
                <w:rFonts w:eastAsia="Calibri" w:cs="Arial"/>
                <w:position w:val="1"/>
                <w:szCs w:val="22"/>
              </w:rPr>
              <w:t>al</w:t>
            </w:r>
            <w:r w:rsidRPr="006D307E">
              <w:rPr>
                <w:rFonts w:eastAsia="Calibri" w:cs="Arial"/>
                <w:spacing w:val="-2"/>
                <w:position w:val="1"/>
                <w:szCs w:val="22"/>
              </w:rPr>
              <w:t xml:space="preserve"> </w:t>
            </w:r>
            <w:r w:rsidRPr="006D307E">
              <w:rPr>
                <w:rFonts w:eastAsia="Calibri" w:cs="Arial"/>
                <w:spacing w:val="1"/>
                <w:position w:val="1"/>
                <w:szCs w:val="22"/>
              </w:rPr>
              <w:t>Me</w:t>
            </w:r>
            <w:r w:rsidRPr="006D307E">
              <w:rPr>
                <w:rFonts w:eastAsia="Calibri" w:cs="Arial"/>
                <w:spacing w:val="-2"/>
                <w:position w:val="1"/>
                <w:szCs w:val="22"/>
              </w:rPr>
              <w:t>e</w:t>
            </w:r>
            <w:r w:rsidRPr="006D307E">
              <w:rPr>
                <w:rFonts w:eastAsia="Calibri" w:cs="Arial"/>
                <w:position w:val="1"/>
                <w:szCs w:val="22"/>
              </w:rPr>
              <w:t>ti</w:t>
            </w:r>
            <w:r w:rsidRPr="006D307E">
              <w:rPr>
                <w:rFonts w:eastAsia="Calibri" w:cs="Arial"/>
                <w:spacing w:val="-1"/>
                <w:position w:val="1"/>
                <w:szCs w:val="22"/>
              </w:rPr>
              <w:t>ng</w:t>
            </w:r>
            <w:r w:rsidRPr="006D307E">
              <w:rPr>
                <w:rFonts w:eastAsia="Calibri" w:cs="Arial"/>
                <w:position w:val="1"/>
                <w:szCs w:val="22"/>
              </w:rPr>
              <w:t>,</w:t>
            </w:r>
            <w:r w:rsidRPr="006D307E">
              <w:rPr>
                <w:rFonts w:eastAsia="Calibri" w:cs="Arial"/>
                <w:spacing w:val="1"/>
                <w:position w:val="1"/>
                <w:szCs w:val="22"/>
              </w:rPr>
              <w:t xml:space="preserve"> </w:t>
            </w:r>
            <w:r w:rsidRPr="006D307E">
              <w:rPr>
                <w:rFonts w:eastAsia="Calibri" w:cs="Arial"/>
                <w:spacing w:val="-2"/>
                <w:position w:val="1"/>
                <w:szCs w:val="22"/>
              </w:rPr>
              <w:t>M</w:t>
            </w:r>
            <w:r w:rsidRPr="006D307E">
              <w:rPr>
                <w:rFonts w:eastAsia="Calibri" w:cs="Arial"/>
                <w:spacing w:val="1"/>
                <w:position w:val="1"/>
                <w:szCs w:val="22"/>
              </w:rPr>
              <w:t>o</w:t>
            </w:r>
            <w:r w:rsidRPr="006D307E">
              <w:rPr>
                <w:rFonts w:eastAsia="Calibri" w:cs="Arial"/>
                <w:spacing w:val="-1"/>
                <w:position w:val="1"/>
                <w:szCs w:val="22"/>
              </w:rPr>
              <w:t>n</w:t>
            </w:r>
            <w:r w:rsidRPr="006D307E">
              <w:rPr>
                <w:rFonts w:eastAsia="Calibri" w:cs="Arial"/>
                <w:position w:val="1"/>
                <w:szCs w:val="22"/>
              </w:rPr>
              <w:t>t</w:t>
            </w:r>
            <w:r w:rsidRPr="006D307E">
              <w:rPr>
                <w:rFonts w:eastAsia="Calibri" w:cs="Arial"/>
                <w:spacing w:val="-3"/>
                <w:position w:val="1"/>
                <w:szCs w:val="22"/>
              </w:rPr>
              <w:t>r</w:t>
            </w:r>
            <w:r w:rsidRPr="006D307E">
              <w:rPr>
                <w:rFonts w:eastAsia="Calibri" w:cs="Arial"/>
                <w:spacing w:val="1"/>
                <w:position w:val="1"/>
                <w:szCs w:val="22"/>
              </w:rPr>
              <w:t>e</w:t>
            </w:r>
            <w:r w:rsidRPr="006D307E">
              <w:rPr>
                <w:rFonts w:eastAsia="Calibri" w:cs="Arial"/>
                <w:position w:val="1"/>
                <w:szCs w:val="22"/>
              </w:rPr>
              <w:t>al,</w:t>
            </w:r>
            <w:r w:rsidRPr="006D307E">
              <w:rPr>
                <w:rFonts w:eastAsia="Calibri" w:cs="Arial"/>
                <w:spacing w:val="1"/>
                <w:position w:val="1"/>
                <w:szCs w:val="22"/>
              </w:rPr>
              <w:t xml:space="preserve"> </w:t>
            </w:r>
            <w:r w:rsidRPr="006D307E">
              <w:rPr>
                <w:rFonts w:eastAsia="Calibri" w:cs="Arial"/>
                <w:position w:val="1"/>
                <w:szCs w:val="22"/>
              </w:rPr>
              <w:t>Q</w:t>
            </w:r>
            <w:r w:rsidRPr="006D307E">
              <w:rPr>
                <w:rFonts w:eastAsia="Calibri" w:cs="Arial"/>
                <w:spacing w:val="-2"/>
                <w:position w:val="1"/>
                <w:szCs w:val="22"/>
              </w:rPr>
              <w:t>C</w:t>
            </w:r>
            <w:r w:rsidRPr="006D307E">
              <w:rPr>
                <w:rFonts w:eastAsia="Calibri" w:cs="Arial"/>
                <w:position w:val="1"/>
                <w:szCs w:val="22"/>
              </w:rPr>
              <w:t>,</w:t>
            </w:r>
            <w:r w:rsidRPr="006D307E">
              <w:rPr>
                <w:rFonts w:eastAsia="Calibri" w:cs="Arial"/>
                <w:spacing w:val="1"/>
                <w:position w:val="1"/>
                <w:szCs w:val="22"/>
              </w:rPr>
              <w:t xml:space="preserve"> </w:t>
            </w:r>
            <w:r w:rsidRPr="006D307E">
              <w:rPr>
                <w:rFonts w:eastAsia="Calibri" w:cs="Arial"/>
                <w:position w:val="1"/>
                <w:szCs w:val="22"/>
              </w:rPr>
              <w:t>C</w:t>
            </w:r>
            <w:r w:rsidRPr="006D307E">
              <w:rPr>
                <w:rFonts w:eastAsia="Calibri" w:cs="Arial"/>
                <w:spacing w:val="-3"/>
                <w:position w:val="1"/>
                <w:szCs w:val="22"/>
              </w:rPr>
              <w:t>a</w:t>
            </w:r>
            <w:r w:rsidRPr="006D307E">
              <w:rPr>
                <w:rFonts w:eastAsia="Calibri" w:cs="Arial"/>
                <w:spacing w:val="-1"/>
                <w:position w:val="1"/>
                <w:szCs w:val="22"/>
              </w:rPr>
              <w:t>n</w:t>
            </w:r>
            <w:r w:rsidRPr="006D307E">
              <w:rPr>
                <w:rFonts w:eastAsia="Calibri" w:cs="Arial"/>
                <w:position w:val="1"/>
                <w:szCs w:val="22"/>
              </w:rPr>
              <w:t>a</w:t>
            </w:r>
            <w:r w:rsidRPr="006D307E">
              <w:rPr>
                <w:rFonts w:eastAsia="Calibri" w:cs="Arial"/>
                <w:spacing w:val="-1"/>
                <w:position w:val="1"/>
                <w:szCs w:val="22"/>
              </w:rPr>
              <w:t>d</w:t>
            </w:r>
            <w:r w:rsidRPr="006D307E">
              <w:rPr>
                <w:rFonts w:eastAsia="Calibri" w:cs="Arial"/>
                <w:position w:val="1"/>
                <w:szCs w:val="22"/>
              </w:rPr>
              <w:t>a,</w:t>
            </w:r>
            <w:r w:rsidRPr="006D307E">
              <w:rPr>
                <w:rFonts w:eastAsia="Calibri" w:cs="Arial"/>
                <w:spacing w:val="1"/>
                <w:position w:val="1"/>
                <w:szCs w:val="22"/>
              </w:rPr>
              <w:t xml:space="preserve"> M</w:t>
            </w:r>
            <w:r w:rsidRPr="006D307E">
              <w:rPr>
                <w:rFonts w:eastAsia="Calibri" w:cs="Arial"/>
                <w:position w:val="1"/>
                <w:szCs w:val="22"/>
              </w:rPr>
              <w:t>ay</w:t>
            </w:r>
            <w:r w:rsidRPr="006D307E">
              <w:rPr>
                <w:rFonts w:eastAsia="Calibri" w:cs="Arial"/>
                <w:spacing w:val="-1"/>
                <w:position w:val="1"/>
                <w:szCs w:val="22"/>
              </w:rPr>
              <w:t xml:space="preserve"> </w:t>
            </w:r>
            <w:r w:rsidRPr="006D307E">
              <w:rPr>
                <w:rFonts w:eastAsia="Calibri" w:cs="Arial"/>
                <w:spacing w:val="-2"/>
                <w:position w:val="1"/>
                <w:szCs w:val="22"/>
              </w:rPr>
              <w:t>2</w:t>
            </w:r>
            <w:r w:rsidRPr="006D307E">
              <w:rPr>
                <w:rFonts w:eastAsia="Calibri" w:cs="Arial"/>
                <w:spacing w:val="1"/>
                <w:position w:val="1"/>
                <w:szCs w:val="22"/>
              </w:rPr>
              <w:t>0</w:t>
            </w:r>
            <w:r w:rsidRPr="006D307E">
              <w:rPr>
                <w:rFonts w:eastAsia="Calibri" w:cs="Arial"/>
                <w:spacing w:val="-2"/>
                <w:position w:val="1"/>
                <w:szCs w:val="22"/>
              </w:rPr>
              <w:t>1</w:t>
            </w:r>
            <w:r w:rsidRPr="006D307E">
              <w:rPr>
                <w:rFonts w:eastAsia="Calibri" w:cs="Arial"/>
                <w:spacing w:val="1"/>
                <w:position w:val="1"/>
                <w:szCs w:val="22"/>
              </w:rPr>
              <w:t>4</w:t>
            </w:r>
            <w:r w:rsidRPr="006D307E">
              <w:rPr>
                <w:rFonts w:eastAsia="Calibri" w:cs="Arial"/>
                <w:position w:val="1"/>
                <w:szCs w:val="22"/>
              </w:rPr>
              <w:t xml:space="preserve">. </w:t>
            </w:r>
          </w:p>
          <w:p w14:paraId="32E6EC0B" w14:textId="77777777" w:rsidR="005E37BA" w:rsidRPr="006D307E" w:rsidRDefault="005E37BA" w:rsidP="006D307E">
            <w:pPr>
              <w:pStyle w:val="ListParagraph"/>
              <w:spacing w:after="0" w:line="240" w:lineRule="auto"/>
              <w:ind w:left="360" w:right="-20"/>
              <w:rPr>
                <w:rFonts w:eastAsia="Calibri" w:cs="Arial"/>
                <w:position w:val="1"/>
                <w:szCs w:val="22"/>
              </w:rPr>
            </w:pPr>
          </w:p>
          <w:p w14:paraId="5FFA3949" w14:textId="4B66FC37" w:rsidR="005E37BA" w:rsidRPr="006D307E" w:rsidRDefault="005E37BA" w:rsidP="006D307E">
            <w:pPr>
              <w:snapToGrid/>
              <w:spacing w:after="0" w:line="240" w:lineRule="auto"/>
              <w:ind w:right="524"/>
              <w:rPr>
                <w:rFonts w:eastAsia="Calibri" w:cs="Arial"/>
                <w:szCs w:val="22"/>
              </w:rPr>
            </w:pPr>
            <w:r w:rsidRPr="006D307E">
              <w:rPr>
                <w:rFonts w:eastAsia="Calibri" w:cs="Arial"/>
                <w:bCs/>
                <w:szCs w:val="22"/>
              </w:rPr>
              <w:t>Z</w:t>
            </w:r>
            <w:r w:rsidRPr="006D307E">
              <w:rPr>
                <w:rFonts w:eastAsia="Calibri" w:cs="Arial"/>
                <w:bCs/>
                <w:spacing w:val="-1"/>
                <w:szCs w:val="22"/>
              </w:rPr>
              <w:t>ue</w:t>
            </w:r>
            <w:r w:rsidRPr="006D307E">
              <w:rPr>
                <w:rFonts w:eastAsia="Calibri" w:cs="Arial"/>
                <w:bCs/>
                <w:spacing w:val="1"/>
                <w:szCs w:val="22"/>
              </w:rPr>
              <w:t>g</w:t>
            </w:r>
            <w:r w:rsidRPr="006D307E">
              <w:rPr>
                <w:rFonts w:eastAsia="Calibri" w:cs="Arial"/>
                <w:bCs/>
                <w:spacing w:val="-1"/>
                <w:szCs w:val="22"/>
              </w:rPr>
              <w:t>e</w:t>
            </w:r>
            <w:r w:rsidRPr="006D307E">
              <w:rPr>
                <w:rFonts w:eastAsia="Calibri" w:cs="Arial"/>
                <w:bCs/>
                <w:szCs w:val="22"/>
              </w:rPr>
              <w:t>r</w:t>
            </w:r>
            <w:r w:rsidRPr="006D307E">
              <w:rPr>
                <w:rFonts w:eastAsia="Calibri" w:cs="Arial"/>
                <w:bCs/>
                <w:spacing w:val="1"/>
                <w:szCs w:val="22"/>
              </w:rPr>
              <w:t xml:space="preserve"> </w:t>
            </w:r>
            <w:r w:rsidRPr="006D307E">
              <w:rPr>
                <w:rFonts w:eastAsia="Calibri" w:cs="Arial"/>
                <w:bCs/>
                <w:szCs w:val="22"/>
              </w:rPr>
              <w:t>PM,</w:t>
            </w:r>
            <w:r w:rsidRPr="006D307E">
              <w:rPr>
                <w:rFonts w:eastAsia="Calibri" w:cs="Arial"/>
                <w:bCs/>
                <w:spacing w:val="-1"/>
                <w:szCs w:val="22"/>
              </w:rPr>
              <w:t xml:space="preserve"> </w:t>
            </w:r>
            <w:r w:rsidRPr="006D307E">
              <w:rPr>
                <w:rFonts w:eastAsia="Calibri" w:cs="Arial"/>
                <w:szCs w:val="22"/>
              </w:rPr>
              <w:t>B</w:t>
            </w:r>
            <w:r w:rsidRPr="006D307E">
              <w:rPr>
                <w:rFonts w:eastAsia="Calibri" w:cs="Arial"/>
                <w:spacing w:val="-2"/>
                <w:szCs w:val="22"/>
              </w:rPr>
              <w:t>e</w:t>
            </w:r>
            <w:r w:rsidRPr="006D307E">
              <w:rPr>
                <w:rFonts w:eastAsia="Calibri" w:cs="Arial"/>
                <w:szCs w:val="22"/>
              </w:rPr>
              <w:t>c</w:t>
            </w:r>
            <w:r w:rsidRPr="006D307E">
              <w:rPr>
                <w:rFonts w:eastAsia="Calibri" w:cs="Arial"/>
                <w:spacing w:val="1"/>
                <w:szCs w:val="22"/>
              </w:rPr>
              <w:t>ke</w:t>
            </w:r>
            <w:r w:rsidRPr="006D307E">
              <w:rPr>
                <w:rFonts w:eastAsia="Calibri" w:cs="Arial"/>
                <w:szCs w:val="22"/>
              </w:rPr>
              <w:t>r</w:t>
            </w:r>
            <w:r w:rsidRPr="006D307E">
              <w:rPr>
                <w:rFonts w:eastAsia="Calibri" w:cs="Arial"/>
                <w:spacing w:val="-2"/>
                <w:szCs w:val="22"/>
              </w:rPr>
              <w:t xml:space="preserve"> </w:t>
            </w:r>
            <w:r w:rsidR="00E23927">
              <w:rPr>
                <w:rFonts w:eastAsia="Calibri" w:cs="Arial"/>
                <w:szCs w:val="22"/>
              </w:rPr>
              <w:t xml:space="preserve">R. </w:t>
            </w:r>
            <w:r w:rsidRPr="006D307E">
              <w:rPr>
                <w:rFonts w:eastAsia="Calibri" w:cs="Arial"/>
                <w:szCs w:val="22"/>
              </w:rPr>
              <w:t>T</w:t>
            </w:r>
            <w:r w:rsidRPr="006D307E">
              <w:rPr>
                <w:rFonts w:eastAsia="Calibri" w:cs="Arial"/>
                <w:spacing w:val="-1"/>
                <w:szCs w:val="22"/>
              </w:rPr>
              <w:t>h</w:t>
            </w:r>
            <w:r w:rsidRPr="006D307E">
              <w:rPr>
                <w:rFonts w:eastAsia="Calibri" w:cs="Arial"/>
                <w:szCs w:val="22"/>
              </w:rPr>
              <w:t>e</w:t>
            </w:r>
            <w:r w:rsidRPr="006D307E">
              <w:rPr>
                <w:rFonts w:eastAsia="Calibri" w:cs="Arial"/>
                <w:spacing w:val="-1"/>
                <w:szCs w:val="22"/>
              </w:rPr>
              <w:t xml:space="preserve"> A</w:t>
            </w:r>
            <w:r w:rsidRPr="006D307E">
              <w:rPr>
                <w:rFonts w:eastAsia="Calibri" w:cs="Arial"/>
                <w:szCs w:val="22"/>
              </w:rPr>
              <w:t>f</w:t>
            </w:r>
            <w:r w:rsidRPr="006D307E">
              <w:rPr>
                <w:rFonts w:eastAsia="Calibri" w:cs="Arial"/>
                <w:spacing w:val="-3"/>
                <w:szCs w:val="22"/>
              </w:rPr>
              <w:t>f</w:t>
            </w:r>
            <w:r w:rsidRPr="006D307E">
              <w:rPr>
                <w:rFonts w:eastAsia="Calibri" w:cs="Arial"/>
                <w:spacing w:val="1"/>
                <w:szCs w:val="22"/>
              </w:rPr>
              <w:t>o</w:t>
            </w:r>
            <w:r w:rsidRPr="006D307E">
              <w:rPr>
                <w:rFonts w:eastAsia="Calibri" w:cs="Arial"/>
                <w:szCs w:val="22"/>
              </w:rPr>
              <w:t>r</w:t>
            </w:r>
            <w:r w:rsidRPr="006D307E">
              <w:rPr>
                <w:rFonts w:eastAsia="Calibri" w:cs="Arial"/>
                <w:spacing w:val="-1"/>
                <w:szCs w:val="22"/>
              </w:rPr>
              <w:t>d</w:t>
            </w:r>
            <w:r w:rsidRPr="006D307E">
              <w:rPr>
                <w:rFonts w:eastAsia="Calibri" w:cs="Arial"/>
                <w:szCs w:val="22"/>
              </w:rPr>
              <w:t>a</w:t>
            </w:r>
            <w:r w:rsidRPr="006D307E">
              <w:rPr>
                <w:rFonts w:eastAsia="Calibri" w:cs="Arial"/>
                <w:spacing w:val="-1"/>
                <w:szCs w:val="22"/>
              </w:rPr>
              <w:t>b</w:t>
            </w:r>
            <w:r w:rsidRPr="006D307E">
              <w:rPr>
                <w:rFonts w:eastAsia="Calibri" w:cs="Arial"/>
                <w:szCs w:val="22"/>
              </w:rPr>
              <w:t>ility</w:t>
            </w:r>
            <w:r w:rsidRPr="006D307E">
              <w:rPr>
                <w:rFonts w:eastAsia="Calibri" w:cs="Arial"/>
                <w:spacing w:val="-1"/>
                <w:szCs w:val="22"/>
              </w:rPr>
              <w:t xml:space="preserve"> </w:t>
            </w:r>
            <w:r w:rsidRPr="006D307E">
              <w:rPr>
                <w:rFonts w:eastAsia="Calibri" w:cs="Arial"/>
                <w:spacing w:val="1"/>
                <w:szCs w:val="22"/>
              </w:rPr>
              <w:t>o</w:t>
            </w:r>
            <w:r w:rsidRPr="006D307E">
              <w:rPr>
                <w:rFonts w:eastAsia="Calibri" w:cs="Arial"/>
                <w:szCs w:val="22"/>
              </w:rPr>
              <w:t>f</w:t>
            </w:r>
            <w:r w:rsidRPr="006D307E">
              <w:rPr>
                <w:rFonts w:eastAsia="Calibri" w:cs="Arial"/>
                <w:spacing w:val="-2"/>
                <w:szCs w:val="22"/>
              </w:rPr>
              <w:t xml:space="preserve"> </w:t>
            </w:r>
            <w:r w:rsidRPr="006D307E">
              <w:rPr>
                <w:rFonts w:eastAsia="Calibri" w:cs="Arial"/>
                <w:szCs w:val="22"/>
              </w:rPr>
              <w:t>O</w:t>
            </w:r>
            <w:r w:rsidRPr="006D307E">
              <w:rPr>
                <w:rFonts w:eastAsia="Calibri" w:cs="Arial"/>
                <w:spacing w:val="-1"/>
                <w:szCs w:val="22"/>
              </w:rPr>
              <w:t>n</w:t>
            </w:r>
            <w:r w:rsidRPr="006D307E">
              <w:rPr>
                <w:rFonts w:eastAsia="Calibri" w:cs="Arial"/>
                <w:spacing w:val="1"/>
                <w:szCs w:val="22"/>
              </w:rPr>
              <w:t>co</w:t>
            </w:r>
            <w:r w:rsidRPr="006D307E">
              <w:rPr>
                <w:rFonts w:eastAsia="Calibri" w:cs="Arial"/>
                <w:spacing w:val="-3"/>
                <w:szCs w:val="22"/>
              </w:rPr>
              <w:t>l</w:t>
            </w:r>
            <w:r w:rsidRPr="006D307E">
              <w:rPr>
                <w:rFonts w:eastAsia="Calibri" w:cs="Arial"/>
                <w:spacing w:val="1"/>
                <w:szCs w:val="22"/>
              </w:rPr>
              <w:t>o</w:t>
            </w:r>
            <w:r w:rsidRPr="006D307E">
              <w:rPr>
                <w:rFonts w:eastAsia="Calibri" w:cs="Arial"/>
                <w:spacing w:val="-1"/>
                <w:szCs w:val="22"/>
              </w:rPr>
              <w:t>g</w:t>
            </w:r>
            <w:r w:rsidRPr="006D307E">
              <w:rPr>
                <w:rFonts w:eastAsia="Calibri" w:cs="Arial"/>
                <w:szCs w:val="22"/>
              </w:rPr>
              <w:t>y</w:t>
            </w:r>
            <w:r w:rsidRPr="006D307E">
              <w:rPr>
                <w:rFonts w:eastAsia="Calibri" w:cs="Arial"/>
                <w:spacing w:val="-1"/>
                <w:szCs w:val="22"/>
              </w:rPr>
              <w:t xml:space="preserve"> </w:t>
            </w:r>
            <w:r w:rsidRPr="006D307E">
              <w:rPr>
                <w:rFonts w:eastAsia="Calibri" w:cs="Arial"/>
                <w:szCs w:val="22"/>
              </w:rPr>
              <w:t>a</w:t>
            </w:r>
            <w:r w:rsidRPr="006D307E">
              <w:rPr>
                <w:rFonts w:eastAsia="Calibri" w:cs="Arial"/>
                <w:spacing w:val="-1"/>
                <w:szCs w:val="22"/>
              </w:rPr>
              <w:t>n</w:t>
            </w:r>
            <w:r w:rsidRPr="006D307E">
              <w:rPr>
                <w:rFonts w:eastAsia="Calibri" w:cs="Arial"/>
                <w:szCs w:val="22"/>
              </w:rPr>
              <w:t>d</w:t>
            </w:r>
            <w:r w:rsidRPr="006D307E">
              <w:rPr>
                <w:rFonts w:eastAsia="Calibri" w:cs="Arial"/>
                <w:spacing w:val="-3"/>
                <w:szCs w:val="22"/>
              </w:rPr>
              <w:t xml:space="preserve"> </w:t>
            </w:r>
            <w:r w:rsidRPr="006D307E">
              <w:rPr>
                <w:rFonts w:eastAsia="Calibri" w:cs="Arial"/>
                <w:spacing w:val="-1"/>
                <w:szCs w:val="22"/>
              </w:rPr>
              <w:t>H</w:t>
            </w:r>
            <w:r w:rsidRPr="006D307E">
              <w:rPr>
                <w:rFonts w:eastAsia="Calibri" w:cs="Arial"/>
                <w:szCs w:val="22"/>
              </w:rPr>
              <w:t>I</w:t>
            </w:r>
            <w:r w:rsidRPr="006D307E">
              <w:rPr>
                <w:rFonts w:eastAsia="Calibri" w:cs="Arial"/>
                <w:spacing w:val="-1"/>
                <w:szCs w:val="22"/>
              </w:rPr>
              <w:t>V</w:t>
            </w:r>
            <w:r w:rsidRPr="006D307E">
              <w:rPr>
                <w:rFonts w:eastAsia="Calibri" w:cs="Arial"/>
                <w:spacing w:val="1"/>
                <w:szCs w:val="22"/>
              </w:rPr>
              <w:t>/</w:t>
            </w:r>
            <w:r w:rsidRPr="006D307E">
              <w:rPr>
                <w:rFonts w:eastAsia="Calibri" w:cs="Arial"/>
                <w:spacing w:val="-1"/>
                <w:szCs w:val="22"/>
              </w:rPr>
              <w:t>A</w:t>
            </w:r>
            <w:r w:rsidRPr="006D307E">
              <w:rPr>
                <w:rFonts w:eastAsia="Calibri" w:cs="Arial"/>
                <w:szCs w:val="22"/>
              </w:rPr>
              <w:t>I</w:t>
            </w:r>
            <w:r w:rsidRPr="006D307E">
              <w:rPr>
                <w:rFonts w:eastAsia="Calibri" w:cs="Arial"/>
                <w:spacing w:val="1"/>
                <w:szCs w:val="22"/>
              </w:rPr>
              <w:t>D</w:t>
            </w:r>
            <w:r w:rsidRPr="006D307E">
              <w:rPr>
                <w:rFonts w:eastAsia="Calibri" w:cs="Arial"/>
                <w:szCs w:val="22"/>
              </w:rPr>
              <w:t xml:space="preserve">S </w:t>
            </w:r>
            <w:r w:rsidRPr="006D307E">
              <w:rPr>
                <w:rFonts w:eastAsia="Calibri" w:cs="Arial"/>
                <w:spacing w:val="-2"/>
                <w:szCs w:val="22"/>
              </w:rPr>
              <w:t>T</w:t>
            </w:r>
            <w:r w:rsidRPr="006D307E">
              <w:rPr>
                <w:rFonts w:eastAsia="Calibri" w:cs="Arial"/>
                <w:spacing w:val="1"/>
                <w:szCs w:val="22"/>
              </w:rPr>
              <w:t>e</w:t>
            </w:r>
            <w:r w:rsidRPr="006D307E">
              <w:rPr>
                <w:rFonts w:eastAsia="Calibri" w:cs="Arial"/>
                <w:szCs w:val="22"/>
              </w:rPr>
              <w:t>c</w:t>
            </w:r>
            <w:r w:rsidRPr="006D307E">
              <w:rPr>
                <w:rFonts w:eastAsia="Calibri" w:cs="Arial"/>
                <w:spacing w:val="-1"/>
                <w:szCs w:val="22"/>
              </w:rPr>
              <w:t>hn</w:t>
            </w:r>
            <w:r w:rsidRPr="006D307E">
              <w:rPr>
                <w:rFonts w:eastAsia="Calibri" w:cs="Arial"/>
                <w:spacing w:val="1"/>
                <w:szCs w:val="22"/>
              </w:rPr>
              <w:t>o</w:t>
            </w:r>
            <w:r w:rsidRPr="006D307E">
              <w:rPr>
                <w:rFonts w:eastAsia="Calibri" w:cs="Arial"/>
                <w:spacing w:val="-3"/>
                <w:szCs w:val="22"/>
              </w:rPr>
              <w:t>l</w:t>
            </w:r>
            <w:r w:rsidRPr="006D307E">
              <w:rPr>
                <w:rFonts w:eastAsia="Calibri" w:cs="Arial"/>
                <w:spacing w:val="1"/>
                <w:szCs w:val="22"/>
              </w:rPr>
              <w:t>o</w:t>
            </w:r>
            <w:r w:rsidRPr="006D307E">
              <w:rPr>
                <w:rFonts w:eastAsia="Calibri" w:cs="Arial"/>
                <w:spacing w:val="-1"/>
                <w:szCs w:val="22"/>
              </w:rPr>
              <w:t>g</w:t>
            </w:r>
            <w:r w:rsidRPr="006D307E">
              <w:rPr>
                <w:rFonts w:eastAsia="Calibri" w:cs="Arial"/>
                <w:szCs w:val="22"/>
              </w:rPr>
              <w:t>i</w:t>
            </w:r>
            <w:r w:rsidRPr="006D307E">
              <w:rPr>
                <w:rFonts w:eastAsia="Calibri" w:cs="Arial"/>
                <w:spacing w:val="1"/>
                <w:szCs w:val="22"/>
              </w:rPr>
              <w:t>e</w:t>
            </w:r>
            <w:r w:rsidRPr="006D307E">
              <w:rPr>
                <w:rFonts w:eastAsia="Calibri" w:cs="Arial"/>
                <w:szCs w:val="22"/>
              </w:rPr>
              <w:t>s</w:t>
            </w:r>
            <w:r w:rsidRPr="006D307E">
              <w:rPr>
                <w:rFonts w:eastAsia="Calibri" w:cs="Arial"/>
                <w:spacing w:val="1"/>
                <w:szCs w:val="22"/>
              </w:rPr>
              <w:t xml:space="preserve"> </w:t>
            </w:r>
            <w:r w:rsidRPr="006D307E">
              <w:rPr>
                <w:rFonts w:eastAsia="Calibri" w:cs="Arial"/>
                <w:szCs w:val="22"/>
              </w:rPr>
              <w:t>in</w:t>
            </w:r>
            <w:r w:rsidRPr="006D307E">
              <w:rPr>
                <w:rFonts w:eastAsia="Calibri" w:cs="Arial"/>
                <w:spacing w:val="-3"/>
                <w:szCs w:val="22"/>
              </w:rPr>
              <w:t xml:space="preserve"> </w:t>
            </w:r>
            <w:r w:rsidRPr="006D307E">
              <w:rPr>
                <w:rFonts w:eastAsia="Calibri" w:cs="Arial"/>
                <w:spacing w:val="-2"/>
                <w:szCs w:val="22"/>
              </w:rPr>
              <w:t>B</w:t>
            </w:r>
            <w:r w:rsidRPr="006D307E">
              <w:rPr>
                <w:rFonts w:eastAsia="Calibri" w:cs="Arial"/>
                <w:szCs w:val="22"/>
              </w:rPr>
              <w:t>ra</w:t>
            </w:r>
            <w:r w:rsidRPr="006D307E">
              <w:rPr>
                <w:rFonts w:eastAsia="Calibri" w:cs="Arial"/>
                <w:spacing w:val="-1"/>
                <w:szCs w:val="22"/>
              </w:rPr>
              <w:t>z</w:t>
            </w:r>
            <w:r w:rsidRPr="006D307E">
              <w:rPr>
                <w:rFonts w:eastAsia="Calibri" w:cs="Arial"/>
                <w:szCs w:val="22"/>
              </w:rPr>
              <w:t>il C</w:t>
            </w:r>
            <w:r w:rsidRPr="006D307E">
              <w:rPr>
                <w:rFonts w:eastAsia="Calibri" w:cs="Arial"/>
                <w:spacing w:val="-1"/>
                <w:szCs w:val="22"/>
              </w:rPr>
              <w:t>o</w:t>
            </w:r>
            <w:r w:rsidRPr="006D307E">
              <w:rPr>
                <w:rFonts w:eastAsia="Calibri" w:cs="Arial"/>
                <w:spacing w:val="1"/>
                <w:szCs w:val="22"/>
              </w:rPr>
              <w:t>m</w:t>
            </w:r>
            <w:r w:rsidRPr="006D307E">
              <w:rPr>
                <w:rFonts w:eastAsia="Calibri" w:cs="Arial"/>
                <w:spacing w:val="-1"/>
                <w:szCs w:val="22"/>
              </w:rPr>
              <w:t>p</w:t>
            </w:r>
            <w:r w:rsidRPr="006D307E">
              <w:rPr>
                <w:rFonts w:eastAsia="Calibri" w:cs="Arial"/>
                <w:szCs w:val="22"/>
              </w:rPr>
              <w:t>ar</w:t>
            </w:r>
            <w:r w:rsidRPr="006D307E">
              <w:rPr>
                <w:rFonts w:eastAsia="Calibri" w:cs="Arial"/>
                <w:spacing w:val="1"/>
                <w:szCs w:val="22"/>
              </w:rPr>
              <w:t>e</w:t>
            </w:r>
            <w:r w:rsidRPr="006D307E">
              <w:rPr>
                <w:rFonts w:eastAsia="Calibri" w:cs="Arial"/>
                <w:szCs w:val="22"/>
              </w:rPr>
              <w:t xml:space="preserve">d </w:t>
            </w:r>
            <w:r w:rsidRPr="006D307E">
              <w:rPr>
                <w:rFonts w:eastAsia="Calibri" w:cs="Arial"/>
                <w:spacing w:val="-2"/>
                <w:szCs w:val="22"/>
              </w:rPr>
              <w:t>t</w:t>
            </w:r>
            <w:r w:rsidRPr="006D307E">
              <w:rPr>
                <w:rFonts w:eastAsia="Calibri" w:cs="Arial"/>
                <w:szCs w:val="22"/>
              </w:rPr>
              <w:t>o</w:t>
            </w:r>
            <w:r w:rsidRPr="006D307E">
              <w:rPr>
                <w:rFonts w:eastAsia="Calibri" w:cs="Arial"/>
                <w:spacing w:val="-1"/>
                <w:szCs w:val="22"/>
              </w:rPr>
              <w:t xml:space="preserve"> </w:t>
            </w:r>
            <w:r w:rsidRPr="006D307E">
              <w:rPr>
                <w:rFonts w:eastAsia="Calibri" w:cs="Arial"/>
                <w:szCs w:val="22"/>
              </w:rPr>
              <w:t>t</w:t>
            </w:r>
            <w:r w:rsidRPr="006D307E">
              <w:rPr>
                <w:rFonts w:eastAsia="Calibri" w:cs="Arial"/>
                <w:spacing w:val="-1"/>
                <w:szCs w:val="22"/>
              </w:rPr>
              <w:t>h</w:t>
            </w:r>
            <w:r w:rsidRPr="006D307E">
              <w:rPr>
                <w:rFonts w:eastAsia="Calibri" w:cs="Arial"/>
                <w:szCs w:val="22"/>
              </w:rPr>
              <w:t>e</w:t>
            </w:r>
            <w:r w:rsidRPr="006D307E">
              <w:rPr>
                <w:rFonts w:eastAsia="Calibri" w:cs="Arial"/>
                <w:spacing w:val="1"/>
                <w:szCs w:val="22"/>
              </w:rPr>
              <w:t xml:space="preserve"> </w:t>
            </w:r>
            <w:r w:rsidRPr="006D307E">
              <w:rPr>
                <w:rFonts w:eastAsia="Calibri" w:cs="Arial"/>
                <w:szCs w:val="22"/>
              </w:rPr>
              <w:t>US</w:t>
            </w:r>
            <w:r w:rsidRPr="006D307E">
              <w:rPr>
                <w:rFonts w:eastAsia="Calibri" w:cs="Arial"/>
                <w:spacing w:val="-3"/>
                <w:szCs w:val="22"/>
              </w:rPr>
              <w:t xml:space="preserve"> a</w:t>
            </w:r>
            <w:r w:rsidRPr="006D307E">
              <w:rPr>
                <w:rFonts w:eastAsia="Calibri" w:cs="Arial"/>
                <w:spacing w:val="-1"/>
                <w:szCs w:val="22"/>
              </w:rPr>
              <w:t>n</w:t>
            </w:r>
            <w:r w:rsidRPr="006D307E">
              <w:rPr>
                <w:rFonts w:eastAsia="Calibri" w:cs="Arial"/>
                <w:szCs w:val="22"/>
              </w:rPr>
              <w:t>d Ot</w:t>
            </w:r>
            <w:r w:rsidRPr="006D307E">
              <w:rPr>
                <w:rFonts w:eastAsia="Calibri" w:cs="Arial"/>
                <w:spacing w:val="-1"/>
                <w:szCs w:val="22"/>
              </w:rPr>
              <w:t>h</w:t>
            </w:r>
            <w:r w:rsidRPr="006D307E">
              <w:rPr>
                <w:rFonts w:eastAsia="Calibri" w:cs="Arial"/>
                <w:szCs w:val="22"/>
              </w:rPr>
              <w:t>er</w:t>
            </w:r>
            <w:r w:rsidRPr="006D307E">
              <w:rPr>
                <w:rFonts w:eastAsia="Calibri" w:cs="Arial"/>
                <w:spacing w:val="1"/>
                <w:szCs w:val="22"/>
              </w:rPr>
              <w:t xml:space="preserve"> </w:t>
            </w:r>
            <w:r w:rsidRPr="006D307E">
              <w:rPr>
                <w:rFonts w:eastAsia="Calibri" w:cs="Arial"/>
                <w:spacing w:val="-2"/>
                <w:szCs w:val="22"/>
              </w:rPr>
              <w:t>O</w:t>
            </w:r>
            <w:r w:rsidRPr="006D307E">
              <w:rPr>
                <w:rFonts w:eastAsia="Calibri" w:cs="Arial"/>
                <w:szCs w:val="22"/>
              </w:rPr>
              <w:t>ECD</w:t>
            </w:r>
            <w:r w:rsidRPr="006D307E">
              <w:rPr>
                <w:rFonts w:eastAsia="Calibri" w:cs="Arial"/>
                <w:spacing w:val="-1"/>
                <w:szCs w:val="22"/>
              </w:rPr>
              <w:t xml:space="preserve"> </w:t>
            </w:r>
            <w:r w:rsidRPr="006D307E">
              <w:rPr>
                <w:rFonts w:eastAsia="Calibri" w:cs="Arial"/>
                <w:szCs w:val="22"/>
              </w:rPr>
              <w:t>C</w:t>
            </w:r>
            <w:r w:rsidRPr="006D307E">
              <w:rPr>
                <w:rFonts w:eastAsia="Calibri" w:cs="Arial"/>
                <w:spacing w:val="1"/>
                <w:szCs w:val="22"/>
              </w:rPr>
              <w:t>o</w:t>
            </w:r>
            <w:r w:rsidRPr="006D307E">
              <w:rPr>
                <w:rFonts w:eastAsia="Calibri" w:cs="Arial"/>
                <w:spacing w:val="-1"/>
                <w:szCs w:val="22"/>
              </w:rPr>
              <w:t>un</w:t>
            </w:r>
            <w:r w:rsidRPr="006D307E">
              <w:rPr>
                <w:rFonts w:eastAsia="Calibri" w:cs="Arial"/>
                <w:szCs w:val="22"/>
              </w:rPr>
              <w:t>tr</w:t>
            </w:r>
            <w:r w:rsidRPr="006D307E">
              <w:rPr>
                <w:rFonts w:eastAsia="Calibri" w:cs="Arial"/>
                <w:spacing w:val="-3"/>
                <w:szCs w:val="22"/>
              </w:rPr>
              <w:t>i</w:t>
            </w:r>
            <w:r w:rsidR="00E23927">
              <w:rPr>
                <w:rFonts w:eastAsia="Calibri" w:cs="Arial"/>
                <w:szCs w:val="22"/>
              </w:rPr>
              <w:t>es.</w:t>
            </w:r>
            <w:r w:rsidRPr="006D307E">
              <w:rPr>
                <w:rFonts w:eastAsia="Calibri" w:cs="Arial"/>
                <w:spacing w:val="1"/>
                <w:szCs w:val="22"/>
              </w:rPr>
              <w:t xml:space="preserve"> </w:t>
            </w:r>
            <w:r w:rsidRPr="006D307E">
              <w:rPr>
                <w:rFonts w:eastAsia="Calibri" w:cs="Arial"/>
                <w:szCs w:val="22"/>
              </w:rPr>
              <w:t>I</w:t>
            </w:r>
            <w:r w:rsidRPr="006D307E">
              <w:rPr>
                <w:rFonts w:eastAsia="Calibri" w:cs="Arial"/>
                <w:spacing w:val="-3"/>
                <w:szCs w:val="22"/>
              </w:rPr>
              <w:t>S</w:t>
            </w:r>
            <w:r w:rsidRPr="006D307E">
              <w:rPr>
                <w:rFonts w:eastAsia="Calibri" w:cs="Arial"/>
                <w:spacing w:val="1"/>
                <w:szCs w:val="22"/>
              </w:rPr>
              <w:t>P</w:t>
            </w:r>
            <w:r w:rsidRPr="006D307E">
              <w:rPr>
                <w:rFonts w:eastAsia="Calibri" w:cs="Arial"/>
                <w:szCs w:val="22"/>
              </w:rPr>
              <w:t>OR</w:t>
            </w:r>
            <w:r w:rsidR="00E23927">
              <w:rPr>
                <w:rFonts w:eastAsia="Calibri" w:cs="Arial"/>
                <w:spacing w:val="-2"/>
                <w:szCs w:val="22"/>
              </w:rPr>
              <w:t xml:space="preserve"> 4th</w:t>
            </w:r>
            <w:r w:rsidRPr="006D307E">
              <w:rPr>
                <w:rFonts w:eastAsia="Calibri" w:cs="Arial"/>
                <w:spacing w:val="18"/>
                <w:position w:val="8"/>
                <w:szCs w:val="22"/>
              </w:rPr>
              <w:t xml:space="preserve"> </w:t>
            </w:r>
            <w:r w:rsidRPr="006D307E">
              <w:rPr>
                <w:rFonts w:eastAsia="Calibri" w:cs="Arial"/>
                <w:spacing w:val="1"/>
                <w:szCs w:val="22"/>
              </w:rPr>
              <w:t>L</w:t>
            </w:r>
            <w:r w:rsidRPr="006D307E">
              <w:rPr>
                <w:rFonts w:eastAsia="Calibri" w:cs="Arial"/>
                <w:szCs w:val="22"/>
              </w:rPr>
              <w:t xml:space="preserve">atin </w:t>
            </w:r>
            <w:r w:rsidRPr="006D307E">
              <w:rPr>
                <w:rFonts w:eastAsia="Calibri" w:cs="Arial"/>
                <w:spacing w:val="-3"/>
                <w:szCs w:val="22"/>
              </w:rPr>
              <w:t>A</w:t>
            </w:r>
            <w:r w:rsidRPr="006D307E">
              <w:rPr>
                <w:rFonts w:eastAsia="Calibri" w:cs="Arial"/>
                <w:spacing w:val="1"/>
                <w:szCs w:val="22"/>
              </w:rPr>
              <w:t>me</w:t>
            </w:r>
            <w:r w:rsidRPr="006D307E">
              <w:rPr>
                <w:rFonts w:eastAsia="Calibri" w:cs="Arial"/>
                <w:szCs w:val="22"/>
              </w:rPr>
              <w:t>rica</w:t>
            </w:r>
            <w:r w:rsidRPr="006D307E">
              <w:rPr>
                <w:rFonts w:eastAsia="Calibri" w:cs="Arial"/>
                <w:spacing w:val="-2"/>
                <w:szCs w:val="22"/>
              </w:rPr>
              <w:t xml:space="preserve"> </w:t>
            </w:r>
            <w:r w:rsidRPr="006D307E">
              <w:rPr>
                <w:rFonts w:eastAsia="Calibri" w:cs="Arial"/>
                <w:szCs w:val="22"/>
              </w:rPr>
              <w:t>C</w:t>
            </w:r>
            <w:r w:rsidRPr="006D307E">
              <w:rPr>
                <w:rFonts w:eastAsia="Calibri" w:cs="Arial"/>
                <w:spacing w:val="1"/>
                <w:szCs w:val="22"/>
              </w:rPr>
              <w:t>o</w:t>
            </w:r>
            <w:r w:rsidRPr="006D307E">
              <w:rPr>
                <w:rFonts w:eastAsia="Calibri" w:cs="Arial"/>
                <w:spacing w:val="-1"/>
                <w:szCs w:val="22"/>
              </w:rPr>
              <w:t>n</w:t>
            </w:r>
            <w:r w:rsidRPr="006D307E">
              <w:rPr>
                <w:rFonts w:eastAsia="Calibri" w:cs="Arial"/>
                <w:spacing w:val="-3"/>
                <w:szCs w:val="22"/>
              </w:rPr>
              <w:t>f</w:t>
            </w:r>
            <w:r w:rsidRPr="006D307E">
              <w:rPr>
                <w:rFonts w:eastAsia="Calibri" w:cs="Arial"/>
                <w:spacing w:val="1"/>
                <w:szCs w:val="22"/>
              </w:rPr>
              <w:t>e</w:t>
            </w:r>
            <w:r w:rsidRPr="006D307E">
              <w:rPr>
                <w:rFonts w:eastAsia="Calibri" w:cs="Arial"/>
                <w:szCs w:val="22"/>
              </w:rPr>
              <w:t>r</w:t>
            </w:r>
            <w:r w:rsidRPr="006D307E">
              <w:rPr>
                <w:rFonts w:eastAsia="Calibri" w:cs="Arial"/>
                <w:spacing w:val="1"/>
                <w:szCs w:val="22"/>
              </w:rPr>
              <w:t>e</w:t>
            </w:r>
            <w:r w:rsidRPr="006D307E">
              <w:rPr>
                <w:rFonts w:eastAsia="Calibri" w:cs="Arial"/>
                <w:spacing w:val="-1"/>
                <w:szCs w:val="22"/>
              </w:rPr>
              <w:t>n</w:t>
            </w:r>
            <w:r w:rsidRPr="006D307E">
              <w:rPr>
                <w:rFonts w:eastAsia="Calibri" w:cs="Arial"/>
                <w:spacing w:val="-2"/>
                <w:szCs w:val="22"/>
              </w:rPr>
              <w:t>c</w:t>
            </w:r>
            <w:r w:rsidRPr="006D307E">
              <w:rPr>
                <w:rFonts w:eastAsia="Calibri" w:cs="Arial"/>
                <w:spacing w:val="1"/>
                <w:szCs w:val="22"/>
              </w:rPr>
              <w:t>e</w:t>
            </w:r>
            <w:r w:rsidRPr="006D307E">
              <w:rPr>
                <w:rFonts w:eastAsia="Calibri" w:cs="Arial"/>
                <w:szCs w:val="22"/>
              </w:rPr>
              <w:t>,</w:t>
            </w:r>
            <w:r w:rsidRPr="006D307E">
              <w:rPr>
                <w:rFonts w:eastAsia="Calibri" w:cs="Arial"/>
                <w:spacing w:val="-2"/>
                <w:szCs w:val="22"/>
              </w:rPr>
              <w:t xml:space="preserve"> </w:t>
            </w:r>
            <w:r w:rsidRPr="006D307E">
              <w:rPr>
                <w:rFonts w:eastAsia="Calibri" w:cs="Arial"/>
                <w:szCs w:val="22"/>
              </w:rPr>
              <w:t>B</w:t>
            </w:r>
            <w:r w:rsidRPr="006D307E">
              <w:rPr>
                <w:rFonts w:eastAsia="Calibri" w:cs="Arial"/>
                <w:spacing w:val="-1"/>
                <w:szCs w:val="22"/>
              </w:rPr>
              <w:t>u</w:t>
            </w:r>
            <w:r w:rsidRPr="006D307E">
              <w:rPr>
                <w:rFonts w:eastAsia="Calibri" w:cs="Arial"/>
                <w:spacing w:val="1"/>
                <w:szCs w:val="22"/>
              </w:rPr>
              <w:t>e</w:t>
            </w:r>
            <w:r w:rsidRPr="006D307E">
              <w:rPr>
                <w:rFonts w:eastAsia="Calibri" w:cs="Arial"/>
                <w:spacing w:val="-1"/>
                <w:szCs w:val="22"/>
              </w:rPr>
              <w:t>n</w:t>
            </w:r>
            <w:r w:rsidRPr="006D307E">
              <w:rPr>
                <w:rFonts w:eastAsia="Calibri" w:cs="Arial"/>
                <w:spacing w:val="1"/>
                <w:szCs w:val="22"/>
              </w:rPr>
              <w:t>o</w:t>
            </w:r>
            <w:r w:rsidRPr="006D307E">
              <w:rPr>
                <w:rFonts w:eastAsia="Calibri" w:cs="Arial"/>
                <w:szCs w:val="22"/>
              </w:rPr>
              <w:t>s</w:t>
            </w:r>
            <w:r w:rsidRPr="006D307E">
              <w:rPr>
                <w:rFonts w:eastAsia="Calibri" w:cs="Arial"/>
                <w:spacing w:val="1"/>
                <w:szCs w:val="22"/>
              </w:rPr>
              <w:t xml:space="preserve"> </w:t>
            </w:r>
            <w:r w:rsidRPr="006D307E">
              <w:rPr>
                <w:rFonts w:eastAsia="Calibri" w:cs="Arial"/>
                <w:spacing w:val="-1"/>
                <w:szCs w:val="22"/>
              </w:rPr>
              <w:t>A</w:t>
            </w:r>
            <w:r w:rsidRPr="006D307E">
              <w:rPr>
                <w:rFonts w:eastAsia="Calibri" w:cs="Arial"/>
                <w:szCs w:val="22"/>
              </w:rPr>
              <w:t>i</w:t>
            </w:r>
            <w:r w:rsidRPr="006D307E">
              <w:rPr>
                <w:rFonts w:eastAsia="Calibri" w:cs="Arial"/>
                <w:spacing w:val="-3"/>
                <w:szCs w:val="22"/>
              </w:rPr>
              <w:t>r</w:t>
            </w:r>
            <w:r w:rsidRPr="006D307E">
              <w:rPr>
                <w:rFonts w:eastAsia="Calibri" w:cs="Arial"/>
                <w:spacing w:val="1"/>
                <w:szCs w:val="22"/>
              </w:rPr>
              <w:t>e</w:t>
            </w:r>
            <w:r w:rsidRPr="006D307E">
              <w:rPr>
                <w:rFonts w:eastAsia="Calibri" w:cs="Arial"/>
                <w:szCs w:val="22"/>
              </w:rPr>
              <w:t>s,</w:t>
            </w:r>
            <w:r w:rsidRPr="006D307E">
              <w:rPr>
                <w:rFonts w:eastAsia="Calibri" w:cs="Arial"/>
                <w:spacing w:val="1"/>
                <w:szCs w:val="22"/>
              </w:rPr>
              <w:t xml:space="preserve"> </w:t>
            </w:r>
            <w:r w:rsidRPr="006D307E">
              <w:rPr>
                <w:rFonts w:eastAsia="Calibri" w:cs="Arial"/>
                <w:spacing w:val="-1"/>
                <w:szCs w:val="22"/>
              </w:rPr>
              <w:t>A</w:t>
            </w:r>
            <w:r w:rsidRPr="006D307E">
              <w:rPr>
                <w:rFonts w:eastAsia="Calibri" w:cs="Arial"/>
                <w:szCs w:val="22"/>
              </w:rPr>
              <w:t>r</w:t>
            </w:r>
            <w:r w:rsidRPr="006D307E">
              <w:rPr>
                <w:rFonts w:eastAsia="Calibri" w:cs="Arial"/>
                <w:spacing w:val="-1"/>
                <w:szCs w:val="22"/>
              </w:rPr>
              <w:t>g</w:t>
            </w:r>
            <w:r w:rsidRPr="006D307E">
              <w:rPr>
                <w:rFonts w:eastAsia="Calibri" w:cs="Arial"/>
                <w:spacing w:val="1"/>
                <w:szCs w:val="22"/>
              </w:rPr>
              <w:t>e</w:t>
            </w:r>
            <w:r w:rsidRPr="006D307E">
              <w:rPr>
                <w:rFonts w:eastAsia="Calibri" w:cs="Arial"/>
                <w:spacing w:val="-3"/>
                <w:szCs w:val="22"/>
              </w:rPr>
              <w:t>n</w:t>
            </w:r>
            <w:r w:rsidRPr="006D307E">
              <w:rPr>
                <w:rFonts w:eastAsia="Calibri" w:cs="Arial"/>
                <w:szCs w:val="22"/>
              </w:rPr>
              <w:t>ti</w:t>
            </w:r>
            <w:r w:rsidRPr="006D307E">
              <w:rPr>
                <w:rFonts w:eastAsia="Calibri" w:cs="Arial"/>
                <w:spacing w:val="-1"/>
                <w:szCs w:val="22"/>
              </w:rPr>
              <w:t>n</w:t>
            </w:r>
            <w:r w:rsidRPr="006D307E">
              <w:rPr>
                <w:rFonts w:eastAsia="Calibri" w:cs="Arial"/>
                <w:szCs w:val="22"/>
              </w:rPr>
              <w:t xml:space="preserve">a, </w:t>
            </w:r>
            <w:r w:rsidRPr="006D307E">
              <w:rPr>
                <w:rFonts w:eastAsia="Calibri" w:cs="Arial"/>
                <w:spacing w:val="-1"/>
                <w:szCs w:val="22"/>
              </w:rPr>
              <w:t>S</w:t>
            </w:r>
            <w:r w:rsidRPr="006D307E">
              <w:rPr>
                <w:rFonts w:eastAsia="Calibri" w:cs="Arial"/>
                <w:szCs w:val="22"/>
              </w:rPr>
              <w:t>e</w:t>
            </w:r>
            <w:r w:rsidRPr="006D307E">
              <w:rPr>
                <w:rFonts w:eastAsia="Calibri" w:cs="Arial"/>
                <w:spacing w:val="-1"/>
                <w:szCs w:val="22"/>
              </w:rPr>
              <w:t>p</w:t>
            </w:r>
            <w:r w:rsidRPr="006D307E">
              <w:rPr>
                <w:rFonts w:eastAsia="Calibri" w:cs="Arial"/>
                <w:szCs w:val="22"/>
              </w:rPr>
              <w:t>t</w:t>
            </w:r>
            <w:r w:rsidRPr="006D307E">
              <w:rPr>
                <w:rFonts w:eastAsia="Calibri" w:cs="Arial"/>
                <w:spacing w:val="-2"/>
                <w:szCs w:val="22"/>
              </w:rPr>
              <w:t>e</w:t>
            </w:r>
            <w:r w:rsidRPr="006D307E">
              <w:rPr>
                <w:rFonts w:eastAsia="Calibri" w:cs="Arial"/>
                <w:spacing w:val="1"/>
                <w:szCs w:val="22"/>
              </w:rPr>
              <w:t>m</w:t>
            </w:r>
            <w:r w:rsidRPr="006D307E">
              <w:rPr>
                <w:rFonts w:eastAsia="Calibri" w:cs="Arial"/>
                <w:spacing w:val="-1"/>
                <w:szCs w:val="22"/>
              </w:rPr>
              <w:t>b</w:t>
            </w:r>
            <w:r w:rsidRPr="006D307E">
              <w:rPr>
                <w:rFonts w:eastAsia="Calibri" w:cs="Arial"/>
                <w:szCs w:val="22"/>
              </w:rPr>
              <w:t>er</w:t>
            </w:r>
            <w:r w:rsidRPr="006D307E">
              <w:rPr>
                <w:rFonts w:eastAsia="Calibri" w:cs="Arial"/>
                <w:spacing w:val="-2"/>
                <w:szCs w:val="22"/>
              </w:rPr>
              <w:t xml:space="preserve"> </w:t>
            </w:r>
            <w:r w:rsidRPr="006D307E">
              <w:rPr>
                <w:rFonts w:eastAsia="Calibri" w:cs="Arial"/>
                <w:spacing w:val="1"/>
                <w:szCs w:val="22"/>
              </w:rPr>
              <w:t>2</w:t>
            </w:r>
            <w:r w:rsidRPr="006D307E">
              <w:rPr>
                <w:rFonts w:eastAsia="Calibri" w:cs="Arial"/>
                <w:spacing w:val="-2"/>
                <w:szCs w:val="22"/>
              </w:rPr>
              <w:t>0</w:t>
            </w:r>
            <w:r w:rsidRPr="006D307E">
              <w:rPr>
                <w:rFonts w:eastAsia="Calibri" w:cs="Arial"/>
                <w:spacing w:val="1"/>
                <w:szCs w:val="22"/>
              </w:rPr>
              <w:t>13</w:t>
            </w:r>
            <w:r w:rsidRPr="006D307E">
              <w:rPr>
                <w:rFonts w:eastAsia="Calibri" w:cs="Arial"/>
                <w:szCs w:val="22"/>
              </w:rPr>
              <w:t xml:space="preserve">. </w:t>
            </w:r>
          </w:p>
          <w:p w14:paraId="1D7496D0" w14:textId="77777777" w:rsidR="005E37BA" w:rsidRPr="006D307E" w:rsidRDefault="005E37BA" w:rsidP="006D307E">
            <w:pPr>
              <w:pStyle w:val="ListParagraph"/>
              <w:spacing w:after="0" w:line="240" w:lineRule="auto"/>
              <w:ind w:left="475" w:right="524"/>
              <w:rPr>
                <w:rFonts w:eastAsia="Calibri" w:cs="Arial"/>
                <w:szCs w:val="22"/>
              </w:rPr>
            </w:pPr>
          </w:p>
          <w:p w14:paraId="1CCA759E" w14:textId="181CDCBB" w:rsidR="005E37BA" w:rsidRPr="006D307E" w:rsidRDefault="005E37BA" w:rsidP="00E23927">
            <w:pPr>
              <w:snapToGrid/>
              <w:spacing w:after="0" w:line="240" w:lineRule="auto"/>
              <w:rPr>
                <w:rFonts w:eastAsia="Calibri" w:cs="Arial"/>
                <w:szCs w:val="22"/>
              </w:rPr>
            </w:pPr>
            <w:r w:rsidRPr="006D307E">
              <w:rPr>
                <w:rFonts w:eastAsia="Calibri" w:cs="Arial"/>
                <w:spacing w:val="1"/>
                <w:szCs w:val="22"/>
              </w:rPr>
              <w:t>P</w:t>
            </w:r>
            <w:r w:rsidRPr="006D307E">
              <w:rPr>
                <w:rFonts w:eastAsia="Calibri" w:cs="Arial"/>
                <w:szCs w:val="22"/>
              </w:rPr>
              <w:t>at</w:t>
            </w:r>
            <w:r w:rsidRPr="006D307E">
              <w:rPr>
                <w:rFonts w:eastAsia="Calibri" w:cs="Arial"/>
                <w:spacing w:val="1"/>
                <w:szCs w:val="22"/>
              </w:rPr>
              <w:t>e</w:t>
            </w:r>
            <w:r w:rsidRPr="006D307E">
              <w:rPr>
                <w:rFonts w:eastAsia="Calibri" w:cs="Arial"/>
                <w:szCs w:val="22"/>
              </w:rPr>
              <w:t>l</w:t>
            </w:r>
            <w:r w:rsidRPr="006D307E">
              <w:rPr>
                <w:rFonts w:eastAsia="Calibri" w:cs="Arial"/>
                <w:spacing w:val="-2"/>
                <w:szCs w:val="22"/>
              </w:rPr>
              <w:t xml:space="preserve"> </w:t>
            </w:r>
            <w:r w:rsidRPr="006D307E">
              <w:rPr>
                <w:rFonts w:eastAsia="Calibri" w:cs="Arial"/>
                <w:spacing w:val="-1"/>
                <w:szCs w:val="22"/>
              </w:rPr>
              <w:t>H</w:t>
            </w:r>
            <w:r w:rsidRPr="006D307E">
              <w:rPr>
                <w:rFonts w:eastAsia="Calibri" w:cs="Arial"/>
                <w:szCs w:val="22"/>
              </w:rPr>
              <w:t>,</w:t>
            </w:r>
            <w:r w:rsidRPr="006D307E">
              <w:rPr>
                <w:rFonts w:eastAsia="Calibri" w:cs="Arial"/>
                <w:spacing w:val="1"/>
                <w:szCs w:val="22"/>
              </w:rPr>
              <w:t xml:space="preserve"> </w:t>
            </w:r>
            <w:r w:rsidRPr="006D307E">
              <w:rPr>
                <w:rFonts w:eastAsia="Calibri" w:cs="Arial"/>
                <w:szCs w:val="22"/>
              </w:rPr>
              <w:t xml:space="preserve">Ursan </w:t>
            </w:r>
            <w:r w:rsidRPr="006D307E">
              <w:rPr>
                <w:rFonts w:eastAsia="Calibri" w:cs="Arial"/>
                <w:spacing w:val="-3"/>
                <w:szCs w:val="22"/>
              </w:rPr>
              <w:t>I</w:t>
            </w:r>
            <w:r w:rsidRPr="006D307E">
              <w:rPr>
                <w:rFonts w:eastAsia="Calibri" w:cs="Arial"/>
                <w:szCs w:val="22"/>
              </w:rPr>
              <w:t>,</w:t>
            </w:r>
            <w:r w:rsidRPr="006D307E">
              <w:rPr>
                <w:rFonts w:eastAsia="Calibri" w:cs="Arial"/>
                <w:spacing w:val="1"/>
                <w:szCs w:val="22"/>
              </w:rPr>
              <w:t xml:space="preserve"> </w:t>
            </w:r>
            <w:r w:rsidRPr="006D307E">
              <w:rPr>
                <w:rFonts w:eastAsia="Calibri" w:cs="Arial"/>
                <w:bCs/>
                <w:szCs w:val="22"/>
              </w:rPr>
              <w:t>Z</w:t>
            </w:r>
            <w:r w:rsidRPr="006D307E">
              <w:rPr>
                <w:rFonts w:eastAsia="Calibri" w:cs="Arial"/>
                <w:bCs/>
                <w:spacing w:val="-1"/>
                <w:szCs w:val="22"/>
              </w:rPr>
              <w:t>ue</w:t>
            </w:r>
            <w:r w:rsidRPr="006D307E">
              <w:rPr>
                <w:rFonts w:eastAsia="Calibri" w:cs="Arial"/>
                <w:bCs/>
                <w:spacing w:val="1"/>
                <w:szCs w:val="22"/>
              </w:rPr>
              <w:t>g</w:t>
            </w:r>
            <w:r w:rsidRPr="006D307E">
              <w:rPr>
                <w:rFonts w:eastAsia="Calibri" w:cs="Arial"/>
                <w:bCs/>
                <w:spacing w:val="-1"/>
                <w:szCs w:val="22"/>
              </w:rPr>
              <w:t>e</w:t>
            </w:r>
            <w:r w:rsidRPr="006D307E">
              <w:rPr>
                <w:rFonts w:eastAsia="Calibri" w:cs="Arial"/>
                <w:bCs/>
                <w:szCs w:val="22"/>
              </w:rPr>
              <w:t>r</w:t>
            </w:r>
            <w:r w:rsidRPr="006D307E">
              <w:rPr>
                <w:rFonts w:eastAsia="Calibri" w:cs="Arial"/>
                <w:bCs/>
                <w:spacing w:val="-1"/>
                <w:szCs w:val="22"/>
              </w:rPr>
              <w:t xml:space="preserve"> </w:t>
            </w:r>
            <w:r w:rsidRPr="006D307E">
              <w:rPr>
                <w:rFonts w:eastAsia="Calibri" w:cs="Arial"/>
                <w:bCs/>
                <w:szCs w:val="22"/>
              </w:rPr>
              <w:t>PM</w:t>
            </w:r>
            <w:r w:rsidRPr="006D307E">
              <w:rPr>
                <w:rFonts w:eastAsia="Calibri" w:cs="Arial"/>
                <w:szCs w:val="22"/>
              </w:rPr>
              <w:t>,</w:t>
            </w:r>
            <w:r w:rsidRPr="006D307E">
              <w:rPr>
                <w:rFonts w:eastAsia="Calibri" w:cs="Arial"/>
                <w:spacing w:val="-2"/>
                <w:szCs w:val="22"/>
              </w:rPr>
              <w:t xml:space="preserve"> </w:t>
            </w:r>
            <w:r w:rsidRPr="006D307E">
              <w:rPr>
                <w:rFonts w:eastAsia="Calibri" w:cs="Arial"/>
                <w:spacing w:val="1"/>
                <w:szCs w:val="22"/>
              </w:rPr>
              <w:t>P</w:t>
            </w:r>
            <w:r w:rsidRPr="006D307E">
              <w:rPr>
                <w:rFonts w:eastAsia="Calibri" w:cs="Arial"/>
                <w:szCs w:val="22"/>
              </w:rPr>
              <w:t>ic</w:t>
            </w:r>
            <w:r w:rsidRPr="006D307E">
              <w:rPr>
                <w:rFonts w:eastAsia="Calibri" w:cs="Arial"/>
                <w:spacing w:val="1"/>
                <w:szCs w:val="22"/>
              </w:rPr>
              <w:t>k</w:t>
            </w:r>
            <w:r w:rsidRPr="006D307E">
              <w:rPr>
                <w:rFonts w:eastAsia="Calibri" w:cs="Arial"/>
                <w:szCs w:val="22"/>
              </w:rPr>
              <w:t xml:space="preserve">ard </w:t>
            </w:r>
            <w:r w:rsidRPr="006D307E">
              <w:rPr>
                <w:rFonts w:eastAsia="Calibri" w:cs="Arial"/>
                <w:spacing w:val="-1"/>
                <w:szCs w:val="22"/>
              </w:rPr>
              <w:t>AS</w:t>
            </w:r>
            <w:r w:rsidR="00E23927">
              <w:rPr>
                <w:rFonts w:eastAsia="Calibri" w:cs="Arial"/>
                <w:szCs w:val="22"/>
              </w:rPr>
              <w:t xml:space="preserve">. </w:t>
            </w:r>
            <w:r w:rsidRPr="006D307E">
              <w:rPr>
                <w:rFonts w:eastAsia="Calibri" w:cs="Arial"/>
                <w:spacing w:val="-3"/>
                <w:szCs w:val="22"/>
              </w:rPr>
              <w:t>Different Stakeholder Perspectives on Pharmacogenomic Testing</w:t>
            </w:r>
            <w:r w:rsidR="00E23927">
              <w:rPr>
                <w:rFonts w:eastAsia="Calibri" w:cs="Arial"/>
                <w:szCs w:val="22"/>
              </w:rPr>
              <w:t>.</w:t>
            </w:r>
            <w:r w:rsidRPr="006D307E">
              <w:rPr>
                <w:rFonts w:eastAsia="Calibri" w:cs="Arial"/>
                <w:szCs w:val="22"/>
              </w:rPr>
              <w:t xml:space="preserve"> I</w:t>
            </w:r>
            <w:r w:rsidRPr="006D307E">
              <w:rPr>
                <w:rFonts w:eastAsia="Calibri" w:cs="Arial"/>
                <w:spacing w:val="-1"/>
                <w:szCs w:val="22"/>
              </w:rPr>
              <w:t>S</w:t>
            </w:r>
            <w:r w:rsidRPr="006D307E">
              <w:rPr>
                <w:rFonts w:eastAsia="Calibri" w:cs="Arial"/>
                <w:spacing w:val="1"/>
                <w:szCs w:val="22"/>
              </w:rPr>
              <w:t>P</w:t>
            </w:r>
            <w:r w:rsidRPr="006D307E">
              <w:rPr>
                <w:rFonts w:eastAsia="Calibri" w:cs="Arial"/>
                <w:szCs w:val="22"/>
              </w:rPr>
              <w:t xml:space="preserve">OR </w:t>
            </w:r>
            <w:r w:rsidR="00E23927">
              <w:rPr>
                <w:rFonts w:eastAsia="Calibri" w:cs="Arial"/>
                <w:spacing w:val="1"/>
                <w:position w:val="1"/>
                <w:szCs w:val="22"/>
              </w:rPr>
              <w:t>18th</w:t>
            </w:r>
            <w:r w:rsidRPr="006D307E">
              <w:rPr>
                <w:rFonts w:eastAsia="Calibri" w:cs="Arial"/>
                <w:spacing w:val="16"/>
                <w:position w:val="8"/>
                <w:szCs w:val="22"/>
              </w:rPr>
              <w:t xml:space="preserve"> </w:t>
            </w:r>
            <w:r w:rsidRPr="006D307E">
              <w:rPr>
                <w:rFonts w:eastAsia="Calibri" w:cs="Arial"/>
                <w:spacing w:val="-1"/>
                <w:position w:val="1"/>
                <w:szCs w:val="22"/>
              </w:rPr>
              <w:t>Annu</w:t>
            </w:r>
            <w:r w:rsidRPr="006D307E">
              <w:rPr>
                <w:rFonts w:eastAsia="Calibri" w:cs="Arial"/>
                <w:position w:val="1"/>
                <w:szCs w:val="22"/>
              </w:rPr>
              <w:t>al I</w:t>
            </w:r>
            <w:r w:rsidRPr="006D307E">
              <w:rPr>
                <w:rFonts w:eastAsia="Calibri" w:cs="Arial"/>
                <w:spacing w:val="-1"/>
                <w:position w:val="1"/>
                <w:szCs w:val="22"/>
              </w:rPr>
              <w:t>n</w:t>
            </w:r>
            <w:r w:rsidRPr="006D307E">
              <w:rPr>
                <w:rFonts w:eastAsia="Calibri" w:cs="Arial"/>
                <w:position w:val="1"/>
                <w:szCs w:val="22"/>
              </w:rPr>
              <w:t>t</w:t>
            </w:r>
            <w:r w:rsidRPr="006D307E">
              <w:rPr>
                <w:rFonts w:eastAsia="Calibri" w:cs="Arial"/>
                <w:spacing w:val="1"/>
                <w:position w:val="1"/>
                <w:szCs w:val="22"/>
              </w:rPr>
              <w:t>e</w:t>
            </w:r>
            <w:r w:rsidRPr="006D307E">
              <w:rPr>
                <w:rFonts w:eastAsia="Calibri" w:cs="Arial"/>
                <w:position w:val="1"/>
                <w:szCs w:val="22"/>
              </w:rPr>
              <w:t>r</w:t>
            </w:r>
            <w:r w:rsidRPr="006D307E">
              <w:rPr>
                <w:rFonts w:eastAsia="Calibri" w:cs="Arial"/>
                <w:spacing w:val="-1"/>
                <w:position w:val="1"/>
                <w:szCs w:val="22"/>
              </w:rPr>
              <w:t>n</w:t>
            </w:r>
            <w:r w:rsidRPr="006D307E">
              <w:rPr>
                <w:rFonts w:eastAsia="Calibri" w:cs="Arial"/>
                <w:position w:val="1"/>
                <w:szCs w:val="22"/>
              </w:rPr>
              <w:t>ati</w:t>
            </w:r>
            <w:r w:rsidRPr="006D307E">
              <w:rPr>
                <w:rFonts w:eastAsia="Calibri" w:cs="Arial"/>
                <w:spacing w:val="1"/>
                <w:position w:val="1"/>
                <w:szCs w:val="22"/>
              </w:rPr>
              <w:t>o</w:t>
            </w:r>
            <w:r w:rsidRPr="006D307E">
              <w:rPr>
                <w:rFonts w:eastAsia="Calibri" w:cs="Arial"/>
                <w:spacing w:val="-1"/>
                <w:position w:val="1"/>
                <w:szCs w:val="22"/>
              </w:rPr>
              <w:t>n</w:t>
            </w:r>
            <w:r w:rsidRPr="006D307E">
              <w:rPr>
                <w:rFonts w:eastAsia="Calibri" w:cs="Arial"/>
                <w:position w:val="1"/>
                <w:szCs w:val="22"/>
              </w:rPr>
              <w:t xml:space="preserve">al </w:t>
            </w:r>
            <w:r w:rsidRPr="006D307E">
              <w:rPr>
                <w:rFonts w:eastAsia="Calibri" w:cs="Arial"/>
                <w:spacing w:val="1"/>
                <w:position w:val="1"/>
                <w:szCs w:val="22"/>
              </w:rPr>
              <w:t>Me</w:t>
            </w:r>
            <w:r w:rsidRPr="006D307E">
              <w:rPr>
                <w:rFonts w:eastAsia="Calibri" w:cs="Arial"/>
                <w:spacing w:val="-2"/>
                <w:position w:val="1"/>
                <w:szCs w:val="22"/>
              </w:rPr>
              <w:t>e</w:t>
            </w:r>
            <w:r w:rsidRPr="006D307E">
              <w:rPr>
                <w:rFonts w:eastAsia="Calibri" w:cs="Arial"/>
                <w:position w:val="1"/>
                <w:szCs w:val="22"/>
              </w:rPr>
              <w:t>ti</w:t>
            </w:r>
            <w:r w:rsidRPr="006D307E">
              <w:rPr>
                <w:rFonts w:eastAsia="Calibri" w:cs="Arial"/>
                <w:spacing w:val="-1"/>
                <w:position w:val="1"/>
                <w:szCs w:val="22"/>
              </w:rPr>
              <w:t>ng</w:t>
            </w:r>
            <w:r w:rsidRPr="006D307E">
              <w:rPr>
                <w:rFonts w:eastAsia="Calibri" w:cs="Arial"/>
                <w:position w:val="1"/>
                <w:szCs w:val="22"/>
              </w:rPr>
              <w:t>,</w:t>
            </w:r>
            <w:r w:rsidRPr="006D307E">
              <w:rPr>
                <w:rFonts w:eastAsia="Calibri" w:cs="Arial"/>
                <w:spacing w:val="1"/>
                <w:position w:val="1"/>
                <w:szCs w:val="22"/>
              </w:rPr>
              <w:t xml:space="preserve"> </w:t>
            </w:r>
            <w:r w:rsidRPr="006D307E">
              <w:rPr>
                <w:rFonts w:eastAsia="Calibri" w:cs="Arial"/>
                <w:spacing w:val="-1"/>
                <w:position w:val="1"/>
                <w:szCs w:val="22"/>
              </w:rPr>
              <w:t>N</w:t>
            </w:r>
            <w:r w:rsidRPr="006D307E">
              <w:rPr>
                <w:rFonts w:eastAsia="Calibri" w:cs="Arial"/>
                <w:spacing w:val="1"/>
                <w:position w:val="1"/>
                <w:szCs w:val="22"/>
              </w:rPr>
              <w:t>e</w:t>
            </w:r>
            <w:r w:rsidRPr="006D307E">
              <w:rPr>
                <w:rFonts w:eastAsia="Calibri" w:cs="Arial"/>
                <w:position w:val="1"/>
                <w:szCs w:val="22"/>
              </w:rPr>
              <w:t>w</w:t>
            </w:r>
            <w:r w:rsidRPr="006D307E">
              <w:rPr>
                <w:rFonts w:eastAsia="Calibri" w:cs="Arial"/>
                <w:spacing w:val="-1"/>
                <w:position w:val="1"/>
                <w:szCs w:val="22"/>
              </w:rPr>
              <w:t xml:space="preserve"> </w:t>
            </w:r>
            <w:r w:rsidRPr="006D307E">
              <w:rPr>
                <w:rFonts w:eastAsia="Calibri" w:cs="Arial"/>
                <w:position w:val="1"/>
                <w:szCs w:val="22"/>
              </w:rPr>
              <w:t>Orl</w:t>
            </w:r>
            <w:r w:rsidRPr="006D307E">
              <w:rPr>
                <w:rFonts w:eastAsia="Calibri" w:cs="Arial"/>
                <w:spacing w:val="1"/>
                <w:position w:val="1"/>
                <w:szCs w:val="22"/>
              </w:rPr>
              <w:t>e</w:t>
            </w:r>
            <w:r w:rsidRPr="006D307E">
              <w:rPr>
                <w:rFonts w:eastAsia="Calibri" w:cs="Arial"/>
                <w:position w:val="1"/>
                <w:szCs w:val="22"/>
              </w:rPr>
              <w:t>a</w:t>
            </w:r>
            <w:r w:rsidRPr="006D307E">
              <w:rPr>
                <w:rFonts w:eastAsia="Calibri" w:cs="Arial"/>
                <w:spacing w:val="-1"/>
                <w:position w:val="1"/>
                <w:szCs w:val="22"/>
              </w:rPr>
              <w:t>n</w:t>
            </w:r>
            <w:r w:rsidRPr="006D307E">
              <w:rPr>
                <w:rFonts w:eastAsia="Calibri" w:cs="Arial"/>
                <w:spacing w:val="-2"/>
                <w:position w:val="1"/>
                <w:szCs w:val="22"/>
              </w:rPr>
              <w:t>s</w:t>
            </w:r>
            <w:r w:rsidRPr="006D307E">
              <w:rPr>
                <w:rFonts w:eastAsia="Calibri" w:cs="Arial"/>
                <w:position w:val="1"/>
                <w:szCs w:val="22"/>
              </w:rPr>
              <w:t>,</w:t>
            </w:r>
            <w:r w:rsidRPr="006D307E">
              <w:rPr>
                <w:rFonts w:eastAsia="Calibri" w:cs="Arial"/>
                <w:spacing w:val="1"/>
                <w:position w:val="1"/>
                <w:szCs w:val="22"/>
              </w:rPr>
              <w:t xml:space="preserve"> L</w:t>
            </w:r>
            <w:r w:rsidRPr="006D307E">
              <w:rPr>
                <w:rFonts w:eastAsia="Calibri" w:cs="Arial"/>
                <w:spacing w:val="-1"/>
                <w:position w:val="1"/>
                <w:szCs w:val="22"/>
              </w:rPr>
              <w:t>A</w:t>
            </w:r>
            <w:r w:rsidRPr="006D307E">
              <w:rPr>
                <w:rFonts w:eastAsia="Calibri" w:cs="Arial"/>
                <w:position w:val="1"/>
                <w:szCs w:val="22"/>
              </w:rPr>
              <w:t>,</w:t>
            </w:r>
            <w:r w:rsidRPr="006D307E">
              <w:rPr>
                <w:rFonts w:eastAsia="Calibri" w:cs="Arial"/>
                <w:spacing w:val="-4"/>
                <w:position w:val="1"/>
                <w:szCs w:val="22"/>
              </w:rPr>
              <w:t xml:space="preserve"> </w:t>
            </w:r>
            <w:r w:rsidRPr="006D307E">
              <w:rPr>
                <w:rFonts w:eastAsia="Calibri" w:cs="Arial"/>
                <w:spacing w:val="1"/>
                <w:position w:val="1"/>
                <w:szCs w:val="22"/>
              </w:rPr>
              <w:t>M</w:t>
            </w:r>
            <w:r w:rsidRPr="006D307E">
              <w:rPr>
                <w:rFonts w:eastAsia="Calibri" w:cs="Arial"/>
                <w:position w:val="1"/>
                <w:szCs w:val="22"/>
              </w:rPr>
              <w:t>ay</w:t>
            </w:r>
            <w:r w:rsidRPr="006D307E">
              <w:rPr>
                <w:rFonts w:eastAsia="Calibri" w:cs="Arial"/>
                <w:spacing w:val="-1"/>
                <w:position w:val="1"/>
                <w:szCs w:val="22"/>
              </w:rPr>
              <w:t xml:space="preserve"> </w:t>
            </w:r>
            <w:r w:rsidRPr="006D307E">
              <w:rPr>
                <w:rFonts w:eastAsia="Calibri" w:cs="Arial"/>
                <w:spacing w:val="-2"/>
                <w:position w:val="1"/>
                <w:szCs w:val="22"/>
              </w:rPr>
              <w:t>2</w:t>
            </w:r>
            <w:r w:rsidRPr="006D307E">
              <w:rPr>
                <w:rFonts w:eastAsia="Calibri" w:cs="Arial"/>
                <w:spacing w:val="1"/>
                <w:position w:val="1"/>
                <w:szCs w:val="22"/>
              </w:rPr>
              <w:t>0</w:t>
            </w:r>
            <w:r w:rsidRPr="006D307E">
              <w:rPr>
                <w:rFonts w:eastAsia="Calibri" w:cs="Arial"/>
                <w:spacing w:val="-2"/>
                <w:position w:val="1"/>
                <w:szCs w:val="22"/>
              </w:rPr>
              <w:t>1</w:t>
            </w:r>
            <w:r w:rsidRPr="006D307E">
              <w:rPr>
                <w:rFonts w:eastAsia="Calibri" w:cs="Arial"/>
                <w:spacing w:val="1"/>
                <w:position w:val="1"/>
                <w:szCs w:val="22"/>
              </w:rPr>
              <w:t>3</w:t>
            </w:r>
            <w:r w:rsidRPr="006D307E">
              <w:rPr>
                <w:rFonts w:eastAsia="Calibri" w:cs="Arial"/>
                <w:position w:val="1"/>
                <w:szCs w:val="22"/>
              </w:rPr>
              <w:t xml:space="preserve">. </w:t>
            </w:r>
          </w:p>
          <w:p w14:paraId="1E0EEFE3" w14:textId="77777777" w:rsidR="005E37BA" w:rsidRPr="006D307E" w:rsidRDefault="005E37BA" w:rsidP="006D307E">
            <w:pPr>
              <w:spacing w:after="0" w:line="240" w:lineRule="auto"/>
              <w:ind w:right="-20"/>
              <w:rPr>
                <w:rFonts w:eastAsia="Calibri" w:cs="Arial"/>
                <w:szCs w:val="22"/>
              </w:rPr>
            </w:pPr>
          </w:p>
          <w:p w14:paraId="3E15A7DD" w14:textId="077F15EC" w:rsidR="005E37BA" w:rsidRPr="006D307E" w:rsidRDefault="005E37BA" w:rsidP="006D307E">
            <w:pPr>
              <w:snapToGrid/>
              <w:spacing w:after="0" w:line="240" w:lineRule="auto"/>
              <w:ind w:right="262"/>
              <w:rPr>
                <w:rFonts w:cs="Arial"/>
                <w:szCs w:val="22"/>
              </w:rPr>
            </w:pPr>
            <w:r w:rsidRPr="00A72013">
              <w:rPr>
                <w:rFonts w:eastAsia="Calibri" w:cs="Arial"/>
                <w:spacing w:val="1"/>
                <w:szCs w:val="22"/>
              </w:rPr>
              <w:t>M</w:t>
            </w:r>
            <w:r w:rsidRPr="00A72013">
              <w:rPr>
                <w:rFonts w:eastAsia="Calibri" w:cs="Arial"/>
                <w:szCs w:val="22"/>
              </w:rPr>
              <w:t>ar</w:t>
            </w:r>
            <w:r w:rsidRPr="00A72013">
              <w:rPr>
                <w:rFonts w:eastAsia="Calibri" w:cs="Arial"/>
                <w:spacing w:val="1"/>
                <w:szCs w:val="22"/>
              </w:rPr>
              <w:t>t</w:t>
            </w:r>
            <w:r w:rsidRPr="00A72013">
              <w:rPr>
                <w:rFonts w:eastAsia="Calibri" w:cs="Arial"/>
                <w:szCs w:val="22"/>
              </w:rPr>
              <w:t>in</w:t>
            </w:r>
            <w:r w:rsidRPr="00A72013">
              <w:rPr>
                <w:rFonts w:eastAsia="Calibri" w:cs="Arial"/>
                <w:spacing w:val="-3"/>
                <w:szCs w:val="22"/>
              </w:rPr>
              <w:t xml:space="preserve"> </w:t>
            </w:r>
            <w:r w:rsidRPr="00A72013">
              <w:rPr>
                <w:rFonts w:eastAsia="Calibri" w:cs="Arial"/>
                <w:spacing w:val="1"/>
                <w:szCs w:val="22"/>
              </w:rPr>
              <w:t>M</w:t>
            </w:r>
            <w:r w:rsidRPr="00A72013">
              <w:rPr>
                <w:rFonts w:eastAsia="Calibri" w:cs="Arial"/>
                <w:szCs w:val="22"/>
              </w:rPr>
              <w:t>T,</w:t>
            </w:r>
            <w:r w:rsidRPr="00A72013">
              <w:rPr>
                <w:rFonts w:eastAsia="Calibri" w:cs="Arial"/>
                <w:spacing w:val="1"/>
                <w:szCs w:val="22"/>
              </w:rPr>
              <w:t xml:space="preserve"> </w:t>
            </w:r>
            <w:r w:rsidRPr="00A72013">
              <w:rPr>
                <w:rFonts w:eastAsia="Calibri" w:cs="Arial"/>
                <w:spacing w:val="-3"/>
                <w:szCs w:val="22"/>
              </w:rPr>
              <w:t>S</w:t>
            </w:r>
            <w:r w:rsidRPr="00A72013">
              <w:rPr>
                <w:rFonts w:eastAsia="Calibri" w:cs="Arial"/>
                <w:szCs w:val="22"/>
              </w:rPr>
              <w:t>tar</w:t>
            </w:r>
            <w:r w:rsidRPr="00A72013">
              <w:rPr>
                <w:rFonts w:eastAsia="Calibri" w:cs="Arial"/>
                <w:spacing w:val="-1"/>
                <w:szCs w:val="22"/>
              </w:rPr>
              <w:t>z</w:t>
            </w:r>
            <w:r w:rsidRPr="00A72013">
              <w:rPr>
                <w:rFonts w:eastAsia="Calibri" w:cs="Arial"/>
                <w:spacing w:val="1"/>
                <w:szCs w:val="22"/>
              </w:rPr>
              <w:t>y</w:t>
            </w:r>
            <w:r w:rsidRPr="00A72013">
              <w:rPr>
                <w:rFonts w:eastAsia="Calibri" w:cs="Arial"/>
                <w:spacing w:val="-2"/>
                <w:szCs w:val="22"/>
              </w:rPr>
              <w:t>c</w:t>
            </w:r>
            <w:r w:rsidRPr="00A72013">
              <w:rPr>
                <w:rFonts w:eastAsia="Calibri" w:cs="Arial"/>
                <w:szCs w:val="22"/>
              </w:rPr>
              <w:t>ka E,</w:t>
            </w:r>
            <w:r w:rsidRPr="00A72013">
              <w:rPr>
                <w:rFonts w:eastAsia="Calibri" w:cs="Arial"/>
                <w:spacing w:val="-2"/>
                <w:szCs w:val="22"/>
              </w:rPr>
              <w:t xml:space="preserve"> </w:t>
            </w:r>
            <w:r w:rsidRPr="00A72013">
              <w:rPr>
                <w:rFonts w:eastAsia="Calibri" w:cs="Arial"/>
                <w:spacing w:val="1"/>
                <w:szCs w:val="22"/>
              </w:rPr>
              <w:t>K</w:t>
            </w:r>
            <w:r w:rsidRPr="00A72013">
              <w:rPr>
                <w:rFonts w:eastAsia="Calibri" w:cs="Arial"/>
                <w:spacing w:val="-3"/>
                <w:szCs w:val="22"/>
              </w:rPr>
              <w:t>h</w:t>
            </w:r>
            <w:r w:rsidRPr="00A72013">
              <w:rPr>
                <w:rFonts w:eastAsia="Calibri" w:cs="Arial"/>
                <w:spacing w:val="1"/>
                <w:szCs w:val="22"/>
              </w:rPr>
              <w:t>o</w:t>
            </w:r>
            <w:r w:rsidRPr="00A72013">
              <w:rPr>
                <w:rFonts w:eastAsia="Calibri" w:cs="Arial"/>
                <w:spacing w:val="-1"/>
                <w:szCs w:val="22"/>
              </w:rPr>
              <w:t>p</w:t>
            </w:r>
            <w:r w:rsidRPr="00A72013">
              <w:rPr>
                <w:rFonts w:eastAsia="Calibri" w:cs="Arial"/>
                <w:szCs w:val="22"/>
              </w:rPr>
              <w:t>ta</w:t>
            </w:r>
            <w:r w:rsidRPr="00A72013">
              <w:rPr>
                <w:rFonts w:eastAsia="Calibri" w:cs="Arial"/>
                <w:spacing w:val="-2"/>
                <w:szCs w:val="22"/>
              </w:rPr>
              <w:t xml:space="preserve"> </w:t>
            </w:r>
            <w:r w:rsidRPr="00A72013">
              <w:rPr>
                <w:rFonts w:eastAsia="Calibri" w:cs="Arial"/>
                <w:spacing w:val="1"/>
                <w:szCs w:val="22"/>
              </w:rPr>
              <w:t>K</w:t>
            </w:r>
            <w:r w:rsidRPr="00A72013">
              <w:rPr>
                <w:rFonts w:eastAsia="Calibri" w:cs="Arial"/>
                <w:szCs w:val="22"/>
              </w:rPr>
              <w:t>,</w:t>
            </w:r>
            <w:r w:rsidRPr="00A72013">
              <w:rPr>
                <w:rFonts w:eastAsia="Calibri" w:cs="Arial"/>
                <w:spacing w:val="1"/>
                <w:szCs w:val="22"/>
              </w:rPr>
              <w:t xml:space="preserve"> </w:t>
            </w:r>
            <w:r w:rsidRPr="00A72013">
              <w:rPr>
                <w:rFonts w:eastAsia="Calibri" w:cs="Arial"/>
                <w:szCs w:val="22"/>
              </w:rPr>
              <w:t>C</w:t>
            </w:r>
            <w:r w:rsidRPr="00A72013">
              <w:rPr>
                <w:rFonts w:eastAsia="Calibri" w:cs="Arial"/>
                <w:spacing w:val="-1"/>
                <w:szCs w:val="22"/>
              </w:rPr>
              <w:t>h</w:t>
            </w:r>
            <w:r w:rsidRPr="00A72013">
              <w:rPr>
                <w:rFonts w:eastAsia="Calibri" w:cs="Arial"/>
                <w:spacing w:val="-2"/>
                <w:szCs w:val="22"/>
              </w:rPr>
              <w:t>e</w:t>
            </w:r>
            <w:r w:rsidRPr="00A72013">
              <w:rPr>
                <w:rFonts w:eastAsia="Calibri" w:cs="Arial"/>
                <w:szCs w:val="22"/>
              </w:rPr>
              <w:t>w</w:t>
            </w:r>
            <w:r w:rsidRPr="00A72013">
              <w:rPr>
                <w:rFonts w:eastAsia="Calibri" w:cs="Arial"/>
                <w:spacing w:val="1"/>
                <w:szCs w:val="22"/>
              </w:rPr>
              <w:t xml:space="preserve"> </w:t>
            </w:r>
            <w:r w:rsidRPr="00A72013">
              <w:rPr>
                <w:rFonts w:eastAsia="Calibri" w:cs="Arial"/>
                <w:spacing w:val="-1"/>
                <w:szCs w:val="22"/>
              </w:rPr>
              <w:t>A</w:t>
            </w:r>
            <w:r w:rsidRPr="00A72013">
              <w:rPr>
                <w:rFonts w:eastAsia="Calibri" w:cs="Arial"/>
                <w:szCs w:val="22"/>
              </w:rPr>
              <w:t>,</w:t>
            </w:r>
            <w:r w:rsidRPr="00A72013">
              <w:rPr>
                <w:rFonts w:eastAsia="Calibri" w:cs="Arial"/>
                <w:spacing w:val="-1"/>
                <w:szCs w:val="22"/>
              </w:rPr>
              <w:t xml:space="preserve"> </w:t>
            </w:r>
            <w:r w:rsidRPr="00A72013">
              <w:rPr>
                <w:rFonts w:eastAsia="Calibri" w:cs="Arial"/>
                <w:bCs/>
                <w:szCs w:val="22"/>
              </w:rPr>
              <w:t>Z</w:t>
            </w:r>
            <w:r w:rsidRPr="00A72013">
              <w:rPr>
                <w:rFonts w:eastAsia="Calibri" w:cs="Arial"/>
                <w:bCs/>
                <w:spacing w:val="-1"/>
                <w:szCs w:val="22"/>
              </w:rPr>
              <w:t>ue</w:t>
            </w:r>
            <w:r w:rsidRPr="00A72013">
              <w:rPr>
                <w:rFonts w:eastAsia="Calibri" w:cs="Arial"/>
                <w:bCs/>
                <w:spacing w:val="1"/>
                <w:szCs w:val="22"/>
              </w:rPr>
              <w:t>g</w:t>
            </w:r>
            <w:r w:rsidRPr="00A72013">
              <w:rPr>
                <w:rFonts w:eastAsia="Calibri" w:cs="Arial"/>
                <w:bCs/>
                <w:spacing w:val="-1"/>
                <w:szCs w:val="22"/>
              </w:rPr>
              <w:t>e</w:t>
            </w:r>
            <w:r w:rsidRPr="00A72013">
              <w:rPr>
                <w:rFonts w:eastAsia="Calibri" w:cs="Arial"/>
                <w:bCs/>
                <w:szCs w:val="22"/>
              </w:rPr>
              <w:t>r</w:t>
            </w:r>
            <w:r w:rsidRPr="00A72013">
              <w:rPr>
                <w:rFonts w:eastAsia="Calibri" w:cs="Arial"/>
                <w:bCs/>
                <w:spacing w:val="1"/>
                <w:szCs w:val="22"/>
              </w:rPr>
              <w:t xml:space="preserve"> </w:t>
            </w:r>
            <w:r w:rsidRPr="00A72013">
              <w:rPr>
                <w:rFonts w:eastAsia="Calibri" w:cs="Arial"/>
                <w:bCs/>
                <w:szCs w:val="22"/>
              </w:rPr>
              <w:t>PM</w:t>
            </w:r>
            <w:r w:rsidRPr="00A72013">
              <w:rPr>
                <w:rFonts w:eastAsia="Calibri" w:cs="Arial"/>
                <w:szCs w:val="22"/>
              </w:rPr>
              <w:t>.</w:t>
            </w:r>
            <w:r w:rsidRPr="00A72013">
              <w:rPr>
                <w:rFonts w:eastAsia="Calibri" w:cs="Arial"/>
                <w:spacing w:val="-5"/>
                <w:szCs w:val="22"/>
              </w:rPr>
              <w:t xml:space="preserve"> </w:t>
            </w:r>
            <w:r w:rsidRPr="006D307E">
              <w:rPr>
                <w:rFonts w:eastAsia="Calibri" w:cs="Arial"/>
                <w:szCs w:val="22"/>
              </w:rPr>
              <w:t>Ret</w:t>
            </w:r>
            <w:r w:rsidRPr="006D307E">
              <w:rPr>
                <w:rFonts w:eastAsia="Calibri" w:cs="Arial"/>
                <w:spacing w:val="-2"/>
                <w:szCs w:val="22"/>
              </w:rPr>
              <w:t>r</w:t>
            </w:r>
            <w:r w:rsidRPr="006D307E">
              <w:rPr>
                <w:rFonts w:eastAsia="Calibri" w:cs="Arial"/>
                <w:spacing w:val="1"/>
                <w:szCs w:val="22"/>
              </w:rPr>
              <w:t>o</w:t>
            </w:r>
            <w:r w:rsidRPr="006D307E">
              <w:rPr>
                <w:rFonts w:eastAsia="Calibri" w:cs="Arial"/>
                <w:szCs w:val="22"/>
              </w:rPr>
              <w:t>s</w:t>
            </w:r>
            <w:r w:rsidRPr="006D307E">
              <w:rPr>
                <w:rFonts w:eastAsia="Calibri" w:cs="Arial"/>
                <w:spacing w:val="-1"/>
                <w:szCs w:val="22"/>
              </w:rPr>
              <w:t>p</w:t>
            </w:r>
            <w:r w:rsidRPr="006D307E">
              <w:rPr>
                <w:rFonts w:eastAsia="Calibri" w:cs="Arial"/>
                <w:szCs w:val="22"/>
              </w:rPr>
              <w:t>ect</w:t>
            </w:r>
            <w:r w:rsidRPr="006D307E">
              <w:rPr>
                <w:rFonts w:eastAsia="Calibri" w:cs="Arial"/>
                <w:spacing w:val="-3"/>
                <w:szCs w:val="22"/>
              </w:rPr>
              <w:t>i</w:t>
            </w:r>
            <w:r w:rsidRPr="006D307E">
              <w:rPr>
                <w:rFonts w:eastAsia="Calibri" w:cs="Arial"/>
                <w:spacing w:val="1"/>
                <w:szCs w:val="22"/>
              </w:rPr>
              <w:t>v</w:t>
            </w:r>
            <w:r w:rsidRPr="006D307E">
              <w:rPr>
                <w:rFonts w:eastAsia="Calibri" w:cs="Arial"/>
                <w:szCs w:val="22"/>
              </w:rPr>
              <w:t>e</w:t>
            </w:r>
            <w:r w:rsidRPr="006D307E">
              <w:rPr>
                <w:rFonts w:eastAsia="Calibri" w:cs="Arial"/>
                <w:spacing w:val="-1"/>
                <w:szCs w:val="22"/>
              </w:rPr>
              <w:t xml:space="preserve"> </w:t>
            </w:r>
            <w:r w:rsidRPr="006D307E">
              <w:rPr>
                <w:rFonts w:eastAsia="Calibri" w:cs="Arial"/>
                <w:szCs w:val="22"/>
              </w:rPr>
              <w:t>R</w:t>
            </w:r>
            <w:r w:rsidRPr="006D307E">
              <w:rPr>
                <w:rFonts w:eastAsia="Calibri" w:cs="Arial"/>
                <w:spacing w:val="-2"/>
                <w:szCs w:val="22"/>
              </w:rPr>
              <w:t>e</w:t>
            </w:r>
            <w:r w:rsidRPr="006D307E">
              <w:rPr>
                <w:rFonts w:eastAsia="Calibri" w:cs="Arial"/>
                <w:spacing w:val="1"/>
                <w:szCs w:val="22"/>
              </w:rPr>
              <w:t>v</w:t>
            </w:r>
            <w:r w:rsidRPr="006D307E">
              <w:rPr>
                <w:rFonts w:eastAsia="Calibri" w:cs="Arial"/>
                <w:szCs w:val="22"/>
              </w:rPr>
              <w:t>i</w:t>
            </w:r>
            <w:r w:rsidRPr="006D307E">
              <w:rPr>
                <w:rFonts w:eastAsia="Calibri" w:cs="Arial"/>
                <w:spacing w:val="-2"/>
                <w:szCs w:val="22"/>
              </w:rPr>
              <w:t>e</w:t>
            </w:r>
            <w:r w:rsidRPr="006D307E">
              <w:rPr>
                <w:rFonts w:eastAsia="Calibri" w:cs="Arial"/>
                <w:szCs w:val="22"/>
              </w:rPr>
              <w:t>w</w:t>
            </w:r>
            <w:r w:rsidRPr="006D307E">
              <w:rPr>
                <w:rFonts w:eastAsia="Calibri" w:cs="Arial"/>
                <w:spacing w:val="-1"/>
                <w:szCs w:val="22"/>
              </w:rPr>
              <w:t xml:space="preserve"> </w:t>
            </w:r>
            <w:r w:rsidRPr="006D307E">
              <w:rPr>
                <w:rFonts w:eastAsia="Calibri" w:cs="Arial"/>
                <w:spacing w:val="1"/>
                <w:szCs w:val="22"/>
              </w:rPr>
              <w:t>o</w:t>
            </w:r>
            <w:r w:rsidRPr="006D307E">
              <w:rPr>
                <w:rFonts w:eastAsia="Calibri" w:cs="Arial"/>
                <w:szCs w:val="22"/>
              </w:rPr>
              <w:t xml:space="preserve">f </w:t>
            </w:r>
            <w:r w:rsidRPr="006D307E">
              <w:rPr>
                <w:rFonts w:eastAsia="Calibri" w:cs="Arial"/>
                <w:spacing w:val="-1"/>
                <w:szCs w:val="22"/>
              </w:rPr>
              <w:t>V</w:t>
            </w:r>
            <w:r w:rsidRPr="006D307E">
              <w:rPr>
                <w:rFonts w:eastAsia="Calibri" w:cs="Arial"/>
                <w:spacing w:val="-3"/>
                <w:szCs w:val="22"/>
              </w:rPr>
              <w:t>i</w:t>
            </w:r>
            <w:r w:rsidRPr="006D307E">
              <w:rPr>
                <w:rFonts w:eastAsia="Calibri" w:cs="Arial"/>
                <w:szCs w:val="22"/>
              </w:rPr>
              <w:t>ta</w:t>
            </w:r>
            <w:r w:rsidRPr="006D307E">
              <w:rPr>
                <w:rFonts w:eastAsia="Calibri" w:cs="Arial"/>
                <w:spacing w:val="1"/>
                <w:szCs w:val="22"/>
              </w:rPr>
              <w:t>m</w:t>
            </w:r>
            <w:r w:rsidRPr="006D307E">
              <w:rPr>
                <w:rFonts w:eastAsia="Calibri" w:cs="Arial"/>
                <w:szCs w:val="22"/>
              </w:rPr>
              <w:t>in</w:t>
            </w:r>
            <w:r w:rsidRPr="006D307E">
              <w:rPr>
                <w:rFonts w:eastAsia="Calibri" w:cs="Arial"/>
                <w:spacing w:val="-3"/>
                <w:szCs w:val="22"/>
              </w:rPr>
              <w:t xml:space="preserve"> </w:t>
            </w:r>
            <w:r w:rsidRPr="006D307E">
              <w:rPr>
                <w:rFonts w:eastAsia="Calibri" w:cs="Arial"/>
                <w:szCs w:val="22"/>
              </w:rPr>
              <w:t>D</w:t>
            </w:r>
            <w:r w:rsidRPr="006D307E">
              <w:rPr>
                <w:rFonts w:eastAsia="Calibri" w:cs="Arial"/>
                <w:spacing w:val="-1"/>
                <w:szCs w:val="22"/>
              </w:rPr>
              <w:t xml:space="preserve"> </w:t>
            </w:r>
            <w:r w:rsidRPr="006D307E">
              <w:rPr>
                <w:rFonts w:eastAsia="Calibri" w:cs="Arial"/>
                <w:spacing w:val="1"/>
                <w:szCs w:val="22"/>
              </w:rPr>
              <w:t>L</w:t>
            </w:r>
            <w:r w:rsidRPr="006D307E">
              <w:rPr>
                <w:rFonts w:eastAsia="Calibri" w:cs="Arial"/>
                <w:spacing w:val="-2"/>
                <w:szCs w:val="22"/>
              </w:rPr>
              <w:t>e</w:t>
            </w:r>
            <w:r w:rsidRPr="006D307E">
              <w:rPr>
                <w:rFonts w:eastAsia="Calibri" w:cs="Arial"/>
                <w:spacing w:val="1"/>
                <w:szCs w:val="22"/>
              </w:rPr>
              <w:t>v</w:t>
            </w:r>
            <w:r w:rsidRPr="006D307E">
              <w:rPr>
                <w:rFonts w:eastAsia="Calibri" w:cs="Arial"/>
                <w:szCs w:val="22"/>
              </w:rPr>
              <w:t>els,</w:t>
            </w:r>
            <w:r w:rsidRPr="006D307E">
              <w:rPr>
                <w:rFonts w:eastAsia="Calibri" w:cs="Arial"/>
                <w:spacing w:val="1"/>
                <w:szCs w:val="22"/>
              </w:rPr>
              <w:t xml:space="preserve"> </w:t>
            </w:r>
            <w:r w:rsidRPr="006D307E">
              <w:rPr>
                <w:rFonts w:eastAsia="Calibri" w:cs="Arial"/>
                <w:spacing w:val="-1"/>
                <w:szCs w:val="22"/>
              </w:rPr>
              <w:t>Supp</w:t>
            </w:r>
            <w:r w:rsidRPr="006D307E">
              <w:rPr>
                <w:rFonts w:eastAsia="Calibri" w:cs="Arial"/>
                <w:szCs w:val="22"/>
              </w:rPr>
              <w:t>l</w:t>
            </w:r>
            <w:r w:rsidRPr="006D307E">
              <w:rPr>
                <w:rFonts w:eastAsia="Calibri" w:cs="Arial"/>
                <w:spacing w:val="-2"/>
                <w:szCs w:val="22"/>
              </w:rPr>
              <w:t>e</w:t>
            </w:r>
            <w:r w:rsidRPr="006D307E">
              <w:rPr>
                <w:rFonts w:eastAsia="Calibri" w:cs="Arial"/>
                <w:spacing w:val="1"/>
                <w:szCs w:val="22"/>
              </w:rPr>
              <w:t>m</w:t>
            </w:r>
            <w:r w:rsidRPr="006D307E">
              <w:rPr>
                <w:rFonts w:eastAsia="Calibri" w:cs="Arial"/>
                <w:szCs w:val="22"/>
              </w:rPr>
              <w:t>e</w:t>
            </w:r>
            <w:r w:rsidRPr="006D307E">
              <w:rPr>
                <w:rFonts w:eastAsia="Calibri" w:cs="Arial"/>
                <w:spacing w:val="-3"/>
                <w:szCs w:val="22"/>
              </w:rPr>
              <w:t>n</w:t>
            </w:r>
            <w:r w:rsidRPr="006D307E">
              <w:rPr>
                <w:rFonts w:eastAsia="Calibri" w:cs="Arial"/>
                <w:szCs w:val="22"/>
              </w:rPr>
              <w:t>tati</w:t>
            </w:r>
            <w:r w:rsidRPr="006D307E">
              <w:rPr>
                <w:rFonts w:eastAsia="Calibri" w:cs="Arial"/>
                <w:spacing w:val="1"/>
                <w:szCs w:val="22"/>
              </w:rPr>
              <w:t>o</w:t>
            </w:r>
            <w:r w:rsidRPr="006D307E">
              <w:rPr>
                <w:rFonts w:eastAsia="Calibri" w:cs="Arial"/>
                <w:spacing w:val="-1"/>
                <w:szCs w:val="22"/>
              </w:rPr>
              <w:t>n</w:t>
            </w:r>
            <w:r w:rsidRPr="006D307E">
              <w:rPr>
                <w:rFonts w:eastAsia="Calibri" w:cs="Arial"/>
                <w:szCs w:val="22"/>
              </w:rPr>
              <w:t>, a</w:t>
            </w:r>
            <w:r w:rsidRPr="006D307E">
              <w:rPr>
                <w:rFonts w:eastAsia="Calibri" w:cs="Arial"/>
                <w:spacing w:val="-1"/>
                <w:szCs w:val="22"/>
              </w:rPr>
              <w:t>n</w:t>
            </w:r>
            <w:r w:rsidRPr="006D307E">
              <w:rPr>
                <w:rFonts w:eastAsia="Calibri" w:cs="Arial"/>
                <w:szCs w:val="22"/>
              </w:rPr>
              <w:t>d Early</w:t>
            </w:r>
            <w:r w:rsidRPr="006D307E">
              <w:rPr>
                <w:rFonts w:eastAsia="Calibri" w:cs="Arial"/>
                <w:spacing w:val="2"/>
                <w:szCs w:val="22"/>
              </w:rPr>
              <w:t xml:space="preserve"> </w:t>
            </w:r>
            <w:r w:rsidRPr="006D307E">
              <w:rPr>
                <w:rFonts w:eastAsia="Calibri" w:cs="Arial"/>
                <w:spacing w:val="-1"/>
                <w:szCs w:val="22"/>
              </w:rPr>
              <w:t>V</w:t>
            </w:r>
            <w:r w:rsidRPr="006D307E">
              <w:rPr>
                <w:rFonts w:eastAsia="Calibri" w:cs="Arial"/>
                <w:szCs w:val="22"/>
              </w:rPr>
              <w:t>i</w:t>
            </w:r>
            <w:r w:rsidRPr="006D307E">
              <w:rPr>
                <w:rFonts w:eastAsia="Calibri" w:cs="Arial"/>
                <w:spacing w:val="-3"/>
                <w:szCs w:val="22"/>
              </w:rPr>
              <w:t>r</w:t>
            </w:r>
            <w:r w:rsidRPr="006D307E">
              <w:rPr>
                <w:rFonts w:eastAsia="Calibri" w:cs="Arial"/>
                <w:spacing w:val="1"/>
                <w:szCs w:val="22"/>
              </w:rPr>
              <w:t>o</w:t>
            </w:r>
            <w:r w:rsidRPr="006D307E">
              <w:rPr>
                <w:rFonts w:eastAsia="Calibri" w:cs="Arial"/>
                <w:szCs w:val="22"/>
              </w:rPr>
              <w:t>l</w:t>
            </w:r>
            <w:r w:rsidRPr="006D307E">
              <w:rPr>
                <w:rFonts w:eastAsia="Calibri" w:cs="Arial"/>
                <w:spacing w:val="1"/>
                <w:szCs w:val="22"/>
              </w:rPr>
              <w:t>o</w:t>
            </w:r>
            <w:r w:rsidRPr="006D307E">
              <w:rPr>
                <w:rFonts w:eastAsia="Calibri" w:cs="Arial"/>
                <w:spacing w:val="-1"/>
                <w:szCs w:val="22"/>
              </w:rPr>
              <w:t>g</w:t>
            </w:r>
            <w:r w:rsidRPr="006D307E">
              <w:rPr>
                <w:rFonts w:eastAsia="Calibri" w:cs="Arial"/>
                <w:szCs w:val="22"/>
              </w:rPr>
              <w:t>i</w:t>
            </w:r>
            <w:r w:rsidRPr="006D307E">
              <w:rPr>
                <w:rFonts w:eastAsia="Calibri" w:cs="Arial"/>
                <w:spacing w:val="-2"/>
                <w:szCs w:val="22"/>
              </w:rPr>
              <w:t>c</w:t>
            </w:r>
            <w:r w:rsidRPr="006D307E">
              <w:rPr>
                <w:rFonts w:eastAsia="Calibri" w:cs="Arial"/>
                <w:szCs w:val="22"/>
              </w:rPr>
              <w:t>al R</w:t>
            </w:r>
            <w:r w:rsidRPr="006D307E">
              <w:rPr>
                <w:rFonts w:eastAsia="Calibri" w:cs="Arial"/>
                <w:spacing w:val="-2"/>
                <w:szCs w:val="22"/>
              </w:rPr>
              <w:t>e</w:t>
            </w:r>
            <w:r w:rsidRPr="006D307E">
              <w:rPr>
                <w:rFonts w:eastAsia="Calibri" w:cs="Arial"/>
                <w:szCs w:val="22"/>
              </w:rPr>
              <w:t>s</w:t>
            </w:r>
            <w:r w:rsidRPr="006D307E">
              <w:rPr>
                <w:rFonts w:eastAsia="Calibri" w:cs="Arial"/>
                <w:spacing w:val="-1"/>
                <w:szCs w:val="22"/>
              </w:rPr>
              <w:t>pon</w:t>
            </w:r>
            <w:r w:rsidRPr="006D307E">
              <w:rPr>
                <w:rFonts w:eastAsia="Calibri" w:cs="Arial"/>
                <w:szCs w:val="22"/>
              </w:rPr>
              <w:t>se</w:t>
            </w:r>
            <w:r w:rsidRPr="006D307E">
              <w:rPr>
                <w:rFonts w:eastAsia="Calibri" w:cs="Arial"/>
                <w:spacing w:val="1"/>
                <w:szCs w:val="22"/>
              </w:rPr>
              <w:t xml:space="preserve"> </w:t>
            </w:r>
            <w:r w:rsidRPr="006D307E">
              <w:rPr>
                <w:rFonts w:eastAsia="Calibri" w:cs="Arial"/>
                <w:szCs w:val="22"/>
              </w:rPr>
              <w:t xml:space="preserve">in </w:t>
            </w:r>
            <w:r w:rsidRPr="006D307E">
              <w:rPr>
                <w:rFonts w:eastAsia="Calibri" w:cs="Arial"/>
                <w:spacing w:val="-1"/>
                <w:szCs w:val="22"/>
              </w:rPr>
              <w:t>H</w:t>
            </w:r>
            <w:r w:rsidRPr="006D307E">
              <w:rPr>
                <w:rFonts w:eastAsia="Calibri" w:cs="Arial"/>
                <w:spacing w:val="1"/>
                <w:szCs w:val="22"/>
              </w:rPr>
              <w:t>e</w:t>
            </w:r>
            <w:r w:rsidRPr="006D307E">
              <w:rPr>
                <w:rFonts w:eastAsia="Calibri" w:cs="Arial"/>
                <w:spacing w:val="-1"/>
                <w:szCs w:val="22"/>
              </w:rPr>
              <w:t>p</w:t>
            </w:r>
            <w:r w:rsidRPr="006D307E">
              <w:rPr>
                <w:rFonts w:eastAsia="Calibri" w:cs="Arial"/>
                <w:szCs w:val="22"/>
              </w:rPr>
              <w:t>a</w:t>
            </w:r>
            <w:r w:rsidRPr="006D307E">
              <w:rPr>
                <w:rFonts w:eastAsia="Calibri" w:cs="Arial"/>
                <w:spacing w:val="1"/>
                <w:szCs w:val="22"/>
              </w:rPr>
              <w:t>t</w:t>
            </w:r>
            <w:r w:rsidRPr="006D307E">
              <w:rPr>
                <w:rFonts w:eastAsia="Calibri" w:cs="Arial"/>
                <w:szCs w:val="22"/>
              </w:rPr>
              <w:t>it</w:t>
            </w:r>
            <w:r w:rsidRPr="006D307E">
              <w:rPr>
                <w:rFonts w:eastAsia="Calibri" w:cs="Arial"/>
                <w:spacing w:val="-3"/>
                <w:szCs w:val="22"/>
              </w:rPr>
              <w:t>i</w:t>
            </w:r>
            <w:r w:rsidRPr="006D307E">
              <w:rPr>
                <w:rFonts w:eastAsia="Calibri" w:cs="Arial"/>
                <w:szCs w:val="22"/>
              </w:rPr>
              <w:t>s</w:t>
            </w:r>
            <w:r w:rsidRPr="006D307E">
              <w:rPr>
                <w:rFonts w:eastAsia="Calibri" w:cs="Arial"/>
                <w:spacing w:val="1"/>
                <w:szCs w:val="22"/>
              </w:rPr>
              <w:t xml:space="preserve"> </w:t>
            </w:r>
            <w:r w:rsidRPr="006D307E">
              <w:rPr>
                <w:rFonts w:eastAsia="Calibri" w:cs="Arial"/>
                <w:szCs w:val="22"/>
              </w:rPr>
              <w:t>C</w:t>
            </w:r>
            <w:r w:rsidRPr="006D307E">
              <w:rPr>
                <w:rFonts w:eastAsia="Calibri" w:cs="Arial"/>
                <w:spacing w:val="1"/>
                <w:szCs w:val="22"/>
              </w:rPr>
              <w:t xml:space="preserve"> </w:t>
            </w:r>
            <w:r w:rsidRPr="006D307E">
              <w:rPr>
                <w:rFonts w:eastAsia="Calibri" w:cs="Arial"/>
                <w:spacing w:val="-3"/>
                <w:szCs w:val="22"/>
              </w:rPr>
              <w:t>G</w:t>
            </w:r>
            <w:r w:rsidRPr="006D307E">
              <w:rPr>
                <w:rFonts w:eastAsia="Calibri" w:cs="Arial"/>
                <w:spacing w:val="1"/>
                <w:szCs w:val="22"/>
              </w:rPr>
              <w:t>e</w:t>
            </w:r>
            <w:r w:rsidRPr="006D307E">
              <w:rPr>
                <w:rFonts w:eastAsia="Calibri" w:cs="Arial"/>
                <w:spacing w:val="-1"/>
                <w:szCs w:val="22"/>
              </w:rPr>
              <w:t>no</w:t>
            </w:r>
            <w:r w:rsidRPr="006D307E">
              <w:rPr>
                <w:rFonts w:eastAsia="Calibri" w:cs="Arial"/>
                <w:szCs w:val="22"/>
              </w:rPr>
              <w:t>t</w:t>
            </w:r>
            <w:r w:rsidRPr="006D307E">
              <w:rPr>
                <w:rFonts w:eastAsia="Calibri" w:cs="Arial"/>
                <w:spacing w:val="1"/>
                <w:szCs w:val="22"/>
              </w:rPr>
              <w:t>y</w:t>
            </w:r>
            <w:r w:rsidRPr="006D307E">
              <w:rPr>
                <w:rFonts w:eastAsia="Calibri" w:cs="Arial"/>
                <w:spacing w:val="-3"/>
                <w:szCs w:val="22"/>
              </w:rPr>
              <w:t>p</w:t>
            </w:r>
            <w:r w:rsidRPr="006D307E">
              <w:rPr>
                <w:rFonts w:eastAsia="Calibri" w:cs="Arial"/>
                <w:szCs w:val="22"/>
              </w:rPr>
              <w:t>e</w:t>
            </w:r>
            <w:r w:rsidRPr="006D307E">
              <w:rPr>
                <w:rFonts w:eastAsia="Calibri" w:cs="Arial"/>
                <w:spacing w:val="1"/>
                <w:szCs w:val="22"/>
              </w:rPr>
              <w:t xml:space="preserve"> </w:t>
            </w:r>
            <w:r w:rsidRPr="006D307E">
              <w:rPr>
                <w:rFonts w:eastAsia="Calibri" w:cs="Arial"/>
                <w:szCs w:val="22"/>
              </w:rPr>
              <w:t>1</w:t>
            </w:r>
            <w:r w:rsidRPr="006D307E">
              <w:rPr>
                <w:rFonts w:eastAsia="Calibri" w:cs="Arial"/>
                <w:spacing w:val="-1"/>
                <w:szCs w:val="22"/>
              </w:rPr>
              <w:t xml:space="preserve"> </w:t>
            </w:r>
            <w:r w:rsidRPr="006D307E">
              <w:rPr>
                <w:rFonts w:eastAsia="Calibri" w:cs="Arial"/>
                <w:spacing w:val="1"/>
                <w:szCs w:val="22"/>
              </w:rPr>
              <w:t>P</w:t>
            </w:r>
            <w:r w:rsidRPr="006D307E">
              <w:rPr>
                <w:rFonts w:eastAsia="Calibri" w:cs="Arial"/>
                <w:szCs w:val="22"/>
              </w:rPr>
              <w:t>at</w:t>
            </w:r>
            <w:r w:rsidRPr="006D307E">
              <w:rPr>
                <w:rFonts w:eastAsia="Calibri" w:cs="Arial"/>
                <w:spacing w:val="-3"/>
                <w:szCs w:val="22"/>
              </w:rPr>
              <w:t>i</w:t>
            </w:r>
            <w:r w:rsidRPr="006D307E">
              <w:rPr>
                <w:rFonts w:eastAsia="Calibri" w:cs="Arial"/>
                <w:spacing w:val="1"/>
                <w:szCs w:val="22"/>
              </w:rPr>
              <w:t>e</w:t>
            </w:r>
            <w:r w:rsidRPr="006D307E">
              <w:rPr>
                <w:rFonts w:eastAsia="Calibri" w:cs="Arial"/>
                <w:spacing w:val="-1"/>
                <w:szCs w:val="22"/>
              </w:rPr>
              <w:t>n</w:t>
            </w:r>
            <w:r w:rsidRPr="006D307E">
              <w:rPr>
                <w:rFonts w:eastAsia="Calibri" w:cs="Arial"/>
                <w:szCs w:val="22"/>
              </w:rPr>
              <w:t>ts</w:t>
            </w:r>
            <w:r w:rsidRPr="006D307E">
              <w:rPr>
                <w:rFonts w:eastAsia="Calibri" w:cs="Arial"/>
                <w:spacing w:val="-2"/>
                <w:szCs w:val="22"/>
              </w:rPr>
              <w:t xml:space="preserve"> </w:t>
            </w:r>
            <w:r w:rsidRPr="006D307E">
              <w:rPr>
                <w:rFonts w:eastAsia="Calibri" w:cs="Arial"/>
                <w:spacing w:val="1"/>
                <w:szCs w:val="22"/>
              </w:rPr>
              <w:t>o</w:t>
            </w:r>
            <w:r w:rsidRPr="006D307E">
              <w:rPr>
                <w:rFonts w:eastAsia="Calibri" w:cs="Arial"/>
                <w:szCs w:val="22"/>
              </w:rPr>
              <w:t>n</w:t>
            </w:r>
            <w:r w:rsidRPr="006D307E">
              <w:rPr>
                <w:rFonts w:eastAsia="Calibri" w:cs="Arial"/>
                <w:spacing w:val="-3"/>
                <w:szCs w:val="22"/>
              </w:rPr>
              <w:t xml:space="preserve"> </w:t>
            </w:r>
            <w:r w:rsidRPr="006D307E">
              <w:rPr>
                <w:rFonts w:eastAsia="Calibri" w:cs="Arial"/>
                <w:spacing w:val="1"/>
                <w:szCs w:val="22"/>
              </w:rPr>
              <w:t>D</w:t>
            </w:r>
            <w:r w:rsidRPr="006D307E">
              <w:rPr>
                <w:rFonts w:eastAsia="Calibri" w:cs="Arial"/>
                <w:spacing w:val="-1"/>
                <w:szCs w:val="22"/>
              </w:rPr>
              <w:t>u</w:t>
            </w:r>
            <w:r w:rsidRPr="006D307E">
              <w:rPr>
                <w:rFonts w:eastAsia="Calibri" w:cs="Arial"/>
                <w:szCs w:val="22"/>
              </w:rPr>
              <w:t>al a</w:t>
            </w:r>
            <w:r w:rsidRPr="006D307E">
              <w:rPr>
                <w:rFonts w:eastAsia="Calibri" w:cs="Arial"/>
                <w:spacing w:val="-1"/>
                <w:szCs w:val="22"/>
              </w:rPr>
              <w:t>n</w:t>
            </w:r>
            <w:r w:rsidRPr="006D307E">
              <w:rPr>
                <w:rFonts w:eastAsia="Calibri" w:cs="Arial"/>
                <w:szCs w:val="22"/>
              </w:rPr>
              <w:t>d T</w:t>
            </w:r>
            <w:r w:rsidRPr="006D307E">
              <w:rPr>
                <w:rFonts w:eastAsia="Calibri" w:cs="Arial"/>
                <w:spacing w:val="-3"/>
                <w:szCs w:val="22"/>
              </w:rPr>
              <w:t>r</w:t>
            </w:r>
            <w:r w:rsidRPr="006D307E">
              <w:rPr>
                <w:rFonts w:eastAsia="Calibri" w:cs="Arial"/>
                <w:szCs w:val="22"/>
              </w:rPr>
              <w:t>i</w:t>
            </w:r>
            <w:r w:rsidRPr="006D307E">
              <w:rPr>
                <w:rFonts w:eastAsia="Calibri" w:cs="Arial"/>
                <w:spacing w:val="-1"/>
                <w:szCs w:val="22"/>
              </w:rPr>
              <w:t>p</w:t>
            </w:r>
            <w:r w:rsidRPr="006D307E">
              <w:rPr>
                <w:rFonts w:eastAsia="Calibri" w:cs="Arial"/>
                <w:szCs w:val="22"/>
              </w:rPr>
              <w:t>le</w:t>
            </w:r>
            <w:r w:rsidRPr="006D307E">
              <w:rPr>
                <w:rFonts w:eastAsia="Calibri" w:cs="Arial"/>
                <w:spacing w:val="1"/>
                <w:szCs w:val="22"/>
              </w:rPr>
              <w:t xml:space="preserve"> Me</w:t>
            </w:r>
            <w:r w:rsidRPr="006D307E">
              <w:rPr>
                <w:rFonts w:eastAsia="Calibri" w:cs="Arial"/>
                <w:spacing w:val="-1"/>
                <w:szCs w:val="22"/>
              </w:rPr>
              <w:t>d</w:t>
            </w:r>
            <w:r w:rsidRPr="006D307E">
              <w:rPr>
                <w:rFonts w:eastAsia="Calibri" w:cs="Arial"/>
                <w:szCs w:val="22"/>
              </w:rPr>
              <w:t>i</w:t>
            </w:r>
            <w:r w:rsidRPr="006D307E">
              <w:rPr>
                <w:rFonts w:eastAsia="Calibri" w:cs="Arial"/>
                <w:spacing w:val="-2"/>
                <w:szCs w:val="22"/>
              </w:rPr>
              <w:t>c</w:t>
            </w:r>
            <w:r w:rsidRPr="006D307E">
              <w:rPr>
                <w:rFonts w:eastAsia="Calibri" w:cs="Arial"/>
                <w:szCs w:val="22"/>
              </w:rPr>
              <w:t>ati</w:t>
            </w:r>
            <w:r w:rsidRPr="006D307E">
              <w:rPr>
                <w:rFonts w:eastAsia="Calibri" w:cs="Arial"/>
                <w:spacing w:val="1"/>
                <w:szCs w:val="22"/>
              </w:rPr>
              <w:t>o</w:t>
            </w:r>
            <w:r w:rsidRPr="006D307E">
              <w:rPr>
                <w:rFonts w:eastAsia="Calibri" w:cs="Arial"/>
                <w:szCs w:val="22"/>
              </w:rPr>
              <w:t>n</w:t>
            </w:r>
            <w:r w:rsidRPr="006D307E">
              <w:rPr>
                <w:rFonts w:eastAsia="Calibri" w:cs="Arial"/>
                <w:spacing w:val="-3"/>
                <w:szCs w:val="22"/>
              </w:rPr>
              <w:t xml:space="preserve"> </w:t>
            </w:r>
            <w:r w:rsidRPr="006D307E">
              <w:rPr>
                <w:rFonts w:eastAsia="Calibri" w:cs="Arial"/>
                <w:szCs w:val="22"/>
              </w:rPr>
              <w:t>T</w:t>
            </w:r>
            <w:r w:rsidRPr="006D307E">
              <w:rPr>
                <w:rFonts w:eastAsia="Calibri" w:cs="Arial"/>
                <w:spacing w:val="-1"/>
                <w:szCs w:val="22"/>
              </w:rPr>
              <w:t>h</w:t>
            </w:r>
            <w:r w:rsidRPr="006D307E">
              <w:rPr>
                <w:rFonts w:eastAsia="Calibri" w:cs="Arial"/>
                <w:spacing w:val="1"/>
                <w:szCs w:val="22"/>
              </w:rPr>
              <w:t>e</w:t>
            </w:r>
            <w:r w:rsidRPr="006D307E">
              <w:rPr>
                <w:rFonts w:eastAsia="Calibri" w:cs="Arial"/>
                <w:szCs w:val="22"/>
              </w:rPr>
              <w:t>ra</w:t>
            </w:r>
            <w:r w:rsidRPr="006D307E">
              <w:rPr>
                <w:rFonts w:eastAsia="Calibri" w:cs="Arial"/>
                <w:spacing w:val="-3"/>
                <w:szCs w:val="22"/>
              </w:rPr>
              <w:t>p</w:t>
            </w:r>
            <w:r w:rsidRPr="006D307E">
              <w:rPr>
                <w:rFonts w:eastAsia="Calibri" w:cs="Arial"/>
                <w:spacing w:val="1"/>
                <w:szCs w:val="22"/>
              </w:rPr>
              <w:t>y</w:t>
            </w:r>
            <w:r w:rsidR="00E23927">
              <w:rPr>
                <w:rFonts w:eastAsia="Calibri" w:cs="Arial"/>
                <w:szCs w:val="22"/>
              </w:rPr>
              <w:t>.</w:t>
            </w:r>
            <w:r w:rsidRPr="006D307E">
              <w:rPr>
                <w:rFonts w:eastAsia="Calibri" w:cs="Arial"/>
                <w:szCs w:val="22"/>
              </w:rPr>
              <w:t xml:space="preserve"> </w:t>
            </w:r>
            <w:r w:rsidRPr="006D307E">
              <w:rPr>
                <w:rFonts w:eastAsia="Calibri" w:cs="Arial"/>
                <w:spacing w:val="-1"/>
                <w:szCs w:val="22"/>
              </w:rPr>
              <w:t>AS</w:t>
            </w:r>
            <w:r w:rsidRPr="006D307E">
              <w:rPr>
                <w:rFonts w:eastAsia="Calibri" w:cs="Arial"/>
                <w:spacing w:val="-3"/>
                <w:szCs w:val="22"/>
              </w:rPr>
              <w:t>H</w:t>
            </w:r>
            <w:r w:rsidRPr="006D307E">
              <w:rPr>
                <w:rFonts w:eastAsia="Calibri" w:cs="Arial"/>
                <w:szCs w:val="22"/>
              </w:rPr>
              <w:t>P</w:t>
            </w:r>
            <w:r w:rsidRPr="006D307E">
              <w:rPr>
                <w:rFonts w:eastAsia="Calibri" w:cs="Arial"/>
                <w:spacing w:val="2"/>
                <w:szCs w:val="22"/>
              </w:rPr>
              <w:t xml:space="preserve"> </w:t>
            </w:r>
            <w:r w:rsidRPr="006D307E">
              <w:rPr>
                <w:rFonts w:eastAsia="Calibri" w:cs="Arial"/>
                <w:spacing w:val="1"/>
                <w:szCs w:val="22"/>
              </w:rPr>
              <w:t>M</w:t>
            </w:r>
            <w:r w:rsidRPr="006D307E">
              <w:rPr>
                <w:rFonts w:eastAsia="Calibri" w:cs="Arial"/>
                <w:szCs w:val="22"/>
              </w:rPr>
              <w:t>i</w:t>
            </w:r>
            <w:r w:rsidRPr="006D307E">
              <w:rPr>
                <w:rFonts w:eastAsia="Calibri" w:cs="Arial"/>
                <w:spacing w:val="-3"/>
                <w:szCs w:val="22"/>
              </w:rPr>
              <w:t>d</w:t>
            </w:r>
            <w:r w:rsidRPr="006D307E">
              <w:rPr>
                <w:rFonts w:eastAsia="Calibri" w:cs="Arial"/>
                <w:spacing w:val="1"/>
                <w:szCs w:val="22"/>
              </w:rPr>
              <w:t>y</w:t>
            </w:r>
            <w:r w:rsidRPr="006D307E">
              <w:rPr>
                <w:rFonts w:eastAsia="Calibri" w:cs="Arial"/>
                <w:szCs w:val="22"/>
              </w:rPr>
              <w:t>e</w:t>
            </w:r>
            <w:r w:rsidRPr="006D307E">
              <w:rPr>
                <w:rFonts w:eastAsia="Calibri" w:cs="Arial"/>
                <w:spacing w:val="-3"/>
                <w:szCs w:val="22"/>
              </w:rPr>
              <w:t>a</w:t>
            </w:r>
            <w:r w:rsidRPr="006D307E">
              <w:rPr>
                <w:rFonts w:eastAsia="Calibri" w:cs="Arial"/>
                <w:szCs w:val="22"/>
              </w:rPr>
              <w:t xml:space="preserve">r </w:t>
            </w:r>
            <w:r w:rsidRPr="006D307E">
              <w:rPr>
                <w:rFonts w:eastAsia="Calibri" w:cs="Arial"/>
                <w:spacing w:val="1"/>
                <w:szCs w:val="22"/>
              </w:rPr>
              <w:t>M</w:t>
            </w:r>
            <w:r w:rsidRPr="006D307E">
              <w:rPr>
                <w:rFonts w:eastAsia="Calibri" w:cs="Arial"/>
                <w:spacing w:val="-2"/>
                <w:szCs w:val="22"/>
              </w:rPr>
              <w:t>e</w:t>
            </w:r>
            <w:r w:rsidRPr="006D307E">
              <w:rPr>
                <w:rFonts w:eastAsia="Calibri" w:cs="Arial"/>
                <w:szCs w:val="22"/>
              </w:rPr>
              <w:t>eti</w:t>
            </w:r>
            <w:r w:rsidRPr="006D307E">
              <w:rPr>
                <w:rFonts w:eastAsia="Calibri" w:cs="Arial"/>
                <w:spacing w:val="-1"/>
                <w:szCs w:val="22"/>
              </w:rPr>
              <w:t>ng</w:t>
            </w:r>
            <w:r w:rsidRPr="006D307E">
              <w:rPr>
                <w:rFonts w:eastAsia="Calibri" w:cs="Arial"/>
                <w:szCs w:val="22"/>
              </w:rPr>
              <w:t>,</w:t>
            </w:r>
            <w:r w:rsidRPr="006D307E">
              <w:rPr>
                <w:rFonts w:eastAsia="Calibri" w:cs="Arial"/>
                <w:spacing w:val="-2"/>
                <w:szCs w:val="22"/>
              </w:rPr>
              <w:t xml:space="preserve"> </w:t>
            </w:r>
            <w:r w:rsidRPr="006D307E">
              <w:rPr>
                <w:rFonts w:eastAsia="Calibri" w:cs="Arial"/>
                <w:spacing w:val="1"/>
                <w:szCs w:val="22"/>
              </w:rPr>
              <w:t>L</w:t>
            </w:r>
            <w:r w:rsidRPr="006D307E">
              <w:rPr>
                <w:rFonts w:eastAsia="Calibri" w:cs="Arial"/>
                <w:szCs w:val="22"/>
              </w:rPr>
              <w:t>as</w:t>
            </w:r>
            <w:r w:rsidRPr="006D307E">
              <w:rPr>
                <w:rFonts w:eastAsia="Calibri" w:cs="Arial"/>
                <w:spacing w:val="1"/>
                <w:szCs w:val="22"/>
              </w:rPr>
              <w:t xml:space="preserve"> </w:t>
            </w:r>
            <w:r w:rsidRPr="006D307E">
              <w:rPr>
                <w:rFonts w:eastAsia="Calibri" w:cs="Arial"/>
                <w:spacing w:val="-1"/>
                <w:szCs w:val="22"/>
              </w:rPr>
              <w:t>V</w:t>
            </w:r>
            <w:r w:rsidRPr="006D307E">
              <w:rPr>
                <w:rFonts w:eastAsia="Calibri" w:cs="Arial"/>
                <w:szCs w:val="22"/>
              </w:rPr>
              <w:t>e</w:t>
            </w:r>
            <w:r w:rsidRPr="006D307E">
              <w:rPr>
                <w:rFonts w:eastAsia="Calibri" w:cs="Arial"/>
                <w:spacing w:val="-1"/>
                <w:szCs w:val="22"/>
              </w:rPr>
              <w:t>g</w:t>
            </w:r>
            <w:r w:rsidRPr="006D307E">
              <w:rPr>
                <w:rFonts w:eastAsia="Calibri" w:cs="Arial"/>
                <w:szCs w:val="22"/>
              </w:rPr>
              <w:t>a</w:t>
            </w:r>
            <w:r w:rsidRPr="006D307E">
              <w:rPr>
                <w:rFonts w:eastAsia="Calibri" w:cs="Arial"/>
                <w:spacing w:val="-2"/>
                <w:szCs w:val="22"/>
              </w:rPr>
              <w:t>s</w:t>
            </w:r>
            <w:r w:rsidRPr="006D307E">
              <w:rPr>
                <w:rFonts w:eastAsia="Calibri" w:cs="Arial"/>
                <w:szCs w:val="22"/>
              </w:rPr>
              <w:t>,</w:t>
            </w:r>
            <w:r w:rsidRPr="006D307E">
              <w:rPr>
                <w:rFonts w:eastAsia="Calibri" w:cs="Arial"/>
                <w:spacing w:val="1"/>
                <w:szCs w:val="22"/>
              </w:rPr>
              <w:t xml:space="preserve"> </w:t>
            </w:r>
            <w:r w:rsidRPr="006D307E">
              <w:rPr>
                <w:rFonts w:eastAsia="Calibri" w:cs="Arial"/>
                <w:spacing w:val="-1"/>
                <w:szCs w:val="22"/>
              </w:rPr>
              <w:t>NV</w:t>
            </w:r>
            <w:r w:rsidRPr="006D307E">
              <w:rPr>
                <w:rFonts w:eastAsia="Calibri" w:cs="Arial"/>
                <w:szCs w:val="22"/>
              </w:rPr>
              <w:t>,</w:t>
            </w:r>
            <w:r w:rsidRPr="006D307E">
              <w:rPr>
                <w:rFonts w:eastAsia="Calibri" w:cs="Arial"/>
                <w:spacing w:val="-2"/>
                <w:szCs w:val="22"/>
              </w:rPr>
              <w:t xml:space="preserve"> </w:t>
            </w:r>
            <w:r w:rsidRPr="006D307E">
              <w:rPr>
                <w:rFonts w:eastAsia="Calibri" w:cs="Arial"/>
                <w:spacing w:val="-1"/>
                <w:szCs w:val="22"/>
              </w:rPr>
              <w:t>D</w:t>
            </w:r>
            <w:r w:rsidRPr="006D307E">
              <w:rPr>
                <w:rFonts w:eastAsia="Calibri" w:cs="Arial"/>
                <w:szCs w:val="22"/>
              </w:rPr>
              <w:t>ec</w:t>
            </w:r>
            <w:r w:rsidRPr="006D307E">
              <w:rPr>
                <w:rFonts w:eastAsia="Calibri" w:cs="Arial"/>
                <w:spacing w:val="-2"/>
                <w:szCs w:val="22"/>
              </w:rPr>
              <w:t>e</w:t>
            </w:r>
            <w:r w:rsidRPr="006D307E">
              <w:rPr>
                <w:rFonts w:eastAsia="Calibri" w:cs="Arial"/>
                <w:spacing w:val="1"/>
                <w:szCs w:val="22"/>
              </w:rPr>
              <w:t>m</w:t>
            </w:r>
            <w:r w:rsidRPr="006D307E">
              <w:rPr>
                <w:rFonts w:eastAsia="Calibri" w:cs="Arial"/>
                <w:spacing w:val="-1"/>
                <w:szCs w:val="22"/>
              </w:rPr>
              <w:t>b</w:t>
            </w:r>
            <w:r w:rsidRPr="006D307E">
              <w:rPr>
                <w:rFonts w:eastAsia="Calibri" w:cs="Arial"/>
                <w:szCs w:val="22"/>
              </w:rPr>
              <w:t>er</w:t>
            </w:r>
            <w:r w:rsidRPr="006D307E">
              <w:rPr>
                <w:rFonts w:eastAsia="Calibri" w:cs="Arial"/>
                <w:spacing w:val="-2"/>
                <w:szCs w:val="22"/>
              </w:rPr>
              <w:t xml:space="preserve"> </w:t>
            </w:r>
            <w:r w:rsidRPr="006D307E">
              <w:rPr>
                <w:rFonts w:eastAsia="Calibri" w:cs="Arial"/>
                <w:spacing w:val="1"/>
                <w:szCs w:val="22"/>
              </w:rPr>
              <w:t>2</w:t>
            </w:r>
            <w:r w:rsidRPr="006D307E">
              <w:rPr>
                <w:rFonts w:eastAsia="Calibri" w:cs="Arial"/>
                <w:spacing w:val="-2"/>
                <w:szCs w:val="22"/>
              </w:rPr>
              <w:t>0</w:t>
            </w:r>
            <w:r w:rsidRPr="006D307E">
              <w:rPr>
                <w:rFonts w:eastAsia="Calibri" w:cs="Arial"/>
                <w:spacing w:val="1"/>
                <w:szCs w:val="22"/>
              </w:rPr>
              <w:t>12</w:t>
            </w:r>
            <w:r w:rsidRPr="006D307E">
              <w:rPr>
                <w:rFonts w:eastAsia="Calibri" w:cs="Arial"/>
                <w:szCs w:val="22"/>
              </w:rPr>
              <w:t xml:space="preserve">. </w:t>
            </w:r>
          </w:p>
          <w:p w14:paraId="5FD59F4D" w14:textId="77777777" w:rsidR="005E37BA" w:rsidRPr="006D307E" w:rsidRDefault="005E37BA" w:rsidP="006D307E">
            <w:pPr>
              <w:spacing w:after="0" w:line="240" w:lineRule="auto"/>
              <w:ind w:right="262"/>
              <w:rPr>
                <w:rFonts w:cs="Arial"/>
                <w:szCs w:val="22"/>
              </w:rPr>
            </w:pPr>
          </w:p>
          <w:p w14:paraId="131F5930" w14:textId="77777777" w:rsidR="00FF6454" w:rsidRDefault="005E37BA" w:rsidP="00FF6454">
            <w:pPr>
              <w:snapToGrid/>
              <w:spacing w:after="0" w:line="240" w:lineRule="auto"/>
              <w:ind w:right="-20"/>
              <w:rPr>
                <w:rFonts w:eastAsia="Calibri" w:cs="Arial"/>
                <w:spacing w:val="1"/>
                <w:szCs w:val="22"/>
              </w:rPr>
            </w:pPr>
            <w:r w:rsidRPr="006D307E">
              <w:rPr>
                <w:rFonts w:eastAsia="Calibri" w:cs="Arial"/>
                <w:szCs w:val="22"/>
              </w:rPr>
              <w:t>Kim</w:t>
            </w:r>
            <w:r w:rsidRPr="006D307E">
              <w:rPr>
                <w:rFonts w:eastAsia="Calibri" w:cs="Arial"/>
                <w:spacing w:val="2"/>
                <w:szCs w:val="22"/>
              </w:rPr>
              <w:t xml:space="preserve"> </w:t>
            </w:r>
            <w:r w:rsidRPr="006D307E">
              <w:rPr>
                <w:rFonts w:eastAsia="Calibri" w:cs="Arial"/>
                <w:spacing w:val="-1"/>
                <w:szCs w:val="22"/>
              </w:rPr>
              <w:t>S</w:t>
            </w:r>
            <w:r w:rsidRPr="006D307E">
              <w:rPr>
                <w:rFonts w:eastAsia="Calibri" w:cs="Arial"/>
                <w:szCs w:val="22"/>
              </w:rPr>
              <w:t>,</w:t>
            </w:r>
            <w:r w:rsidRPr="006D307E">
              <w:rPr>
                <w:rFonts w:eastAsia="Calibri" w:cs="Arial"/>
                <w:spacing w:val="-2"/>
                <w:szCs w:val="22"/>
              </w:rPr>
              <w:t xml:space="preserve"> </w:t>
            </w:r>
            <w:r w:rsidRPr="006D307E">
              <w:rPr>
                <w:rFonts w:eastAsia="Calibri" w:cs="Arial"/>
                <w:spacing w:val="1"/>
                <w:szCs w:val="22"/>
              </w:rPr>
              <w:t>M</w:t>
            </w:r>
            <w:r w:rsidRPr="006D307E">
              <w:rPr>
                <w:rFonts w:eastAsia="Calibri" w:cs="Arial"/>
                <w:szCs w:val="22"/>
              </w:rPr>
              <w:t>a</w:t>
            </w:r>
            <w:r w:rsidRPr="006D307E">
              <w:rPr>
                <w:rFonts w:eastAsia="Calibri" w:cs="Arial"/>
                <w:spacing w:val="-3"/>
                <w:szCs w:val="22"/>
              </w:rPr>
              <w:t>r</w:t>
            </w:r>
            <w:r w:rsidRPr="006D307E">
              <w:rPr>
                <w:rFonts w:eastAsia="Calibri" w:cs="Arial"/>
                <w:szCs w:val="22"/>
              </w:rPr>
              <w:t xml:space="preserve">tin </w:t>
            </w:r>
            <w:r w:rsidRPr="006D307E">
              <w:rPr>
                <w:rFonts w:eastAsia="Calibri" w:cs="Arial"/>
                <w:spacing w:val="-2"/>
                <w:szCs w:val="22"/>
              </w:rPr>
              <w:t>M</w:t>
            </w:r>
            <w:r w:rsidRPr="006D307E">
              <w:rPr>
                <w:rFonts w:eastAsia="Calibri" w:cs="Arial"/>
                <w:szCs w:val="22"/>
              </w:rPr>
              <w:t>T,</w:t>
            </w:r>
            <w:r w:rsidRPr="006D307E">
              <w:rPr>
                <w:rFonts w:eastAsia="Calibri" w:cs="Arial"/>
                <w:spacing w:val="-2"/>
                <w:szCs w:val="22"/>
              </w:rPr>
              <w:t xml:space="preserve"> </w:t>
            </w:r>
            <w:r w:rsidRPr="006D307E">
              <w:rPr>
                <w:rFonts w:eastAsia="Calibri" w:cs="Arial"/>
                <w:spacing w:val="1"/>
                <w:szCs w:val="22"/>
              </w:rPr>
              <w:t>P</w:t>
            </w:r>
            <w:r w:rsidRPr="006D307E">
              <w:rPr>
                <w:rFonts w:eastAsia="Calibri" w:cs="Arial"/>
                <w:szCs w:val="22"/>
              </w:rPr>
              <w:t>ier</w:t>
            </w:r>
            <w:r w:rsidRPr="006D307E">
              <w:rPr>
                <w:rFonts w:eastAsia="Calibri" w:cs="Arial"/>
                <w:spacing w:val="-2"/>
                <w:szCs w:val="22"/>
              </w:rPr>
              <w:t>c</w:t>
            </w:r>
            <w:r w:rsidRPr="006D307E">
              <w:rPr>
                <w:rFonts w:eastAsia="Calibri" w:cs="Arial"/>
                <w:szCs w:val="22"/>
              </w:rPr>
              <w:t>e</w:t>
            </w:r>
            <w:r w:rsidRPr="006D307E">
              <w:rPr>
                <w:rFonts w:eastAsia="Calibri" w:cs="Arial"/>
                <w:spacing w:val="1"/>
                <w:szCs w:val="22"/>
              </w:rPr>
              <w:t xml:space="preserve"> </w:t>
            </w:r>
            <w:r w:rsidRPr="006D307E">
              <w:rPr>
                <w:rFonts w:eastAsia="Calibri" w:cs="Arial"/>
                <w:spacing w:val="-1"/>
                <w:szCs w:val="22"/>
              </w:rPr>
              <w:t>A</w:t>
            </w:r>
            <w:r w:rsidRPr="006D307E">
              <w:rPr>
                <w:rFonts w:eastAsia="Calibri" w:cs="Arial"/>
                <w:szCs w:val="22"/>
              </w:rPr>
              <w:t>,</w:t>
            </w:r>
            <w:r w:rsidRPr="006D307E">
              <w:rPr>
                <w:rFonts w:eastAsia="Calibri" w:cs="Arial"/>
                <w:spacing w:val="-2"/>
                <w:szCs w:val="22"/>
              </w:rPr>
              <w:t xml:space="preserve"> </w:t>
            </w:r>
            <w:r w:rsidRPr="006D307E">
              <w:rPr>
                <w:rFonts w:eastAsia="Calibri" w:cs="Arial"/>
                <w:spacing w:val="1"/>
                <w:szCs w:val="22"/>
              </w:rPr>
              <w:t>M</w:t>
            </w:r>
            <w:r w:rsidRPr="006D307E">
              <w:rPr>
                <w:rFonts w:eastAsia="Calibri" w:cs="Arial"/>
                <w:szCs w:val="22"/>
              </w:rPr>
              <w:t>a</w:t>
            </w:r>
            <w:r w:rsidRPr="006D307E">
              <w:rPr>
                <w:rFonts w:eastAsia="Calibri" w:cs="Arial"/>
                <w:spacing w:val="-3"/>
                <w:szCs w:val="22"/>
              </w:rPr>
              <w:t>l</w:t>
            </w:r>
            <w:r w:rsidRPr="006D307E">
              <w:rPr>
                <w:rFonts w:eastAsia="Calibri" w:cs="Arial"/>
                <w:spacing w:val="1"/>
                <w:szCs w:val="22"/>
              </w:rPr>
              <w:t>o</w:t>
            </w:r>
            <w:r w:rsidRPr="006D307E">
              <w:rPr>
                <w:rFonts w:eastAsia="Calibri" w:cs="Arial"/>
                <w:spacing w:val="-1"/>
                <w:szCs w:val="22"/>
              </w:rPr>
              <w:t>n</w:t>
            </w:r>
            <w:r w:rsidRPr="006D307E">
              <w:rPr>
                <w:rFonts w:eastAsia="Calibri" w:cs="Arial"/>
                <w:szCs w:val="22"/>
              </w:rPr>
              <w:t>ey</w:t>
            </w:r>
            <w:r w:rsidRPr="006D307E">
              <w:rPr>
                <w:rFonts w:eastAsia="Calibri" w:cs="Arial"/>
                <w:spacing w:val="-1"/>
                <w:szCs w:val="22"/>
              </w:rPr>
              <w:t xml:space="preserve"> </w:t>
            </w:r>
            <w:r w:rsidRPr="006D307E">
              <w:rPr>
                <w:rFonts w:eastAsia="Calibri" w:cs="Arial"/>
                <w:szCs w:val="22"/>
              </w:rPr>
              <w:t>K,</w:t>
            </w:r>
            <w:r w:rsidRPr="006D307E">
              <w:rPr>
                <w:rFonts w:eastAsia="Calibri" w:cs="Arial"/>
                <w:spacing w:val="-1"/>
                <w:szCs w:val="22"/>
              </w:rPr>
              <w:t xml:space="preserve"> </w:t>
            </w:r>
            <w:r w:rsidRPr="006D307E">
              <w:rPr>
                <w:rFonts w:eastAsia="Calibri" w:cs="Arial"/>
                <w:bCs/>
                <w:szCs w:val="22"/>
              </w:rPr>
              <w:t>Z</w:t>
            </w:r>
            <w:r w:rsidRPr="006D307E">
              <w:rPr>
                <w:rFonts w:eastAsia="Calibri" w:cs="Arial"/>
                <w:bCs/>
                <w:spacing w:val="-1"/>
                <w:szCs w:val="22"/>
              </w:rPr>
              <w:t>ue</w:t>
            </w:r>
            <w:r w:rsidRPr="006D307E">
              <w:rPr>
                <w:rFonts w:eastAsia="Calibri" w:cs="Arial"/>
                <w:bCs/>
                <w:spacing w:val="1"/>
                <w:szCs w:val="22"/>
              </w:rPr>
              <w:t>g</w:t>
            </w:r>
            <w:r w:rsidRPr="006D307E">
              <w:rPr>
                <w:rFonts w:eastAsia="Calibri" w:cs="Arial"/>
                <w:bCs/>
                <w:spacing w:val="-1"/>
                <w:szCs w:val="22"/>
              </w:rPr>
              <w:t>e</w:t>
            </w:r>
            <w:r w:rsidRPr="006D307E">
              <w:rPr>
                <w:rFonts w:eastAsia="Calibri" w:cs="Arial"/>
                <w:bCs/>
                <w:szCs w:val="22"/>
              </w:rPr>
              <w:t>r</w:t>
            </w:r>
            <w:r w:rsidRPr="006D307E">
              <w:rPr>
                <w:rFonts w:eastAsia="Calibri" w:cs="Arial"/>
                <w:bCs/>
                <w:spacing w:val="1"/>
                <w:szCs w:val="22"/>
              </w:rPr>
              <w:t xml:space="preserve"> </w:t>
            </w:r>
            <w:r w:rsidRPr="006D307E">
              <w:rPr>
                <w:rFonts w:eastAsia="Calibri" w:cs="Arial"/>
                <w:bCs/>
                <w:szCs w:val="22"/>
              </w:rPr>
              <w:t>PM</w:t>
            </w:r>
            <w:r w:rsidRPr="006D307E">
              <w:rPr>
                <w:rFonts w:eastAsia="Calibri" w:cs="Arial"/>
                <w:szCs w:val="22"/>
              </w:rPr>
              <w:t>.</w:t>
            </w:r>
            <w:r w:rsidRPr="006D307E">
              <w:rPr>
                <w:rFonts w:eastAsia="Calibri" w:cs="Arial"/>
                <w:spacing w:val="-2"/>
                <w:szCs w:val="22"/>
              </w:rPr>
              <w:t xml:space="preserve"> </w:t>
            </w:r>
            <w:r w:rsidRPr="006D307E">
              <w:rPr>
                <w:rFonts w:eastAsia="Calibri" w:cs="Arial"/>
                <w:spacing w:val="-1"/>
                <w:szCs w:val="22"/>
              </w:rPr>
              <w:t>S</w:t>
            </w:r>
            <w:r w:rsidRPr="006D307E">
              <w:rPr>
                <w:rFonts w:eastAsia="Calibri" w:cs="Arial"/>
                <w:szCs w:val="22"/>
              </w:rPr>
              <w:t>ati</w:t>
            </w:r>
            <w:r w:rsidRPr="006D307E">
              <w:rPr>
                <w:rFonts w:eastAsia="Calibri" w:cs="Arial"/>
                <w:spacing w:val="-3"/>
                <w:szCs w:val="22"/>
              </w:rPr>
              <w:t>s</w:t>
            </w:r>
            <w:r w:rsidRPr="006D307E">
              <w:rPr>
                <w:rFonts w:eastAsia="Calibri" w:cs="Arial"/>
                <w:szCs w:val="22"/>
              </w:rPr>
              <w:t>facti</w:t>
            </w:r>
            <w:r w:rsidRPr="006D307E">
              <w:rPr>
                <w:rFonts w:eastAsia="Calibri" w:cs="Arial"/>
                <w:spacing w:val="1"/>
                <w:szCs w:val="22"/>
              </w:rPr>
              <w:t>o</w:t>
            </w:r>
            <w:r w:rsidRPr="006D307E">
              <w:rPr>
                <w:rFonts w:eastAsia="Calibri" w:cs="Arial"/>
                <w:szCs w:val="22"/>
              </w:rPr>
              <w:t>n</w:t>
            </w:r>
            <w:r w:rsidRPr="006D307E">
              <w:rPr>
                <w:rFonts w:eastAsia="Calibri" w:cs="Arial"/>
                <w:spacing w:val="-3"/>
                <w:szCs w:val="22"/>
              </w:rPr>
              <w:t xml:space="preserve"> </w:t>
            </w:r>
            <w:r w:rsidRPr="006D307E">
              <w:rPr>
                <w:rFonts w:eastAsia="Calibri" w:cs="Arial"/>
                <w:szCs w:val="22"/>
              </w:rPr>
              <w:t>with</w:t>
            </w:r>
            <w:r w:rsidRPr="006D307E">
              <w:rPr>
                <w:rFonts w:eastAsia="Calibri" w:cs="Arial"/>
                <w:spacing w:val="-3"/>
                <w:szCs w:val="22"/>
              </w:rPr>
              <w:t xml:space="preserve"> </w:t>
            </w:r>
            <w:r w:rsidRPr="006D307E">
              <w:rPr>
                <w:rFonts w:eastAsia="Calibri" w:cs="Arial"/>
                <w:spacing w:val="1"/>
                <w:szCs w:val="22"/>
              </w:rPr>
              <w:t>Me</w:t>
            </w:r>
            <w:r w:rsidRPr="006D307E">
              <w:rPr>
                <w:rFonts w:eastAsia="Calibri" w:cs="Arial"/>
                <w:spacing w:val="-1"/>
                <w:szCs w:val="22"/>
              </w:rPr>
              <w:t>d</w:t>
            </w:r>
            <w:r w:rsidRPr="006D307E">
              <w:rPr>
                <w:rFonts w:eastAsia="Calibri" w:cs="Arial"/>
                <w:szCs w:val="22"/>
              </w:rPr>
              <w:t>ic</w:t>
            </w:r>
            <w:r w:rsidRPr="006D307E">
              <w:rPr>
                <w:rFonts w:eastAsia="Calibri" w:cs="Arial"/>
                <w:spacing w:val="-3"/>
                <w:szCs w:val="22"/>
              </w:rPr>
              <w:t>a</w:t>
            </w:r>
            <w:r w:rsidRPr="006D307E">
              <w:rPr>
                <w:rFonts w:eastAsia="Calibri" w:cs="Arial"/>
                <w:szCs w:val="22"/>
              </w:rPr>
              <w:t>ti</w:t>
            </w:r>
            <w:r w:rsidRPr="006D307E">
              <w:rPr>
                <w:rFonts w:eastAsia="Calibri" w:cs="Arial"/>
                <w:spacing w:val="1"/>
                <w:szCs w:val="22"/>
              </w:rPr>
              <w:t>o</w:t>
            </w:r>
            <w:r w:rsidRPr="006D307E">
              <w:rPr>
                <w:rFonts w:eastAsia="Calibri" w:cs="Arial"/>
                <w:szCs w:val="22"/>
              </w:rPr>
              <w:t>n</w:t>
            </w:r>
            <w:r w:rsidRPr="006D307E">
              <w:rPr>
                <w:rFonts w:eastAsia="Calibri" w:cs="Arial"/>
                <w:spacing w:val="-3"/>
                <w:szCs w:val="22"/>
              </w:rPr>
              <w:t xml:space="preserve"> </w:t>
            </w:r>
            <w:r w:rsidRPr="006D307E">
              <w:rPr>
                <w:rFonts w:eastAsia="Calibri" w:cs="Arial"/>
                <w:szCs w:val="22"/>
              </w:rPr>
              <w:t>T</w:t>
            </w:r>
            <w:r w:rsidRPr="006D307E">
              <w:rPr>
                <w:rFonts w:eastAsia="Calibri" w:cs="Arial"/>
                <w:spacing w:val="-3"/>
                <w:szCs w:val="22"/>
              </w:rPr>
              <w:t>h</w:t>
            </w:r>
            <w:r w:rsidRPr="006D307E">
              <w:rPr>
                <w:rFonts w:eastAsia="Calibri" w:cs="Arial"/>
                <w:spacing w:val="1"/>
                <w:szCs w:val="22"/>
              </w:rPr>
              <w:t>e</w:t>
            </w:r>
            <w:r w:rsidRPr="006D307E">
              <w:rPr>
                <w:rFonts w:eastAsia="Calibri" w:cs="Arial"/>
                <w:szCs w:val="22"/>
              </w:rPr>
              <w:t>ra</w:t>
            </w:r>
            <w:r w:rsidRPr="006D307E">
              <w:rPr>
                <w:rFonts w:eastAsia="Calibri" w:cs="Arial"/>
                <w:spacing w:val="-1"/>
                <w:szCs w:val="22"/>
              </w:rPr>
              <w:t>p</w:t>
            </w:r>
            <w:r w:rsidRPr="006D307E">
              <w:rPr>
                <w:rFonts w:eastAsia="Calibri" w:cs="Arial"/>
                <w:szCs w:val="22"/>
              </w:rPr>
              <w:t>y</w:t>
            </w:r>
            <w:r w:rsidRPr="006D307E">
              <w:rPr>
                <w:rFonts w:eastAsia="Calibri" w:cs="Arial"/>
                <w:spacing w:val="-1"/>
                <w:szCs w:val="22"/>
              </w:rPr>
              <w:t xml:space="preserve"> </w:t>
            </w:r>
            <w:r w:rsidRPr="006D307E">
              <w:rPr>
                <w:rFonts w:eastAsia="Calibri" w:cs="Arial"/>
                <w:spacing w:val="1"/>
                <w:szCs w:val="22"/>
              </w:rPr>
              <w:t>M</w:t>
            </w:r>
            <w:r w:rsidRPr="006D307E">
              <w:rPr>
                <w:rFonts w:eastAsia="Calibri" w:cs="Arial"/>
                <w:szCs w:val="22"/>
              </w:rPr>
              <w:t>a</w:t>
            </w:r>
            <w:r w:rsidRPr="006D307E">
              <w:rPr>
                <w:rFonts w:eastAsia="Calibri" w:cs="Arial"/>
                <w:spacing w:val="-1"/>
                <w:szCs w:val="22"/>
              </w:rPr>
              <w:t>n</w:t>
            </w:r>
            <w:r w:rsidRPr="006D307E">
              <w:rPr>
                <w:rFonts w:eastAsia="Calibri" w:cs="Arial"/>
                <w:szCs w:val="22"/>
              </w:rPr>
              <w:t>a</w:t>
            </w:r>
            <w:r w:rsidRPr="006D307E">
              <w:rPr>
                <w:rFonts w:eastAsia="Calibri" w:cs="Arial"/>
                <w:spacing w:val="-1"/>
                <w:szCs w:val="22"/>
              </w:rPr>
              <w:t>g</w:t>
            </w:r>
            <w:r w:rsidRPr="006D307E">
              <w:rPr>
                <w:rFonts w:eastAsia="Calibri" w:cs="Arial"/>
                <w:spacing w:val="-2"/>
                <w:szCs w:val="22"/>
              </w:rPr>
              <w:t>e</w:t>
            </w:r>
            <w:r w:rsidRPr="006D307E">
              <w:rPr>
                <w:rFonts w:eastAsia="Calibri" w:cs="Arial"/>
                <w:spacing w:val="1"/>
                <w:szCs w:val="22"/>
              </w:rPr>
              <w:t>me</w:t>
            </w:r>
            <w:r w:rsidRPr="006D307E">
              <w:rPr>
                <w:rFonts w:eastAsia="Calibri" w:cs="Arial"/>
                <w:spacing w:val="-1"/>
                <w:szCs w:val="22"/>
              </w:rPr>
              <w:t>n</w:t>
            </w:r>
            <w:r w:rsidRPr="006D307E">
              <w:rPr>
                <w:rFonts w:eastAsia="Calibri" w:cs="Arial"/>
                <w:szCs w:val="22"/>
              </w:rPr>
              <w:t>t</w:t>
            </w:r>
            <w:r w:rsidRPr="006D307E">
              <w:rPr>
                <w:rFonts w:eastAsia="Calibri" w:cs="Arial"/>
                <w:spacing w:val="-1"/>
                <w:szCs w:val="22"/>
              </w:rPr>
              <w:t xml:space="preserve"> S</w:t>
            </w:r>
            <w:r w:rsidRPr="006D307E">
              <w:rPr>
                <w:rFonts w:eastAsia="Calibri" w:cs="Arial"/>
                <w:spacing w:val="1"/>
                <w:szCs w:val="22"/>
              </w:rPr>
              <w:t>e</w:t>
            </w:r>
            <w:r w:rsidRPr="006D307E">
              <w:rPr>
                <w:rFonts w:eastAsia="Calibri" w:cs="Arial"/>
                <w:szCs w:val="22"/>
              </w:rPr>
              <w:t>r</w:t>
            </w:r>
            <w:r w:rsidRPr="006D307E">
              <w:rPr>
                <w:rFonts w:eastAsia="Calibri" w:cs="Arial"/>
                <w:spacing w:val="1"/>
                <w:szCs w:val="22"/>
              </w:rPr>
              <w:t>v</w:t>
            </w:r>
            <w:r w:rsidRPr="006D307E">
              <w:rPr>
                <w:rFonts w:eastAsia="Calibri" w:cs="Arial"/>
                <w:spacing w:val="-3"/>
                <w:szCs w:val="22"/>
              </w:rPr>
              <w:t>i</w:t>
            </w:r>
            <w:r w:rsidRPr="006D307E">
              <w:rPr>
                <w:rFonts w:eastAsia="Calibri" w:cs="Arial"/>
                <w:szCs w:val="22"/>
              </w:rPr>
              <w:t>c</w:t>
            </w:r>
            <w:r w:rsidRPr="006D307E">
              <w:rPr>
                <w:rFonts w:eastAsia="Calibri" w:cs="Arial"/>
                <w:spacing w:val="-2"/>
                <w:szCs w:val="22"/>
              </w:rPr>
              <w:t>e</w:t>
            </w:r>
            <w:r w:rsidRPr="006D307E">
              <w:rPr>
                <w:rFonts w:eastAsia="Calibri" w:cs="Arial"/>
                <w:szCs w:val="22"/>
              </w:rPr>
              <w:t>s</w:t>
            </w:r>
            <w:r w:rsidRPr="006D307E">
              <w:rPr>
                <w:rFonts w:eastAsia="Calibri" w:cs="Arial"/>
                <w:spacing w:val="1"/>
                <w:szCs w:val="22"/>
              </w:rPr>
              <w:t xml:space="preserve"> </w:t>
            </w:r>
            <w:r w:rsidRPr="006D307E">
              <w:rPr>
                <w:rFonts w:eastAsia="Calibri" w:cs="Arial"/>
                <w:szCs w:val="22"/>
              </w:rPr>
              <w:t>at</w:t>
            </w:r>
            <w:r w:rsidRPr="006D307E">
              <w:rPr>
                <w:rFonts w:eastAsia="Calibri" w:cs="Arial"/>
                <w:spacing w:val="1"/>
                <w:szCs w:val="22"/>
              </w:rPr>
              <w:t xml:space="preserve"> </w:t>
            </w:r>
            <w:r w:rsidRPr="006D307E">
              <w:rPr>
                <w:rFonts w:eastAsia="Calibri" w:cs="Arial"/>
                <w:szCs w:val="22"/>
              </w:rPr>
              <w:t>a U</w:t>
            </w:r>
            <w:r w:rsidRPr="006D307E">
              <w:rPr>
                <w:rFonts w:eastAsia="Calibri" w:cs="Arial"/>
                <w:spacing w:val="-1"/>
                <w:szCs w:val="22"/>
              </w:rPr>
              <w:t>n</w:t>
            </w:r>
            <w:r w:rsidRPr="006D307E">
              <w:rPr>
                <w:rFonts w:eastAsia="Calibri" w:cs="Arial"/>
                <w:szCs w:val="22"/>
              </w:rPr>
              <w:t>i</w:t>
            </w:r>
            <w:r w:rsidRPr="006D307E">
              <w:rPr>
                <w:rFonts w:eastAsia="Calibri" w:cs="Arial"/>
                <w:spacing w:val="1"/>
                <w:szCs w:val="22"/>
              </w:rPr>
              <w:t>ve</w:t>
            </w:r>
            <w:r w:rsidRPr="006D307E">
              <w:rPr>
                <w:rFonts w:eastAsia="Calibri" w:cs="Arial"/>
                <w:szCs w:val="22"/>
              </w:rPr>
              <w:t>rsi</w:t>
            </w:r>
            <w:r w:rsidRPr="006D307E">
              <w:rPr>
                <w:rFonts w:eastAsia="Calibri" w:cs="Arial"/>
                <w:spacing w:val="-2"/>
                <w:szCs w:val="22"/>
              </w:rPr>
              <w:t>t</w:t>
            </w:r>
            <w:r w:rsidRPr="006D307E">
              <w:rPr>
                <w:rFonts w:eastAsia="Calibri" w:cs="Arial"/>
                <w:szCs w:val="22"/>
              </w:rPr>
              <w:t>y</w:t>
            </w:r>
            <w:r w:rsidRPr="006D307E">
              <w:rPr>
                <w:rFonts w:eastAsia="Calibri" w:cs="Arial"/>
                <w:spacing w:val="1"/>
                <w:szCs w:val="22"/>
              </w:rPr>
              <w:t xml:space="preserve"> </w:t>
            </w:r>
            <w:r w:rsidRPr="006D307E">
              <w:rPr>
                <w:rFonts w:eastAsia="Calibri" w:cs="Arial"/>
                <w:spacing w:val="-3"/>
                <w:szCs w:val="22"/>
              </w:rPr>
              <w:t>A</w:t>
            </w:r>
            <w:r w:rsidRPr="006D307E">
              <w:rPr>
                <w:rFonts w:eastAsia="Calibri" w:cs="Arial"/>
                <w:spacing w:val="1"/>
                <w:szCs w:val="22"/>
              </w:rPr>
              <w:t>m</w:t>
            </w:r>
            <w:r w:rsidRPr="006D307E">
              <w:rPr>
                <w:rFonts w:eastAsia="Calibri" w:cs="Arial"/>
                <w:spacing w:val="-1"/>
                <w:szCs w:val="22"/>
              </w:rPr>
              <w:t>bu</w:t>
            </w:r>
            <w:r w:rsidRPr="006D307E">
              <w:rPr>
                <w:rFonts w:eastAsia="Calibri" w:cs="Arial"/>
                <w:szCs w:val="22"/>
              </w:rPr>
              <w:t>la</w:t>
            </w:r>
            <w:r w:rsidRPr="006D307E">
              <w:rPr>
                <w:rFonts w:eastAsia="Calibri" w:cs="Arial"/>
                <w:spacing w:val="-2"/>
                <w:szCs w:val="22"/>
              </w:rPr>
              <w:t>t</w:t>
            </w:r>
            <w:r w:rsidRPr="006D307E">
              <w:rPr>
                <w:rFonts w:eastAsia="Calibri" w:cs="Arial"/>
                <w:spacing w:val="1"/>
                <w:szCs w:val="22"/>
              </w:rPr>
              <w:t>o</w:t>
            </w:r>
            <w:r w:rsidRPr="006D307E">
              <w:rPr>
                <w:rFonts w:eastAsia="Calibri" w:cs="Arial"/>
                <w:szCs w:val="22"/>
              </w:rPr>
              <w:t>ry</w:t>
            </w:r>
            <w:r w:rsidRPr="006D307E">
              <w:rPr>
                <w:rFonts w:eastAsia="Calibri" w:cs="Arial"/>
                <w:spacing w:val="-1"/>
                <w:szCs w:val="22"/>
              </w:rPr>
              <w:t xml:space="preserve"> </w:t>
            </w:r>
            <w:r w:rsidRPr="006D307E">
              <w:rPr>
                <w:rFonts w:eastAsia="Calibri" w:cs="Arial"/>
                <w:szCs w:val="22"/>
              </w:rPr>
              <w:t>Ca</w:t>
            </w:r>
            <w:r w:rsidRPr="006D307E">
              <w:rPr>
                <w:rFonts w:eastAsia="Calibri" w:cs="Arial"/>
                <w:spacing w:val="-3"/>
                <w:szCs w:val="22"/>
              </w:rPr>
              <w:t>r</w:t>
            </w:r>
            <w:r w:rsidRPr="006D307E">
              <w:rPr>
                <w:rFonts w:eastAsia="Calibri" w:cs="Arial"/>
                <w:szCs w:val="22"/>
              </w:rPr>
              <w:t>e</w:t>
            </w:r>
            <w:r w:rsidRPr="006D307E">
              <w:rPr>
                <w:rFonts w:eastAsia="Calibri" w:cs="Arial"/>
                <w:spacing w:val="1"/>
                <w:szCs w:val="22"/>
              </w:rPr>
              <w:t xml:space="preserve"> </w:t>
            </w:r>
            <w:r w:rsidRPr="006D307E">
              <w:rPr>
                <w:rFonts w:eastAsia="Calibri" w:cs="Arial"/>
                <w:szCs w:val="22"/>
              </w:rPr>
              <w:t>Cli</w:t>
            </w:r>
            <w:r w:rsidRPr="006D307E">
              <w:rPr>
                <w:rFonts w:eastAsia="Calibri" w:cs="Arial"/>
                <w:spacing w:val="-1"/>
                <w:szCs w:val="22"/>
              </w:rPr>
              <w:t>n</w:t>
            </w:r>
            <w:r w:rsidR="00E23927">
              <w:rPr>
                <w:rFonts w:eastAsia="Calibri" w:cs="Arial"/>
                <w:szCs w:val="22"/>
              </w:rPr>
              <w:t>ic.</w:t>
            </w:r>
            <w:r w:rsidRPr="006D307E">
              <w:rPr>
                <w:rFonts w:eastAsia="Calibri" w:cs="Arial"/>
                <w:spacing w:val="-2"/>
                <w:szCs w:val="22"/>
              </w:rPr>
              <w:t xml:space="preserve"> </w:t>
            </w:r>
            <w:r w:rsidRPr="006D307E">
              <w:rPr>
                <w:rFonts w:eastAsia="Calibri" w:cs="Arial"/>
                <w:spacing w:val="-1"/>
                <w:szCs w:val="22"/>
              </w:rPr>
              <w:t>A</w:t>
            </w:r>
            <w:r w:rsidRPr="006D307E">
              <w:rPr>
                <w:rFonts w:eastAsia="Calibri" w:cs="Arial"/>
                <w:spacing w:val="1"/>
                <w:szCs w:val="22"/>
              </w:rPr>
              <w:t>P</w:t>
            </w:r>
            <w:r w:rsidRPr="006D307E">
              <w:rPr>
                <w:rFonts w:eastAsia="Calibri" w:cs="Arial"/>
                <w:spacing w:val="-1"/>
                <w:szCs w:val="22"/>
              </w:rPr>
              <w:t>h</w:t>
            </w:r>
            <w:r w:rsidRPr="006D307E">
              <w:rPr>
                <w:rFonts w:eastAsia="Calibri" w:cs="Arial"/>
                <w:szCs w:val="22"/>
              </w:rPr>
              <w:t xml:space="preserve">A </w:t>
            </w:r>
            <w:r w:rsidRPr="006D307E">
              <w:rPr>
                <w:rFonts w:eastAsia="Calibri" w:cs="Arial"/>
                <w:spacing w:val="-1"/>
                <w:szCs w:val="22"/>
              </w:rPr>
              <w:t>Annu</w:t>
            </w:r>
            <w:r w:rsidRPr="006D307E">
              <w:rPr>
                <w:rFonts w:eastAsia="Calibri" w:cs="Arial"/>
                <w:szCs w:val="22"/>
              </w:rPr>
              <w:t xml:space="preserve">al </w:t>
            </w:r>
            <w:r w:rsidRPr="006D307E">
              <w:rPr>
                <w:rFonts w:eastAsia="Calibri" w:cs="Arial"/>
                <w:spacing w:val="-2"/>
                <w:szCs w:val="22"/>
              </w:rPr>
              <w:t>M</w:t>
            </w:r>
            <w:r w:rsidRPr="006D307E">
              <w:rPr>
                <w:rFonts w:eastAsia="Calibri" w:cs="Arial"/>
                <w:spacing w:val="1"/>
                <w:szCs w:val="22"/>
              </w:rPr>
              <w:t>ee</w:t>
            </w:r>
            <w:r w:rsidRPr="006D307E">
              <w:rPr>
                <w:rFonts w:eastAsia="Calibri" w:cs="Arial"/>
                <w:szCs w:val="22"/>
              </w:rPr>
              <w:t>ti</w:t>
            </w:r>
            <w:r w:rsidRPr="006D307E">
              <w:rPr>
                <w:rFonts w:eastAsia="Calibri" w:cs="Arial"/>
                <w:spacing w:val="-1"/>
                <w:szCs w:val="22"/>
              </w:rPr>
              <w:t>n</w:t>
            </w:r>
            <w:r w:rsidRPr="006D307E">
              <w:rPr>
                <w:rFonts w:eastAsia="Calibri" w:cs="Arial"/>
                <w:szCs w:val="22"/>
              </w:rPr>
              <w:t>g a</w:t>
            </w:r>
            <w:r w:rsidRPr="006D307E">
              <w:rPr>
                <w:rFonts w:eastAsia="Calibri" w:cs="Arial"/>
                <w:spacing w:val="-3"/>
                <w:szCs w:val="22"/>
              </w:rPr>
              <w:t>n</w:t>
            </w:r>
            <w:r w:rsidRPr="006D307E">
              <w:rPr>
                <w:rFonts w:eastAsia="Calibri" w:cs="Arial"/>
                <w:szCs w:val="22"/>
              </w:rPr>
              <w:t>d Ex</w:t>
            </w:r>
            <w:r w:rsidRPr="006D307E">
              <w:rPr>
                <w:rFonts w:eastAsia="Calibri" w:cs="Arial"/>
                <w:spacing w:val="-1"/>
                <w:szCs w:val="22"/>
              </w:rPr>
              <w:t>p</w:t>
            </w:r>
            <w:r w:rsidRPr="006D307E">
              <w:rPr>
                <w:rFonts w:eastAsia="Calibri" w:cs="Arial"/>
                <w:spacing w:val="1"/>
                <w:szCs w:val="22"/>
              </w:rPr>
              <w:t>o</w:t>
            </w:r>
            <w:r w:rsidRPr="006D307E">
              <w:rPr>
                <w:rFonts w:eastAsia="Calibri" w:cs="Arial"/>
                <w:szCs w:val="22"/>
              </w:rPr>
              <w:t>s</w:t>
            </w:r>
            <w:r w:rsidRPr="006D307E">
              <w:rPr>
                <w:rFonts w:eastAsia="Calibri" w:cs="Arial"/>
                <w:spacing w:val="-3"/>
                <w:szCs w:val="22"/>
              </w:rPr>
              <w:t>i</w:t>
            </w:r>
            <w:r w:rsidRPr="006D307E">
              <w:rPr>
                <w:rFonts w:eastAsia="Calibri" w:cs="Arial"/>
                <w:szCs w:val="22"/>
              </w:rPr>
              <w:t>ti</w:t>
            </w:r>
            <w:r w:rsidRPr="006D307E">
              <w:rPr>
                <w:rFonts w:eastAsia="Calibri" w:cs="Arial"/>
                <w:spacing w:val="1"/>
                <w:szCs w:val="22"/>
              </w:rPr>
              <w:t>o</w:t>
            </w:r>
            <w:r w:rsidRPr="006D307E">
              <w:rPr>
                <w:rFonts w:eastAsia="Calibri" w:cs="Arial"/>
                <w:spacing w:val="-1"/>
                <w:szCs w:val="22"/>
              </w:rPr>
              <w:t>n</w:t>
            </w:r>
            <w:r w:rsidRPr="006D307E">
              <w:rPr>
                <w:rFonts w:eastAsia="Calibri" w:cs="Arial"/>
                <w:szCs w:val="22"/>
              </w:rPr>
              <w:t>,</w:t>
            </w:r>
            <w:r w:rsidRPr="006D307E">
              <w:rPr>
                <w:rFonts w:eastAsia="Calibri" w:cs="Arial"/>
                <w:spacing w:val="1"/>
                <w:szCs w:val="22"/>
              </w:rPr>
              <w:t xml:space="preserve"> </w:t>
            </w:r>
            <w:r w:rsidRPr="006D307E">
              <w:rPr>
                <w:rFonts w:eastAsia="Calibri" w:cs="Arial"/>
                <w:spacing w:val="-3"/>
                <w:szCs w:val="22"/>
              </w:rPr>
              <w:t>N</w:t>
            </w:r>
            <w:r w:rsidRPr="006D307E">
              <w:rPr>
                <w:rFonts w:eastAsia="Calibri" w:cs="Arial"/>
                <w:spacing w:val="1"/>
                <w:szCs w:val="22"/>
              </w:rPr>
              <w:t>e</w:t>
            </w:r>
            <w:r w:rsidRPr="006D307E">
              <w:rPr>
                <w:rFonts w:eastAsia="Calibri" w:cs="Arial"/>
                <w:szCs w:val="22"/>
              </w:rPr>
              <w:t>w</w:t>
            </w:r>
            <w:r w:rsidRPr="006D307E">
              <w:rPr>
                <w:rFonts w:eastAsia="Calibri" w:cs="Arial"/>
                <w:spacing w:val="-1"/>
                <w:szCs w:val="22"/>
              </w:rPr>
              <w:t xml:space="preserve"> </w:t>
            </w:r>
            <w:r w:rsidRPr="006D307E">
              <w:rPr>
                <w:rFonts w:eastAsia="Calibri" w:cs="Arial"/>
                <w:szCs w:val="22"/>
              </w:rPr>
              <w:t>Orl</w:t>
            </w:r>
            <w:r w:rsidRPr="006D307E">
              <w:rPr>
                <w:rFonts w:eastAsia="Calibri" w:cs="Arial"/>
                <w:spacing w:val="1"/>
                <w:szCs w:val="22"/>
              </w:rPr>
              <w:t>e</w:t>
            </w:r>
            <w:r w:rsidRPr="006D307E">
              <w:rPr>
                <w:rFonts w:eastAsia="Calibri" w:cs="Arial"/>
                <w:szCs w:val="22"/>
              </w:rPr>
              <w:t>a</w:t>
            </w:r>
            <w:r w:rsidRPr="006D307E">
              <w:rPr>
                <w:rFonts w:eastAsia="Calibri" w:cs="Arial"/>
                <w:spacing w:val="-1"/>
                <w:szCs w:val="22"/>
              </w:rPr>
              <w:t>n</w:t>
            </w:r>
            <w:r w:rsidRPr="006D307E">
              <w:rPr>
                <w:rFonts w:eastAsia="Calibri" w:cs="Arial"/>
                <w:szCs w:val="22"/>
              </w:rPr>
              <w:t>s,</w:t>
            </w:r>
            <w:r w:rsidRPr="006D307E">
              <w:rPr>
                <w:rFonts w:eastAsia="Calibri" w:cs="Arial"/>
                <w:spacing w:val="-4"/>
                <w:szCs w:val="22"/>
              </w:rPr>
              <w:t xml:space="preserve"> </w:t>
            </w:r>
            <w:r w:rsidRPr="006D307E">
              <w:rPr>
                <w:rFonts w:eastAsia="Calibri" w:cs="Arial"/>
                <w:spacing w:val="1"/>
                <w:szCs w:val="22"/>
              </w:rPr>
              <w:t>L</w:t>
            </w:r>
            <w:r w:rsidRPr="006D307E">
              <w:rPr>
                <w:rFonts w:eastAsia="Calibri" w:cs="Arial"/>
                <w:spacing w:val="-1"/>
                <w:szCs w:val="22"/>
              </w:rPr>
              <w:t>A</w:t>
            </w:r>
            <w:r w:rsidRPr="006D307E">
              <w:rPr>
                <w:rFonts w:eastAsia="Calibri" w:cs="Arial"/>
                <w:szCs w:val="22"/>
              </w:rPr>
              <w:t xml:space="preserve">, </w:t>
            </w:r>
            <w:r w:rsidRPr="006D307E">
              <w:rPr>
                <w:rFonts w:eastAsia="Calibri" w:cs="Arial"/>
                <w:spacing w:val="1"/>
                <w:szCs w:val="22"/>
              </w:rPr>
              <w:t>M</w:t>
            </w:r>
            <w:r w:rsidRPr="006D307E">
              <w:rPr>
                <w:rFonts w:eastAsia="Calibri" w:cs="Arial"/>
                <w:szCs w:val="22"/>
              </w:rPr>
              <w:t>arch</w:t>
            </w:r>
            <w:r w:rsidRPr="006D307E">
              <w:rPr>
                <w:rFonts w:eastAsia="Calibri" w:cs="Arial"/>
                <w:spacing w:val="-3"/>
                <w:szCs w:val="22"/>
              </w:rPr>
              <w:t xml:space="preserve"> </w:t>
            </w:r>
            <w:r w:rsidRPr="006D307E">
              <w:rPr>
                <w:rFonts w:eastAsia="Calibri" w:cs="Arial"/>
                <w:spacing w:val="1"/>
                <w:szCs w:val="22"/>
              </w:rPr>
              <w:t>2</w:t>
            </w:r>
            <w:r w:rsidRPr="006D307E">
              <w:rPr>
                <w:rFonts w:eastAsia="Calibri" w:cs="Arial"/>
                <w:spacing w:val="-1"/>
                <w:szCs w:val="22"/>
              </w:rPr>
              <w:t>0</w:t>
            </w:r>
            <w:r w:rsidRPr="006D307E">
              <w:rPr>
                <w:rFonts w:eastAsia="Calibri" w:cs="Arial"/>
                <w:spacing w:val="1"/>
                <w:szCs w:val="22"/>
              </w:rPr>
              <w:t xml:space="preserve">12. </w:t>
            </w:r>
          </w:p>
          <w:p w14:paraId="5CB3A124" w14:textId="31FA473D" w:rsidR="002A5B94" w:rsidRPr="00FF6454" w:rsidRDefault="002A5B94" w:rsidP="00FF6454">
            <w:pPr>
              <w:snapToGrid/>
              <w:spacing w:after="0" w:line="240" w:lineRule="auto"/>
              <w:ind w:right="-20"/>
              <w:rPr>
                <w:rFonts w:eastAsia="Calibri" w:cs="Arial"/>
                <w:szCs w:val="22"/>
              </w:rPr>
            </w:pPr>
          </w:p>
        </w:tc>
      </w:tr>
      <w:tr w:rsidR="005E37BA" w14:paraId="1BC2864F" w14:textId="77777777" w:rsidTr="00402C46">
        <w:trPr>
          <w:trHeight w:val="666"/>
        </w:trPr>
        <w:tc>
          <w:tcPr>
            <w:tcW w:w="2065" w:type="dxa"/>
          </w:tcPr>
          <w:p w14:paraId="2FDECA86" w14:textId="6BDFA415" w:rsidR="005E37BA" w:rsidRDefault="005E37BA" w:rsidP="005E37BA">
            <w:pPr>
              <w:spacing w:after="0" w:line="240" w:lineRule="auto"/>
            </w:pPr>
            <w:r>
              <w:lastRenderedPageBreak/>
              <w:t>PUBLICATIONS</w:t>
            </w:r>
          </w:p>
        </w:tc>
        <w:tc>
          <w:tcPr>
            <w:tcW w:w="7285" w:type="dxa"/>
          </w:tcPr>
          <w:p w14:paraId="40351C5F" w14:textId="0F74799A" w:rsidR="006D307E" w:rsidRPr="00E23927" w:rsidRDefault="004C1D74" w:rsidP="006D307E">
            <w:pPr>
              <w:snapToGrid/>
              <w:spacing w:after="0" w:line="240" w:lineRule="auto"/>
              <w:ind w:right="-20"/>
              <w:rPr>
                <w:rFonts w:eastAsia="Calibri" w:cs="Arial"/>
                <w:szCs w:val="22"/>
              </w:rPr>
            </w:pPr>
            <w:r w:rsidRPr="00E23927">
              <w:rPr>
                <w:rFonts w:eastAsia="Calibri" w:cs="Arial"/>
                <w:szCs w:val="22"/>
              </w:rPr>
              <w:t xml:space="preserve">Zueger PM, Kumar VM, Harrington RL, Rigoni GC, Atwood A, DiDomenico RJ, Touchette DR. </w:t>
            </w:r>
            <w:r w:rsidRPr="00E23927">
              <w:rPr>
                <w:rFonts w:cs="Arial"/>
                <w:color w:val="000000" w:themeColor="text1"/>
                <w:szCs w:val="22"/>
              </w:rPr>
              <w:t xml:space="preserve">Cost-Effectiveness Analysis of Sacubitril-Valsartan for the Treatment of Heart Failure with Reduced Ejection Fraction in the United States. </w:t>
            </w:r>
            <w:r w:rsidRPr="00E23927">
              <w:rPr>
                <w:rFonts w:cs="Arial"/>
                <w:i/>
                <w:color w:val="000000" w:themeColor="text1"/>
                <w:szCs w:val="22"/>
              </w:rPr>
              <w:t>Pharmacotherapy (In Press).</w:t>
            </w:r>
          </w:p>
          <w:p w14:paraId="5A8046B5" w14:textId="6C22D5E4" w:rsidR="006D307E" w:rsidRPr="00E23927" w:rsidRDefault="006D307E" w:rsidP="006D307E">
            <w:pPr>
              <w:snapToGrid/>
              <w:spacing w:after="0" w:line="240" w:lineRule="auto"/>
              <w:ind w:right="-20"/>
              <w:rPr>
                <w:rFonts w:eastAsia="Calibri" w:cs="Arial"/>
                <w:szCs w:val="22"/>
              </w:rPr>
            </w:pPr>
          </w:p>
          <w:p w14:paraId="586FD655" w14:textId="77777777" w:rsidR="004C1D74" w:rsidRPr="00CD7604" w:rsidRDefault="004C1D74" w:rsidP="004C1D74">
            <w:pPr>
              <w:snapToGrid/>
              <w:spacing w:after="0" w:line="240" w:lineRule="auto"/>
              <w:ind w:right="-20"/>
              <w:rPr>
                <w:rFonts w:eastAsia="Calibri" w:cs="Arial"/>
                <w:szCs w:val="22"/>
              </w:rPr>
            </w:pPr>
            <w:r w:rsidRPr="00E23927">
              <w:rPr>
                <w:rFonts w:eastAsia="Calibri" w:cs="Arial"/>
                <w:szCs w:val="22"/>
              </w:rPr>
              <w:t xml:space="preserve">Zueger PM, Holmes HM, Calip GS, Qato DM, Pickard AS, Lee TA. </w:t>
            </w:r>
            <w:r w:rsidRPr="00E23927">
              <w:rPr>
                <w:szCs w:val="22"/>
              </w:rPr>
              <w:t xml:space="preserve">Medicare Part D Use </w:t>
            </w:r>
            <w:r>
              <w:rPr>
                <w:szCs w:val="22"/>
              </w:rPr>
              <w:t>of</w:t>
            </w:r>
            <w:r w:rsidRPr="00E23927">
              <w:rPr>
                <w:szCs w:val="22"/>
              </w:rPr>
              <w:t xml:space="preserve"> Older Medicare Beneficiaries Admitted to Hospice. </w:t>
            </w:r>
            <w:r>
              <w:rPr>
                <w:i/>
                <w:szCs w:val="22"/>
              </w:rPr>
              <w:t>J Am Geriatr Soc.</w:t>
            </w:r>
            <w:r>
              <w:rPr>
                <w:szCs w:val="22"/>
              </w:rPr>
              <w:t xml:space="preserve"> 2018 Mar 6. Epub ahead of print.</w:t>
            </w:r>
          </w:p>
          <w:p w14:paraId="062568DF" w14:textId="77777777" w:rsidR="006D307E" w:rsidRPr="00E23927" w:rsidRDefault="006D307E" w:rsidP="006D307E">
            <w:pPr>
              <w:pStyle w:val="ListParagraph"/>
              <w:spacing w:after="0" w:line="240" w:lineRule="auto"/>
              <w:ind w:left="360" w:right="-20"/>
              <w:rPr>
                <w:rFonts w:eastAsia="Calibri" w:cs="Arial"/>
                <w:b/>
                <w:szCs w:val="22"/>
              </w:rPr>
            </w:pPr>
          </w:p>
          <w:p w14:paraId="6434E1B1" w14:textId="04EC4BA2" w:rsidR="006D307E" w:rsidRPr="00E23927" w:rsidRDefault="006D307E" w:rsidP="006D307E">
            <w:pPr>
              <w:snapToGrid/>
              <w:spacing w:after="0" w:line="240" w:lineRule="auto"/>
              <w:ind w:right="-20"/>
              <w:rPr>
                <w:rFonts w:eastAsia="Calibri" w:cs="Arial"/>
                <w:szCs w:val="22"/>
              </w:rPr>
            </w:pPr>
            <w:r w:rsidRPr="00E23927">
              <w:rPr>
                <w:rFonts w:eastAsia="Calibri" w:cs="Arial"/>
                <w:szCs w:val="22"/>
                <w:lang w:val="fr-FR"/>
              </w:rPr>
              <w:t xml:space="preserve">Han MK, Martinez C, Au DH, Bourbeau J, Boyd C, Branson R, Criner G, Kalhan R, Kallstrom T, King A, Krishnan J, Lareau SC, Lee TA, Lindell K, Mannino DM, Martinez FJ, Meldrum C, Press V, Thomashow B, Tycon L, Sullivan JL, Walsh J, Wilson K, Wright J, Yawn B, Zueger PM, Bhatt S, Dransfield MT. </w:t>
            </w:r>
            <w:r w:rsidRPr="00E23927">
              <w:rPr>
                <w:rFonts w:eastAsia="Calibri" w:cs="Arial"/>
                <w:szCs w:val="22"/>
              </w:rPr>
              <w:t xml:space="preserve">Meeting the Challenge of COPD Care Delivery in the USA: A Multiprovider Perspective. </w:t>
            </w:r>
            <w:r w:rsidRPr="00E23927">
              <w:rPr>
                <w:rFonts w:cs="Arial"/>
                <w:i/>
                <w:color w:val="000000"/>
                <w:szCs w:val="22"/>
              </w:rPr>
              <w:t>Lancet Respir Med</w:t>
            </w:r>
            <w:r w:rsidRPr="00E23927">
              <w:rPr>
                <w:rFonts w:cs="Arial"/>
                <w:color w:val="000000"/>
                <w:szCs w:val="22"/>
              </w:rPr>
              <w:t>. 2016 Jun;4(6):473-526</w:t>
            </w:r>
            <w:r w:rsidRPr="00E23927">
              <w:rPr>
                <w:rFonts w:eastAsia="Calibri" w:cs="Arial"/>
                <w:szCs w:val="22"/>
              </w:rPr>
              <w:t xml:space="preserve"> </w:t>
            </w:r>
          </w:p>
          <w:p w14:paraId="5BC3235C" w14:textId="77777777" w:rsidR="006D307E" w:rsidRPr="00E23927" w:rsidRDefault="006D307E" w:rsidP="006D307E">
            <w:pPr>
              <w:pStyle w:val="ListParagraph"/>
              <w:spacing w:after="0" w:line="240" w:lineRule="auto"/>
              <w:ind w:left="360" w:right="-20"/>
              <w:rPr>
                <w:rFonts w:eastAsia="Calibri" w:cs="Arial"/>
                <w:szCs w:val="22"/>
              </w:rPr>
            </w:pPr>
          </w:p>
          <w:p w14:paraId="68305504" w14:textId="77777777" w:rsidR="006D307E" w:rsidRPr="00B91C0A" w:rsidRDefault="006D307E" w:rsidP="006D307E">
            <w:pPr>
              <w:snapToGrid/>
              <w:spacing w:after="0" w:line="240" w:lineRule="auto"/>
              <w:ind w:right="-20"/>
              <w:rPr>
                <w:rFonts w:eastAsia="Calibri" w:cs="Arial"/>
                <w:szCs w:val="22"/>
                <w:lang w:val="de-CH"/>
              </w:rPr>
            </w:pPr>
            <w:r w:rsidRPr="00E23927">
              <w:rPr>
                <w:rFonts w:eastAsia="Calibri" w:cs="Arial"/>
                <w:color w:val="000000"/>
                <w:spacing w:val="1"/>
                <w:szCs w:val="22"/>
              </w:rPr>
              <w:t>K</w:t>
            </w:r>
            <w:r w:rsidRPr="00E23927">
              <w:rPr>
                <w:rFonts w:eastAsia="Calibri" w:cs="Arial"/>
                <w:color w:val="000000"/>
                <w:szCs w:val="22"/>
              </w:rPr>
              <w:t>im</w:t>
            </w:r>
            <w:r w:rsidRPr="00E23927">
              <w:rPr>
                <w:rFonts w:eastAsia="Calibri" w:cs="Arial"/>
                <w:color w:val="000000"/>
                <w:spacing w:val="2"/>
                <w:szCs w:val="22"/>
              </w:rPr>
              <w:t xml:space="preserve"> </w:t>
            </w:r>
            <w:r w:rsidRPr="00E23927">
              <w:rPr>
                <w:rFonts w:eastAsia="Calibri" w:cs="Arial"/>
                <w:color w:val="000000"/>
                <w:spacing w:val="-1"/>
                <w:szCs w:val="22"/>
              </w:rPr>
              <w:t>S</w:t>
            </w:r>
            <w:r w:rsidRPr="00E23927">
              <w:rPr>
                <w:rFonts w:eastAsia="Calibri" w:cs="Arial"/>
                <w:color w:val="000000"/>
                <w:szCs w:val="22"/>
              </w:rPr>
              <w:t>,</w:t>
            </w:r>
            <w:r w:rsidRPr="00E23927">
              <w:rPr>
                <w:rFonts w:eastAsia="Calibri" w:cs="Arial"/>
                <w:color w:val="000000"/>
                <w:spacing w:val="-2"/>
                <w:szCs w:val="22"/>
              </w:rPr>
              <w:t xml:space="preserve"> </w:t>
            </w:r>
            <w:r w:rsidRPr="00E23927">
              <w:rPr>
                <w:rFonts w:eastAsia="Calibri" w:cs="Arial"/>
                <w:color w:val="000000"/>
                <w:spacing w:val="1"/>
                <w:szCs w:val="22"/>
              </w:rPr>
              <w:t>M</w:t>
            </w:r>
            <w:r w:rsidRPr="00E23927">
              <w:rPr>
                <w:rFonts w:eastAsia="Calibri" w:cs="Arial"/>
                <w:color w:val="000000"/>
                <w:szCs w:val="22"/>
              </w:rPr>
              <w:t>a</w:t>
            </w:r>
            <w:r w:rsidRPr="00E23927">
              <w:rPr>
                <w:rFonts w:eastAsia="Calibri" w:cs="Arial"/>
                <w:color w:val="000000"/>
                <w:spacing w:val="-3"/>
                <w:szCs w:val="22"/>
              </w:rPr>
              <w:t>r</w:t>
            </w:r>
            <w:r w:rsidRPr="00E23927">
              <w:rPr>
                <w:rFonts w:eastAsia="Calibri" w:cs="Arial"/>
                <w:color w:val="000000"/>
                <w:szCs w:val="22"/>
              </w:rPr>
              <w:t xml:space="preserve">tin </w:t>
            </w:r>
            <w:r w:rsidRPr="00E23927">
              <w:rPr>
                <w:rFonts w:eastAsia="Calibri" w:cs="Arial"/>
                <w:color w:val="000000"/>
                <w:spacing w:val="-2"/>
                <w:szCs w:val="22"/>
              </w:rPr>
              <w:t>M</w:t>
            </w:r>
            <w:r w:rsidRPr="00E23927">
              <w:rPr>
                <w:rFonts w:eastAsia="Calibri" w:cs="Arial"/>
                <w:color w:val="000000"/>
                <w:szCs w:val="22"/>
              </w:rPr>
              <w:t>T,</w:t>
            </w:r>
            <w:r w:rsidRPr="00E23927">
              <w:rPr>
                <w:rFonts w:eastAsia="Calibri" w:cs="Arial"/>
                <w:color w:val="000000"/>
                <w:spacing w:val="-2"/>
                <w:szCs w:val="22"/>
              </w:rPr>
              <w:t xml:space="preserve"> </w:t>
            </w:r>
            <w:r w:rsidRPr="00E23927">
              <w:rPr>
                <w:rFonts w:eastAsia="Calibri" w:cs="Arial"/>
                <w:color w:val="000000"/>
                <w:spacing w:val="1"/>
                <w:szCs w:val="22"/>
              </w:rPr>
              <w:t>P</w:t>
            </w:r>
            <w:r w:rsidRPr="00E23927">
              <w:rPr>
                <w:rFonts w:eastAsia="Calibri" w:cs="Arial"/>
                <w:color w:val="000000"/>
                <w:szCs w:val="22"/>
              </w:rPr>
              <w:t>ier</w:t>
            </w:r>
            <w:r w:rsidRPr="00E23927">
              <w:rPr>
                <w:rFonts w:eastAsia="Calibri" w:cs="Arial"/>
                <w:color w:val="000000"/>
                <w:spacing w:val="-2"/>
                <w:szCs w:val="22"/>
              </w:rPr>
              <w:t>c</w:t>
            </w:r>
            <w:r w:rsidRPr="00E23927">
              <w:rPr>
                <w:rFonts w:eastAsia="Calibri" w:cs="Arial"/>
                <w:color w:val="000000"/>
                <w:szCs w:val="22"/>
              </w:rPr>
              <w:t>e</w:t>
            </w:r>
            <w:r w:rsidRPr="00E23927">
              <w:rPr>
                <w:rFonts w:eastAsia="Calibri" w:cs="Arial"/>
                <w:color w:val="000000"/>
                <w:spacing w:val="1"/>
                <w:szCs w:val="22"/>
              </w:rPr>
              <w:t xml:space="preserve"> </w:t>
            </w:r>
            <w:r w:rsidRPr="00E23927">
              <w:rPr>
                <w:rFonts w:eastAsia="Calibri" w:cs="Arial"/>
                <w:color w:val="000000"/>
                <w:spacing w:val="-3"/>
                <w:szCs w:val="22"/>
              </w:rPr>
              <w:t>A</w:t>
            </w:r>
            <w:r w:rsidRPr="00E23927">
              <w:rPr>
                <w:rFonts w:eastAsia="Calibri" w:cs="Arial"/>
                <w:color w:val="000000"/>
                <w:spacing w:val="1"/>
                <w:szCs w:val="22"/>
              </w:rPr>
              <w:t>L</w:t>
            </w:r>
            <w:r w:rsidRPr="00E23927">
              <w:rPr>
                <w:rFonts w:eastAsia="Calibri" w:cs="Arial"/>
                <w:b/>
                <w:color w:val="000000"/>
                <w:szCs w:val="22"/>
              </w:rPr>
              <w:t>,</w:t>
            </w:r>
            <w:r w:rsidRPr="00E23927">
              <w:rPr>
                <w:rFonts w:eastAsia="Calibri" w:cs="Arial"/>
                <w:b/>
                <w:color w:val="000000"/>
                <w:spacing w:val="1"/>
                <w:szCs w:val="22"/>
              </w:rPr>
              <w:t xml:space="preserve"> </w:t>
            </w:r>
            <w:r w:rsidRPr="00E23927">
              <w:rPr>
                <w:rFonts w:eastAsia="Calibri" w:cs="Arial"/>
                <w:bCs/>
                <w:color w:val="000000"/>
                <w:szCs w:val="22"/>
              </w:rPr>
              <w:t>Z</w:t>
            </w:r>
            <w:r w:rsidRPr="00E23927">
              <w:rPr>
                <w:rFonts w:eastAsia="Calibri" w:cs="Arial"/>
                <w:bCs/>
                <w:color w:val="000000"/>
                <w:spacing w:val="-1"/>
                <w:szCs w:val="22"/>
              </w:rPr>
              <w:t>ue</w:t>
            </w:r>
            <w:r w:rsidRPr="00E23927">
              <w:rPr>
                <w:rFonts w:eastAsia="Calibri" w:cs="Arial"/>
                <w:bCs/>
                <w:color w:val="000000"/>
                <w:spacing w:val="1"/>
                <w:szCs w:val="22"/>
              </w:rPr>
              <w:t>g</w:t>
            </w:r>
            <w:r w:rsidRPr="00E23927">
              <w:rPr>
                <w:rFonts w:eastAsia="Calibri" w:cs="Arial"/>
                <w:bCs/>
                <w:color w:val="000000"/>
                <w:spacing w:val="-1"/>
                <w:szCs w:val="22"/>
              </w:rPr>
              <w:t>e</w:t>
            </w:r>
            <w:r w:rsidRPr="00E23927">
              <w:rPr>
                <w:rFonts w:eastAsia="Calibri" w:cs="Arial"/>
                <w:bCs/>
                <w:color w:val="000000"/>
                <w:szCs w:val="22"/>
              </w:rPr>
              <w:t>r</w:t>
            </w:r>
            <w:r w:rsidRPr="00E23927">
              <w:rPr>
                <w:rFonts w:eastAsia="Calibri" w:cs="Arial"/>
                <w:bCs/>
                <w:color w:val="000000"/>
                <w:spacing w:val="-1"/>
                <w:szCs w:val="22"/>
              </w:rPr>
              <w:t xml:space="preserve"> PM</w:t>
            </w:r>
            <w:r w:rsidRPr="00E23927">
              <w:rPr>
                <w:rFonts w:eastAsia="Calibri" w:cs="Arial"/>
                <w:color w:val="000000"/>
                <w:szCs w:val="22"/>
              </w:rPr>
              <w:t>.</w:t>
            </w:r>
            <w:r w:rsidRPr="00E23927">
              <w:rPr>
                <w:rFonts w:eastAsia="Calibri" w:cs="Arial"/>
                <w:b/>
                <w:color w:val="000000"/>
                <w:szCs w:val="22"/>
              </w:rPr>
              <w:t xml:space="preserve"> </w:t>
            </w:r>
            <w:r w:rsidRPr="00E23927">
              <w:rPr>
                <w:rFonts w:eastAsia="Calibri" w:cs="Arial"/>
                <w:color w:val="000000"/>
                <w:spacing w:val="-1"/>
                <w:szCs w:val="22"/>
              </w:rPr>
              <w:t>S</w:t>
            </w:r>
            <w:r w:rsidRPr="00E23927">
              <w:rPr>
                <w:rFonts w:eastAsia="Calibri" w:cs="Arial"/>
                <w:color w:val="000000"/>
                <w:szCs w:val="22"/>
              </w:rPr>
              <w:t>atis</w:t>
            </w:r>
            <w:r w:rsidRPr="00E23927">
              <w:rPr>
                <w:rFonts w:eastAsia="Calibri" w:cs="Arial"/>
                <w:color w:val="000000"/>
                <w:spacing w:val="-3"/>
                <w:szCs w:val="22"/>
              </w:rPr>
              <w:t>f</w:t>
            </w:r>
            <w:r w:rsidRPr="00E23927">
              <w:rPr>
                <w:rFonts w:eastAsia="Calibri" w:cs="Arial"/>
                <w:color w:val="000000"/>
                <w:szCs w:val="22"/>
              </w:rPr>
              <w:t>act</w:t>
            </w:r>
            <w:r w:rsidRPr="00E23927">
              <w:rPr>
                <w:rFonts w:eastAsia="Calibri" w:cs="Arial"/>
                <w:color w:val="000000"/>
                <w:spacing w:val="-3"/>
                <w:szCs w:val="22"/>
              </w:rPr>
              <w:t>i</w:t>
            </w:r>
            <w:r w:rsidRPr="00E23927">
              <w:rPr>
                <w:rFonts w:eastAsia="Calibri" w:cs="Arial"/>
                <w:color w:val="000000"/>
                <w:spacing w:val="1"/>
                <w:szCs w:val="22"/>
              </w:rPr>
              <w:t>o</w:t>
            </w:r>
            <w:r w:rsidRPr="00E23927">
              <w:rPr>
                <w:rFonts w:eastAsia="Calibri" w:cs="Arial"/>
                <w:color w:val="000000"/>
                <w:szCs w:val="22"/>
              </w:rPr>
              <w:t>n w</w:t>
            </w:r>
            <w:r w:rsidRPr="00E23927">
              <w:rPr>
                <w:rFonts w:eastAsia="Calibri" w:cs="Arial"/>
                <w:color w:val="000000"/>
                <w:spacing w:val="-3"/>
                <w:szCs w:val="22"/>
              </w:rPr>
              <w:t>i</w:t>
            </w:r>
            <w:r w:rsidRPr="00E23927">
              <w:rPr>
                <w:rFonts w:eastAsia="Calibri" w:cs="Arial"/>
                <w:color w:val="000000"/>
                <w:szCs w:val="22"/>
              </w:rPr>
              <w:t xml:space="preserve">th </w:t>
            </w:r>
            <w:r w:rsidRPr="00E23927">
              <w:rPr>
                <w:rFonts w:eastAsia="Calibri" w:cs="Arial"/>
                <w:color w:val="000000"/>
                <w:spacing w:val="1"/>
                <w:szCs w:val="22"/>
              </w:rPr>
              <w:t>Me</w:t>
            </w:r>
            <w:r w:rsidRPr="00E23927">
              <w:rPr>
                <w:rFonts w:eastAsia="Calibri" w:cs="Arial"/>
                <w:color w:val="000000"/>
                <w:spacing w:val="-1"/>
                <w:szCs w:val="22"/>
              </w:rPr>
              <w:t>d</w:t>
            </w:r>
            <w:r w:rsidRPr="00E23927">
              <w:rPr>
                <w:rFonts w:eastAsia="Calibri" w:cs="Arial"/>
                <w:color w:val="000000"/>
                <w:szCs w:val="22"/>
              </w:rPr>
              <w:t>i</w:t>
            </w:r>
            <w:r w:rsidRPr="00E23927">
              <w:rPr>
                <w:rFonts w:eastAsia="Calibri" w:cs="Arial"/>
                <w:color w:val="000000"/>
                <w:spacing w:val="-2"/>
                <w:szCs w:val="22"/>
              </w:rPr>
              <w:t>c</w:t>
            </w:r>
            <w:r w:rsidRPr="00E23927">
              <w:rPr>
                <w:rFonts w:eastAsia="Calibri" w:cs="Arial"/>
                <w:color w:val="000000"/>
                <w:szCs w:val="22"/>
              </w:rPr>
              <w:t>ati</w:t>
            </w:r>
            <w:r w:rsidRPr="00E23927">
              <w:rPr>
                <w:rFonts w:eastAsia="Calibri" w:cs="Arial"/>
                <w:color w:val="000000"/>
                <w:spacing w:val="1"/>
                <w:szCs w:val="22"/>
              </w:rPr>
              <w:t>o</w:t>
            </w:r>
            <w:r w:rsidRPr="00E23927">
              <w:rPr>
                <w:rFonts w:eastAsia="Calibri" w:cs="Arial"/>
                <w:color w:val="000000"/>
                <w:szCs w:val="22"/>
              </w:rPr>
              <w:t>n</w:t>
            </w:r>
            <w:r w:rsidRPr="00E23927">
              <w:rPr>
                <w:rFonts w:eastAsia="Calibri" w:cs="Arial"/>
                <w:color w:val="000000"/>
                <w:spacing w:val="-3"/>
                <w:szCs w:val="22"/>
              </w:rPr>
              <w:t xml:space="preserve"> </w:t>
            </w:r>
            <w:r w:rsidRPr="00E23927">
              <w:rPr>
                <w:rFonts w:eastAsia="Calibri" w:cs="Arial"/>
                <w:color w:val="000000"/>
                <w:szCs w:val="22"/>
              </w:rPr>
              <w:t>T</w:t>
            </w:r>
            <w:r w:rsidRPr="00E23927">
              <w:rPr>
                <w:rFonts w:eastAsia="Calibri" w:cs="Arial"/>
                <w:color w:val="000000"/>
                <w:spacing w:val="-1"/>
                <w:szCs w:val="22"/>
              </w:rPr>
              <w:t>h</w:t>
            </w:r>
            <w:r w:rsidRPr="00E23927">
              <w:rPr>
                <w:rFonts w:eastAsia="Calibri" w:cs="Arial"/>
                <w:color w:val="000000"/>
                <w:spacing w:val="1"/>
                <w:szCs w:val="22"/>
              </w:rPr>
              <w:t>e</w:t>
            </w:r>
            <w:r w:rsidRPr="00E23927">
              <w:rPr>
                <w:rFonts w:eastAsia="Calibri" w:cs="Arial"/>
                <w:color w:val="000000"/>
                <w:szCs w:val="22"/>
              </w:rPr>
              <w:t>ra</w:t>
            </w:r>
            <w:r w:rsidRPr="00E23927">
              <w:rPr>
                <w:rFonts w:eastAsia="Calibri" w:cs="Arial"/>
                <w:color w:val="000000"/>
                <w:spacing w:val="-3"/>
                <w:szCs w:val="22"/>
              </w:rPr>
              <w:t>p</w:t>
            </w:r>
            <w:r w:rsidRPr="00E23927">
              <w:rPr>
                <w:rFonts w:eastAsia="Calibri" w:cs="Arial"/>
                <w:color w:val="000000"/>
                <w:szCs w:val="22"/>
              </w:rPr>
              <w:t>y</w:t>
            </w:r>
            <w:r w:rsidRPr="00E23927">
              <w:rPr>
                <w:rFonts w:eastAsia="Calibri" w:cs="Arial"/>
                <w:color w:val="000000"/>
                <w:spacing w:val="2"/>
                <w:szCs w:val="22"/>
              </w:rPr>
              <w:t xml:space="preserve"> </w:t>
            </w:r>
            <w:r w:rsidRPr="00E23927">
              <w:rPr>
                <w:rFonts w:eastAsia="Calibri" w:cs="Arial"/>
                <w:color w:val="000000"/>
                <w:spacing w:val="-2"/>
                <w:szCs w:val="22"/>
              </w:rPr>
              <w:t>M</w:t>
            </w:r>
            <w:r w:rsidRPr="00E23927">
              <w:rPr>
                <w:rFonts w:eastAsia="Calibri" w:cs="Arial"/>
                <w:color w:val="000000"/>
                <w:spacing w:val="-3"/>
                <w:szCs w:val="22"/>
              </w:rPr>
              <w:t>a</w:t>
            </w:r>
            <w:r w:rsidRPr="00E23927">
              <w:rPr>
                <w:rFonts w:eastAsia="Calibri" w:cs="Arial"/>
                <w:color w:val="000000"/>
                <w:spacing w:val="-1"/>
                <w:szCs w:val="22"/>
              </w:rPr>
              <w:t>n</w:t>
            </w:r>
            <w:r w:rsidRPr="00E23927">
              <w:rPr>
                <w:rFonts w:eastAsia="Calibri" w:cs="Arial"/>
                <w:color w:val="000000"/>
                <w:szCs w:val="22"/>
              </w:rPr>
              <w:t>a</w:t>
            </w:r>
            <w:r w:rsidRPr="00E23927">
              <w:rPr>
                <w:rFonts w:eastAsia="Calibri" w:cs="Arial"/>
                <w:color w:val="000000"/>
                <w:spacing w:val="-1"/>
                <w:szCs w:val="22"/>
              </w:rPr>
              <w:t>g</w:t>
            </w:r>
            <w:r w:rsidRPr="00E23927">
              <w:rPr>
                <w:rFonts w:eastAsia="Calibri" w:cs="Arial"/>
                <w:color w:val="000000"/>
                <w:spacing w:val="1"/>
                <w:szCs w:val="22"/>
              </w:rPr>
              <w:t>eme</w:t>
            </w:r>
            <w:r w:rsidRPr="00E23927">
              <w:rPr>
                <w:rFonts w:eastAsia="Calibri" w:cs="Arial"/>
                <w:color w:val="000000"/>
                <w:spacing w:val="-1"/>
                <w:szCs w:val="22"/>
              </w:rPr>
              <w:t>n</w:t>
            </w:r>
            <w:r w:rsidRPr="00E23927">
              <w:rPr>
                <w:rFonts w:eastAsia="Calibri" w:cs="Arial"/>
                <w:color w:val="000000"/>
                <w:szCs w:val="22"/>
              </w:rPr>
              <w:t>t</w:t>
            </w:r>
            <w:r w:rsidRPr="00E23927">
              <w:rPr>
                <w:rFonts w:eastAsia="Calibri" w:cs="Arial"/>
                <w:color w:val="000000"/>
                <w:spacing w:val="-1"/>
                <w:szCs w:val="22"/>
              </w:rPr>
              <w:t xml:space="preserve"> S</w:t>
            </w:r>
            <w:r w:rsidRPr="00E23927">
              <w:rPr>
                <w:rFonts w:eastAsia="Calibri" w:cs="Arial"/>
                <w:color w:val="000000"/>
                <w:spacing w:val="1"/>
                <w:szCs w:val="22"/>
              </w:rPr>
              <w:t>e</w:t>
            </w:r>
            <w:r w:rsidRPr="00E23927">
              <w:rPr>
                <w:rFonts w:eastAsia="Calibri" w:cs="Arial"/>
                <w:color w:val="000000"/>
                <w:spacing w:val="-3"/>
                <w:szCs w:val="22"/>
              </w:rPr>
              <w:t>r</w:t>
            </w:r>
            <w:r w:rsidRPr="00E23927">
              <w:rPr>
                <w:rFonts w:eastAsia="Calibri" w:cs="Arial"/>
                <w:color w:val="000000"/>
                <w:spacing w:val="1"/>
                <w:szCs w:val="22"/>
              </w:rPr>
              <w:t>v</w:t>
            </w:r>
            <w:r w:rsidRPr="00E23927">
              <w:rPr>
                <w:rFonts w:eastAsia="Calibri" w:cs="Arial"/>
                <w:color w:val="000000"/>
                <w:szCs w:val="22"/>
              </w:rPr>
              <w:t>ic</w:t>
            </w:r>
            <w:r w:rsidRPr="00E23927">
              <w:rPr>
                <w:rFonts w:eastAsia="Calibri" w:cs="Arial"/>
                <w:color w:val="000000"/>
                <w:spacing w:val="1"/>
                <w:szCs w:val="22"/>
              </w:rPr>
              <w:t>e</w:t>
            </w:r>
            <w:r w:rsidRPr="00E23927">
              <w:rPr>
                <w:rFonts w:eastAsia="Calibri" w:cs="Arial"/>
                <w:color w:val="000000"/>
                <w:szCs w:val="22"/>
              </w:rPr>
              <w:t>s</w:t>
            </w:r>
            <w:r w:rsidRPr="00E23927">
              <w:rPr>
                <w:rFonts w:eastAsia="Calibri" w:cs="Arial"/>
                <w:color w:val="000000"/>
                <w:spacing w:val="-2"/>
                <w:szCs w:val="22"/>
              </w:rPr>
              <w:t xml:space="preserve"> </w:t>
            </w:r>
            <w:r w:rsidRPr="00E23927">
              <w:rPr>
                <w:rFonts w:eastAsia="Calibri" w:cs="Arial"/>
                <w:color w:val="000000"/>
                <w:szCs w:val="22"/>
              </w:rPr>
              <w:t>at</w:t>
            </w:r>
            <w:r w:rsidRPr="00E23927">
              <w:rPr>
                <w:rFonts w:eastAsia="Calibri" w:cs="Arial"/>
                <w:color w:val="000000"/>
                <w:spacing w:val="1"/>
                <w:szCs w:val="22"/>
              </w:rPr>
              <w:t xml:space="preserve"> </w:t>
            </w:r>
            <w:r w:rsidRPr="00E23927">
              <w:rPr>
                <w:rFonts w:eastAsia="Calibri" w:cs="Arial"/>
                <w:color w:val="000000"/>
                <w:szCs w:val="22"/>
              </w:rPr>
              <w:t>a</w:t>
            </w:r>
            <w:r w:rsidRPr="00E23927">
              <w:rPr>
                <w:rFonts w:eastAsia="Calibri" w:cs="Arial"/>
                <w:color w:val="000000"/>
                <w:spacing w:val="-2"/>
                <w:szCs w:val="22"/>
              </w:rPr>
              <w:t xml:space="preserve"> </w:t>
            </w:r>
            <w:r w:rsidRPr="00E23927">
              <w:rPr>
                <w:rFonts w:eastAsia="Calibri" w:cs="Arial"/>
                <w:color w:val="000000"/>
                <w:szCs w:val="22"/>
              </w:rPr>
              <w:t>U</w:t>
            </w:r>
            <w:r w:rsidRPr="00E23927">
              <w:rPr>
                <w:rFonts w:eastAsia="Calibri" w:cs="Arial"/>
                <w:color w:val="000000"/>
                <w:spacing w:val="-1"/>
                <w:szCs w:val="22"/>
              </w:rPr>
              <w:t>n</w:t>
            </w:r>
            <w:r w:rsidRPr="00E23927">
              <w:rPr>
                <w:rFonts w:eastAsia="Calibri" w:cs="Arial"/>
                <w:color w:val="000000"/>
                <w:spacing w:val="-3"/>
                <w:szCs w:val="22"/>
              </w:rPr>
              <w:t>i</w:t>
            </w:r>
            <w:r w:rsidRPr="00E23927">
              <w:rPr>
                <w:rFonts w:eastAsia="Calibri" w:cs="Arial"/>
                <w:color w:val="000000"/>
                <w:spacing w:val="1"/>
                <w:szCs w:val="22"/>
              </w:rPr>
              <w:t>ve</w:t>
            </w:r>
            <w:r w:rsidRPr="00E23927">
              <w:rPr>
                <w:rFonts w:eastAsia="Calibri" w:cs="Arial"/>
                <w:color w:val="000000"/>
                <w:szCs w:val="22"/>
              </w:rPr>
              <w:t>rsi</w:t>
            </w:r>
            <w:r w:rsidRPr="00E23927">
              <w:rPr>
                <w:rFonts w:eastAsia="Calibri" w:cs="Arial"/>
                <w:color w:val="000000"/>
                <w:spacing w:val="-2"/>
                <w:szCs w:val="22"/>
              </w:rPr>
              <w:t>t</w:t>
            </w:r>
            <w:r w:rsidRPr="00E23927">
              <w:rPr>
                <w:rFonts w:eastAsia="Calibri" w:cs="Arial"/>
                <w:color w:val="000000"/>
                <w:szCs w:val="22"/>
              </w:rPr>
              <w:t xml:space="preserve">y </w:t>
            </w:r>
            <w:r w:rsidRPr="00E23927">
              <w:rPr>
                <w:rFonts w:eastAsia="Calibri" w:cs="Arial"/>
                <w:spacing w:val="-1"/>
                <w:position w:val="1"/>
                <w:szCs w:val="22"/>
              </w:rPr>
              <w:t>A</w:t>
            </w:r>
            <w:r w:rsidRPr="00E23927">
              <w:rPr>
                <w:rFonts w:eastAsia="Calibri" w:cs="Arial"/>
                <w:spacing w:val="1"/>
                <w:position w:val="1"/>
                <w:szCs w:val="22"/>
              </w:rPr>
              <w:t>m</w:t>
            </w:r>
            <w:r w:rsidRPr="00E23927">
              <w:rPr>
                <w:rFonts w:eastAsia="Calibri" w:cs="Arial"/>
                <w:spacing w:val="-1"/>
                <w:position w:val="1"/>
                <w:szCs w:val="22"/>
              </w:rPr>
              <w:t>bu</w:t>
            </w:r>
            <w:r w:rsidRPr="00E23927">
              <w:rPr>
                <w:rFonts w:eastAsia="Calibri" w:cs="Arial"/>
                <w:position w:val="1"/>
                <w:szCs w:val="22"/>
              </w:rPr>
              <w:t>lat</w:t>
            </w:r>
            <w:r w:rsidRPr="00E23927">
              <w:rPr>
                <w:rFonts w:eastAsia="Calibri" w:cs="Arial"/>
                <w:spacing w:val="1"/>
                <w:position w:val="1"/>
                <w:szCs w:val="22"/>
              </w:rPr>
              <w:t>o</w:t>
            </w:r>
            <w:r w:rsidRPr="00E23927">
              <w:rPr>
                <w:rFonts w:eastAsia="Calibri" w:cs="Arial"/>
                <w:spacing w:val="-3"/>
                <w:position w:val="1"/>
                <w:szCs w:val="22"/>
              </w:rPr>
              <w:t>r</w:t>
            </w:r>
            <w:r w:rsidRPr="00E23927">
              <w:rPr>
                <w:rFonts w:eastAsia="Calibri" w:cs="Arial"/>
                <w:position w:val="1"/>
                <w:szCs w:val="22"/>
              </w:rPr>
              <w:t>y</w:t>
            </w:r>
            <w:r w:rsidRPr="00E23927">
              <w:rPr>
                <w:rFonts w:eastAsia="Calibri" w:cs="Arial"/>
                <w:spacing w:val="1"/>
                <w:position w:val="1"/>
                <w:szCs w:val="22"/>
              </w:rPr>
              <w:t xml:space="preserve"> </w:t>
            </w:r>
            <w:r w:rsidRPr="00E23927">
              <w:rPr>
                <w:rFonts w:eastAsia="Calibri" w:cs="Arial"/>
                <w:position w:val="1"/>
                <w:szCs w:val="22"/>
              </w:rPr>
              <w:t>Ca</w:t>
            </w:r>
            <w:r w:rsidRPr="00E23927">
              <w:rPr>
                <w:rFonts w:eastAsia="Calibri" w:cs="Arial"/>
                <w:spacing w:val="-3"/>
                <w:position w:val="1"/>
                <w:szCs w:val="22"/>
              </w:rPr>
              <w:t>r</w:t>
            </w:r>
            <w:r w:rsidRPr="00E23927">
              <w:rPr>
                <w:rFonts w:eastAsia="Calibri" w:cs="Arial"/>
                <w:position w:val="1"/>
                <w:szCs w:val="22"/>
              </w:rPr>
              <w:t>e</w:t>
            </w:r>
            <w:r w:rsidRPr="00E23927">
              <w:rPr>
                <w:rFonts w:eastAsia="Calibri" w:cs="Arial"/>
                <w:spacing w:val="1"/>
                <w:position w:val="1"/>
                <w:szCs w:val="22"/>
              </w:rPr>
              <w:t xml:space="preserve"> </w:t>
            </w:r>
            <w:r w:rsidRPr="00E23927">
              <w:rPr>
                <w:rFonts w:eastAsia="Calibri" w:cs="Arial"/>
                <w:position w:val="1"/>
                <w:szCs w:val="22"/>
              </w:rPr>
              <w:t>Cli</w:t>
            </w:r>
            <w:r w:rsidRPr="00E23927">
              <w:rPr>
                <w:rFonts w:eastAsia="Calibri" w:cs="Arial"/>
                <w:spacing w:val="-1"/>
                <w:position w:val="1"/>
                <w:szCs w:val="22"/>
              </w:rPr>
              <w:t>n</w:t>
            </w:r>
            <w:r w:rsidRPr="00E23927">
              <w:rPr>
                <w:rFonts w:eastAsia="Calibri" w:cs="Arial"/>
                <w:position w:val="1"/>
                <w:szCs w:val="22"/>
              </w:rPr>
              <w:t xml:space="preserve">ic. </w:t>
            </w:r>
            <w:r w:rsidRPr="00B91C0A">
              <w:rPr>
                <w:rFonts w:eastAsia="Calibri" w:cs="Arial"/>
                <w:i/>
                <w:position w:val="1"/>
                <w:szCs w:val="22"/>
                <w:lang w:val="de-CH"/>
              </w:rPr>
              <w:t>J</w:t>
            </w:r>
            <w:r w:rsidRPr="00B91C0A">
              <w:rPr>
                <w:rFonts w:eastAsia="Calibri" w:cs="Arial"/>
                <w:i/>
                <w:spacing w:val="-3"/>
                <w:position w:val="1"/>
                <w:szCs w:val="22"/>
                <w:lang w:val="de-CH"/>
              </w:rPr>
              <w:t xml:space="preserve"> </w:t>
            </w:r>
            <w:r w:rsidRPr="00B91C0A">
              <w:rPr>
                <w:rFonts w:eastAsia="Calibri" w:cs="Arial"/>
                <w:i/>
                <w:spacing w:val="-1"/>
                <w:position w:val="1"/>
                <w:szCs w:val="22"/>
                <w:lang w:val="de-CH"/>
              </w:rPr>
              <w:t>Pha</w:t>
            </w:r>
            <w:r w:rsidRPr="00B91C0A">
              <w:rPr>
                <w:rFonts w:eastAsia="Calibri" w:cs="Arial"/>
                <w:i/>
                <w:spacing w:val="1"/>
                <w:position w:val="1"/>
                <w:szCs w:val="22"/>
                <w:lang w:val="de-CH"/>
              </w:rPr>
              <w:t>r</w:t>
            </w:r>
            <w:r w:rsidRPr="00B91C0A">
              <w:rPr>
                <w:rFonts w:eastAsia="Calibri" w:cs="Arial"/>
                <w:i/>
                <w:position w:val="1"/>
                <w:szCs w:val="22"/>
                <w:lang w:val="de-CH"/>
              </w:rPr>
              <w:t>m</w:t>
            </w:r>
            <w:r w:rsidRPr="00B91C0A">
              <w:rPr>
                <w:rFonts w:eastAsia="Calibri" w:cs="Arial"/>
                <w:i/>
                <w:spacing w:val="-1"/>
                <w:position w:val="1"/>
                <w:szCs w:val="22"/>
                <w:lang w:val="de-CH"/>
              </w:rPr>
              <w:t xml:space="preserve"> </w:t>
            </w:r>
            <w:r w:rsidRPr="00B91C0A">
              <w:rPr>
                <w:rFonts w:eastAsia="Calibri" w:cs="Arial"/>
                <w:i/>
                <w:spacing w:val="1"/>
                <w:position w:val="1"/>
                <w:szCs w:val="22"/>
                <w:lang w:val="de-CH"/>
              </w:rPr>
              <w:t>Pr</w:t>
            </w:r>
            <w:r w:rsidRPr="00B91C0A">
              <w:rPr>
                <w:rFonts w:eastAsia="Calibri" w:cs="Arial"/>
                <w:i/>
                <w:spacing w:val="-1"/>
                <w:position w:val="1"/>
                <w:szCs w:val="22"/>
                <w:lang w:val="de-CH"/>
              </w:rPr>
              <w:t>ac</w:t>
            </w:r>
            <w:r w:rsidRPr="00B91C0A">
              <w:rPr>
                <w:rFonts w:eastAsia="Calibri" w:cs="Arial"/>
                <w:i/>
                <w:position w:val="1"/>
                <w:szCs w:val="22"/>
                <w:lang w:val="de-CH"/>
              </w:rPr>
              <w:t>t</w:t>
            </w:r>
            <w:r w:rsidRPr="00B91C0A">
              <w:rPr>
                <w:rFonts w:eastAsia="Calibri" w:cs="Arial"/>
                <w:position w:val="1"/>
                <w:szCs w:val="22"/>
                <w:lang w:val="de-CH"/>
              </w:rPr>
              <w:t>.</w:t>
            </w:r>
            <w:r w:rsidRPr="00B91C0A">
              <w:rPr>
                <w:rFonts w:eastAsia="Calibri" w:cs="Arial"/>
                <w:spacing w:val="-2"/>
                <w:position w:val="1"/>
                <w:szCs w:val="22"/>
                <w:lang w:val="de-CH"/>
              </w:rPr>
              <w:t xml:space="preserve"> 2016 Jun; 29(3):199-205</w:t>
            </w:r>
            <w:r w:rsidRPr="00B91C0A">
              <w:rPr>
                <w:rFonts w:eastAsia="Calibri" w:cs="Arial"/>
                <w:spacing w:val="-1"/>
                <w:position w:val="1"/>
                <w:szCs w:val="22"/>
                <w:lang w:val="de-CH"/>
              </w:rPr>
              <w:t>.</w:t>
            </w:r>
          </w:p>
          <w:p w14:paraId="213A5711" w14:textId="77777777" w:rsidR="006D307E" w:rsidRPr="00B91C0A" w:rsidRDefault="006D307E" w:rsidP="006D307E">
            <w:pPr>
              <w:pStyle w:val="ListParagraph"/>
              <w:spacing w:after="0" w:line="240" w:lineRule="auto"/>
              <w:ind w:left="360" w:right="-20"/>
              <w:rPr>
                <w:rFonts w:eastAsia="Calibri" w:cs="Arial"/>
                <w:szCs w:val="22"/>
                <w:lang w:val="de-CH"/>
              </w:rPr>
            </w:pPr>
            <w:bookmarkStart w:id="148" w:name="_GoBack"/>
            <w:bookmarkEnd w:id="148"/>
          </w:p>
          <w:p w14:paraId="562AEE22" w14:textId="77777777" w:rsidR="006D307E" w:rsidRPr="00E23927" w:rsidRDefault="006D307E" w:rsidP="006D307E">
            <w:pPr>
              <w:snapToGrid/>
              <w:spacing w:after="0" w:line="240" w:lineRule="auto"/>
              <w:ind w:right="-20"/>
              <w:rPr>
                <w:rFonts w:eastAsia="Calibri" w:cs="Arial"/>
                <w:szCs w:val="22"/>
              </w:rPr>
            </w:pPr>
            <w:r w:rsidRPr="00B91C0A">
              <w:rPr>
                <w:rFonts w:eastAsia="Calibri" w:cs="Arial"/>
                <w:bCs/>
                <w:szCs w:val="22"/>
                <w:lang w:val="de-CH"/>
              </w:rPr>
              <w:t>Z</w:t>
            </w:r>
            <w:r w:rsidRPr="00B91C0A">
              <w:rPr>
                <w:rFonts w:eastAsia="Calibri" w:cs="Arial"/>
                <w:bCs/>
                <w:spacing w:val="-1"/>
                <w:szCs w:val="22"/>
                <w:lang w:val="de-CH"/>
              </w:rPr>
              <w:t>ue</w:t>
            </w:r>
            <w:r w:rsidRPr="00B91C0A">
              <w:rPr>
                <w:rFonts w:eastAsia="Calibri" w:cs="Arial"/>
                <w:bCs/>
                <w:spacing w:val="1"/>
                <w:szCs w:val="22"/>
                <w:lang w:val="de-CH"/>
              </w:rPr>
              <w:t>g</w:t>
            </w:r>
            <w:r w:rsidRPr="00B91C0A">
              <w:rPr>
                <w:rFonts w:eastAsia="Calibri" w:cs="Arial"/>
                <w:bCs/>
                <w:spacing w:val="-1"/>
                <w:szCs w:val="22"/>
                <w:lang w:val="de-CH"/>
              </w:rPr>
              <w:t>e</w:t>
            </w:r>
            <w:r w:rsidRPr="00B91C0A">
              <w:rPr>
                <w:rFonts w:eastAsia="Calibri" w:cs="Arial"/>
                <w:bCs/>
                <w:szCs w:val="22"/>
                <w:lang w:val="de-CH"/>
              </w:rPr>
              <w:t>r</w:t>
            </w:r>
            <w:r w:rsidRPr="00B91C0A">
              <w:rPr>
                <w:rFonts w:eastAsia="Calibri" w:cs="Arial"/>
                <w:bCs/>
                <w:spacing w:val="1"/>
                <w:szCs w:val="22"/>
                <w:lang w:val="de-CH"/>
              </w:rPr>
              <w:t xml:space="preserve"> </w:t>
            </w:r>
            <w:r w:rsidRPr="00B91C0A">
              <w:rPr>
                <w:rFonts w:eastAsia="Calibri" w:cs="Arial"/>
                <w:bCs/>
                <w:szCs w:val="22"/>
                <w:lang w:val="de-CH"/>
              </w:rPr>
              <w:t>P</w:t>
            </w:r>
            <w:r w:rsidRPr="00B91C0A">
              <w:rPr>
                <w:rFonts w:eastAsia="Calibri" w:cs="Arial"/>
                <w:bCs/>
                <w:spacing w:val="-1"/>
                <w:szCs w:val="22"/>
                <w:lang w:val="de-CH"/>
              </w:rPr>
              <w:t>M</w:t>
            </w:r>
            <w:r w:rsidRPr="00B91C0A">
              <w:rPr>
                <w:rFonts w:eastAsia="Calibri" w:cs="Arial"/>
                <w:szCs w:val="22"/>
                <w:lang w:val="de-CH"/>
              </w:rPr>
              <w:t>,</w:t>
            </w:r>
            <w:r w:rsidRPr="00B91C0A">
              <w:rPr>
                <w:rFonts w:eastAsia="Calibri" w:cs="Arial"/>
                <w:spacing w:val="1"/>
                <w:szCs w:val="22"/>
                <w:lang w:val="de-CH"/>
              </w:rPr>
              <w:t xml:space="preserve"> </w:t>
            </w:r>
            <w:r w:rsidRPr="00B91C0A">
              <w:rPr>
                <w:rFonts w:eastAsia="Calibri" w:cs="Arial"/>
                <w:spacing w:val="-3"/>
                <w:szCs w:val="22"/>
                <w:lang w:val="de-CH"/>
              </w:rPr>
              <w:t>S</w:t>
            </w:r>
            <w:r w:rsidRPr="00B91C0A">
              <w:rPr>
                <w:rFonts w:eastAsia="Calibri" w:cs="Arial"/>
                <w:szCs w:val="22"/>
                <w:lang w:val="de-CH"/>
              </w:rPr>
              <w:t>c</w:t>
            </w:r>
            <w:r w:rsidRPr="00B91C0A">
              <w:rPr>
                <w:rFonts w:eastAsia="Calibri" w:cs="Arial"/>
                <w:spacing w:val="-1"/>
                <w:szCs w:val="22"/>
                <w:lang w:val="de-CH"/>
              </w:rPr>
              <w:t>hu</w:t>
            </w:r>
            <w:r w:rsidRPr="00B91C0A">
              <w:rPr>
                <w:rFonts w:eastAsia="Calibri" w:cs="Arial"/>
                <w:szCs w:val="22"/>
                <w:lang w:val="de-CH"/>
              </w:rPr>
              <w:t xml:space="preserve">ltz </w:t>
            </w:r>
            <w:r w:rsidRPr="00B91C0A">
              <w:rPr>
                <w:rFonts w:eastAsia="Calibri" w:cs="Arial"/>
                <w:spacing w:val="-1"/>
                <w:szCs w:val="22"/>
                <w:lang w:val="de-CH"/>
              </w:rPr>
              <w:t>N</w:t>
            </w:r>
            <w:r w:rsidRPr="00B91C0A">
              <w:rPr>
                <w:rFonts w:eastAsia="Calibri" w:cs="Arial"/>
                <w:spacing w:val="1"/>
                <w:szCs w:val="22"/>
                <w:lang w:val="de-CH"/>
              </w:rPr>
              <w:t>M</w:t>
            </w:r>
            <w:r w:rsidRPr="00B91C0A">
              <w:rPr>
                <w:rFonts w:eastAsia="Calibri" w:cs="Arial"/>
                <w:szCs w:val="22"/>
                <w:lang w:val="de-CH"/>
              </w:rPr>
              <w:t>,</w:t>
            </w:r>
            <w:r w:rsidRPr="00B91C0A">
              <w:rPr>
                <w:rFonts w:eastAsia="Calibri" w:cs="Arial"/>
                <w:spacing w:val="-2"/>
                <w:szCs w:val="22"/>
                <w:lang w:val="de-CH"/>
              </w:rPr>
              <w:t xml:space="preserve"> </w:t>
            </w:r>
            <w:r w:rsidRPr="00B91C0A">
              <w:rPr>
                <w:rFonts w:eastAsia="Calibri" w:cs="Arial"/>
                <w:spacing w:val="1"/>
                <w:szCs w:val="22"/>
                <w:lang w:val="de-CH"/>
              </w:rPr>
              <w:t>L</w:t>
            </w:r>
            <w:r w:rsidRPr="00B91C0A">
              <w:rPr>
                <w:rFonts w:eastAsia="Calibri" w:cs="Arial"/>
                <w:spacing w:val="-2"/>
                <w:szCs w:val="22"/>
                <w:lang w:val="de-CH"/>
              </w:rPr>
              <w:t>e</w:t>
            </w:r>
            <w:r w:rsidRPr="00B91C0A">
              <w:rPr>
                <w:rFonts w:eastAsia="Calibri" w:cs="Arial"/>
                <w:szCs w:val="22"/>
                <w:lang w:val="de-CH"/>
              </w:rPr>
              <w:t>e</w:t>
            </w:r>
            <w:r w:rsidRPr="00B91C0A">
              <w:rPr>
                <w:rFonts w:eastAsia="Calibri" w:cs="Arial"/>
                <w:spacing w:val="1"/>
                <w:szCs w:val="22"/>
                <w:lang w:val="de-CH"/>
              </w:rPr>
              <w:t xml:space="preserve"> </w:t>
            </w:r>
            <w:r w:rsidRPr="00B91C0A">
              <w:rPr>
                <w:rFonts w:eastAsia="Calibri" w:cs="Arial"/>
                <w:szCs w:val="22"/>
                <w:lang w:val="de-CH"/>
              </w:rPr>
              <w:t>T</w:t>
            </w:r>
            <w:r w:rsidRPr="00B91C0A">
              <w:rPr>
                <w:rFonts w:eastAsia="Calibri" w:cs="Arial"/>
                <w:spacing w:val="-1"/>
                <w:szCs w:val="22"/>
                <w:lang w:val="de-CH"/>
              </w:rPr>
              <w:t>A</w:t>
            </w:r>
            <w:r w:rsidRPr="00B91C0A">
              <w:rPr>
                <w:rFonts w:eastAsia="Calibri" w:cs="Arial"/>
                <w:szCs w:val="22"/>
                <w:lang w:val="de-CH"/>
              </w:rPr>
              <w:t>.</w:t>
            </w:r>
            <w:r w:rsidRPr="00B91C0A">
              <w:rPr>
                <w:rFonts w:eastAsia="Calibri" w:cs="Arial"/>
                <w:spacing w:val="-2"/>
                <w:szCs w:val="22"/>
                <w:lang w:val="de-CH"/>
              </w:rPr>
              <w:t xml:space="preserve"> </w:t>
            </w:r>
            <w:r w:rsidRPr="00E23927">
              <w:rPr>
                <w:rFonts w:eastAsia="Calibri" w:cs="Arial"/>
                <w:szCs w:val="22"/>
              </w:rPr>
              <w:t>C</w:t>
            </w:r>
            <w:r w:rsidRPr="00E23927">
              <w:rPr>
                <w:rFonts w:eastAsia="Calibri" w:cs="Arial"/>
                <w:spacing w:val="1"/>
                <w:szCs w:val="22"/>
              </w:rPr>
              <w:t>o</w:t>
            </w:r>
            <w:r w:rsidRPr="00E23927">
              <w:rPr>
                <w:rFonts w:eastAsia="Calibri" w:cs="Arial"/>
                <w:spacing w:val="-2"/>
                <w:szCs w:val="22"/>
              </w:rPr>
              <w:t>s</w:t>
            </w:r>
            <w:r w:rsidRPr="00E23927">
              <w:rPr>
                <w:rFonts w:eastAsia="Calibri" w:cs="Arial"/>
                <w:szCs w:val="22"/>
              </w:rPr>
              <w:t>t</w:t>
            </w:r>
            <w:r w:rsidRPr="00E23927">
              <w:rPr>
                <w:rFonts w:eastAsia="Calibri" w:cs="Arial"/>
                <w:spacing w:val="1"/>
                <w:szCs w:val="22"/>
              </w:rPr>
              <w:t xml:space="preserve"> </w:t>
            </w:r>
            <w:r w:rsidRPr="00E23927">
              <w:rPr>
                <w:rFonts w:eastAsia="Calibri" w:cs="Arial"/>
                <w:szCs w:val="22"/>
              </w:rPr>
              <w:t>Ef</w:t>
            </w:r>
            <w:r w:rsidRPr="00E23927">
              <w:rPr>
                <w:rFonts w:eastAsia="Calibri" w:cs="Arial"/>
                <w:spacing w:val="-3"/>
                <w:szCs w:val="22"/>
              </w:rPr>
              <w:t>f</w:t>
            </w:r>
            <w:r w:rsidRPr="00E23927">
              <w:rPr>
                <w:rFonts w:eastAsia="Calibri" w:cs="Arial"/>
                <w:spacing w:val="1"/>
                <w:szCs w:val="22"/>
              </w:rPr>
              <w:t>e</w:t>
            </w:r>
            <w:r w:rsidRPr="00E23927">
              <w:rPr>
                <w:rFonts w:eastAsia="Calibri" w:cs="Arial"/>
                <w:spacing w:val="-2"/>
                <w:szCs w:val="22"/>
              </w:rPr>
              <w:t>c</w:t>
            </w:r>
            <w:r w:rsidRPr="00E23927">
              <w:rPr>
                <w:rFonts w:eastAsia="Calibri" w:cs="Arial"/>
                <w:szCs w:val="22"/>
              </w:rPr>
              <w:t>ti</w:t>
            </w:r>
            <w:r w:rsidRPr="00E23927">
              <w:rPr>
                <w:rFonts w:eastAsia="Calibri" w:cs="Arial"/>
                <w:spacing w:val="1"/>
                <w:szCs w:val="22"/>
              </w:rPr>
              <w:t>ve</w:t>
            </w:r>
            <w:r w:rsidRPr="00E23927">
              <w:rPr>
                <w:rFonts w:eastAsia="Calibri" w:cs="Arial"/>
                <w:spacing w:val="-1"/>
                <w:szCs w:val="22"/>
              </w:rPr>
              <w:t>n</w:t>
            </w:r>
            <w:r w:rsidRPr="00E23927">
              <w:rPr>
                <w:rFonts w:eastAsia="Calibri" w:cs="Arial"/>
                <w:spacing w:val="-2"/>
                <w:szCs w:val="22"/>
              </w:rPr>
              <w:t>e</w:t>
            </w:r>
            <w:r w:rsidRPr="00E23927">
              <w:rPr>
                <w:rFonts w:eastAsia="Calibri" w:cs="Arial"/>
                <w:szCs w:val="22"/>
              </w:rPr>
              <w:t>ss</w:t>
            </w:r>
            <w:r w:rsidRPr="00E23927">
              <w:rPr>
                <w:rFonts w:eastAsia="Calibri" w:cs="Arial"/>
                <w:spacing w:val="-2"/>
                <w:szCs w:val="22"/>
              </w:rPr>
              <w:t xml:space="preserve"> </w:t>
            </w:r>
            <w:r w:rsidRPr="00E23927">
              <w:rPr>
                <w:rFonts w:eastAsia="Calibri" w:cs="Arial"/>
                <w:spacing w:val="1"/>
                <w:szCs w:val="22"/>
              </w:rPr>
              <w:t>o</w:t>
            </w:r>
            <w:r w:rsidRPr="00E23927">
              <w:rPr>
                <w:rFonts w:eastAsia="Calibri" w:cs="Arial"/>
                <w:szCs w:val="22"/>
              </w:rPr>
              <w:t xml:space="preserve">f </w:t>
            </w:r>
            <w:r w:rsidRPr="00E23927">
              <w:rPr>
                <w:rFonts w:eastAsia="Calibri" w:cs="Arial"/>
                <w:spacing w:val="1"/>
                <w:szCs w:val="22"/>
              </w:rPr>
              <w:t>L</w:t>
            </w:r>
            <w:r w:rsidRPr="00E23927">
              <w:rPr>
                <w:rFonts w:eastAsia="Calibri" w:cs="Arial"/>
                <w:szCs w:val="22"/>
              </w:rPr>
              <w:t>i</w:t>
            </w:r>
            <w:r w:rsidRPr="00E23927">
              <w:rPr>
                <w:rFonts w:eastAsia="Calibri" w:cs="Arial"/>
                <w:spacing w:val="-3"/>
                <w:szCs w:val="22"/>
              </w:rPr>
              <w:t>r</w:t>
            </w:r>
            <w:r w:rsidRPr="00E23927">
              <w:rPr>
                <w:rFonts w:eastAsia="Calibri" w:cs="Arial"/>
                <w:szCs w:val="22"/>
              </w:rPr>
              <w:t>a</w:t>
            </w:r>
            <w:r w:rsidRPr="00E23927">
              <w:rPr>
                <w:rFonts w:eastAsia="Calibri" w:cs="Arial"/>
                <w:spacing w:val="-1"/>
                <w:szCs w:val="22"/>
              </w:rPr>
              <w:t>g</w:t>
            </w:r>
            <w:r w:rsidRPr="00E23927">
              <w:rPr>
                <w:rFonts w:eastAsia="Calibri" w:cs="Arial"/>
                <w:szCs w:val="22"/>
              </w:rPr>
              <w:t>l</w:t>
            </w:r>
            <w:r w:rsidRPr="00E23927">
              <w:rPr>
                <w:rFonts w:eastAsia="Calibri" w:cs="Arial"/>
                <w:spacing w:val="-1"/>
                <w:szCs w:val="22"/>
              </w:rPr>
              <w:t>u</w:t>
            </w:r>
            <w:r w:rsidRPr="00E23927">
              <w:rPr>
                <w:rFonts w:eastAsia="Calibri" w:cs="Arial"/>
                <w:szCs w:val="22"/>
              </w:rPr>
              <w:t>ti</w:t>
            </w:r>
            <w:r w:rsidRPr="00E23927">
              <w:rPr>
                <w:rFonts w:eastAsia="Calibri" w:cs="Arial"/>
                <w:spacing w:val="-1"/>
                <w:szCs w:val="22"/>
              </w:rPr>
              <w:t>d</w:t>
            </w:r>
            <w:r w:rsidRPr="00E23927">
              <w:rPr>
                <w:rFonts w:eastAsia="Calibri" w:cs="Arial"/>
                <w:szCs w:val="22"/>
              </w:rPr>
              <w:t>e</w:t>
            </w:r>
            <w:r w:rsidRPr="00E23927">
              <w:rPr>
                <w:rFonts w:eastAsia="Calibri" w:cs="Arial"/>
                <w:spacing w:val="1"/>
                <w:szCs w:val="22"/>
              </w:rPr>
              <w:t xml:space="preserve"> </w:t>
            </w:r>
            <w:r w:rsidRPr="00E23927">
              <w:rPr>
                <w:rFonts w:eastAsia="Calibri" w:cs="Arial"/>
                <w:szCs w:val="22"/>
              </w:rPr>
              <w:t xml:space="preserve">in </w:t>
            </w:r>
            <w:r w:rsidRPr="00E23927">
              <w:rPr>
                <w:rFonts w:eastAsia="Calibri" w:cs="Arial"/>
                <w:spacing w:val="-2"/>
                <w:szCs w:val="22"/>
              </w:rPr>
              <w:t>T</w:t>
            </w:r>
            <w:r w:rsidRPr="00E23927">
              <w:rPr>
                <w:rFonts w:eastAsia="Calibri" w:cs="Arial"/>
                <w:spacing w:val="-1"/>
                <w:szCs w:val="22"/>
              </w:rPr>
              <w:t>yp</w:t>
            </w:r>
            <w:r w:rsidRPr="00E23927">
              <w:rPr>
                <w:rFonts w:eastAsia="Calibri" w:cs="Arial"/>
                <w:szCs w:val="22"/>
              </w:rPr>
              <w:t>e</w:t>
            </w:r>
            <w:r w:rsidRPr="00E23927">
              <w:rPr>
                <w:rFonts w:eastAsia="Calibri" w:cs="Arial"/>
                <w:spacing w:val="1"/>
                <w:szCs w:val="22"/>
              </w:rPr>
              <w:t xml:space="preserve"> </w:t>
            </w:r>
            <w:r w:rsidRPr="00E23927">
              <w:rPr>
                <w:rFonts w:eastAsia="Calibri" w:cs="Arial"/>
                <w:szCs w:val="22"/>
              </w:rPr>
              <w:t xml:space="preserve">II </w:t>
            </w:r>
            <w:r w:rsidRPr="00E23927">
              <w:rPr>
                <w:rFonts w:eastAsia="Calibri" w:cs="Arial"/>
                <w:spacing w:val="1"/>
                <w:szCs w:val="22"/>
              </w:rPr>
              <w:t>D</w:t>
            </w:r>
            <w:r w:rsidRPr="00E23927">
              <w:rPr>
                <w:rFonts w:eastAsia="Calibri" w:cs="Arial"/>
                <w:szCs w:val="22"/>
              </w:rPr>
              <w:t>ia</w:t>
            </w:r>
            <w:r w:rsidRPr="00E23927">
              <w:rPr>
                <w:rFonts w:eastAsia="Calibri" w:cs="Arial"/>
                <w:spacing w:val="-1"/>
                <w:szCs w:val="22"/>
              </w:rPr>
              <w:t>b</w:t>
            </w:r>
            <w:r w:rsidRPr="00E23927">
              <w:rPr>
                <w:rFonts w:eastAsia="Calibri" w:cs="Arial"/>
                <w:spacing w:val="-2"/>
                <w:szCs w:val="22"/>
              </w:rPr>
              <w:t>e</w:t>
            </w:r>
            <w:r w:rsidRPr="00E23927">
              <w:rPr>
                <w:rFonts w:eastAsia="Calibri" w:cs="Arial"/>
                <w:szCs w:val="22"/>
              </w:rPr>
              <w:t>t</w:t>
            </w:r>
            <w:r w:rsidRPr="00E23927">
              <w:rPr>
                <w:rFonts w:eastAsia="Calibri" w:cs="Arial"/>
                <w:spacing w:val="1"/>
                <w:szCs w:val="22"/>
              </w:rPr>
              <w:t>e</w:t>
            </w:r>
            <w:r w:rsidRPr="00E23927">
              <w:rPr>
                <w:rFonts w:eastAsia="Calibri" w:cs="Arial"/>
                <w:spacing w:val="-2"/>
                <w:szCs w:val="22"/>
              </w:rPr>
              <w:t>s</w:t>
            </w:r>
            <w:r w:rsidRPr="00E23927">
              <w:rPr>
                <w:rFonts w:eastAsia="Calibri" w:cs="Arial"/>
                <w:szCs w:val="22"/>
              </w:rPr>
              <w:t>:</w:t>
            </w:r>
            <w:r w:rsidRPr="00E23927">
              <w:rPr>
                <w:rFonts w:eastAsia="Calibri" w:cs="Arial"/>
                <w:spacing w:val="2"/>
                <w:szCs w:val="22"/>
              </w:rPr>
              <w:t xml:space="preserve"> </w:t>
            </w:r>
            <w:r w:rsidRPr="00E23927">
              <w:rPr>
                <w:rFonts w:eastAsia="Calibri" w:cs="Arial"/>
                <w:szCs w:val="22"/>
              </w:rPr>
              <w:t xml:space="preserve">A </w:t>
            </w:r>
            <w:r w:rsidRPr="00E23927">
              <w:rPr>
                <w:rFonts w:eastAsia="Calibri" w:cs="Arial"/>
                <w:spacing w:val="-3"/>
                <w:szCs w:val="22"/>
              </w:rPr>
              <w:t>S</w:t>
            </w:r>
            <w:r w:rsidRPr="00E23927">
              <w:rPr>
                <w:rFonts w:eastAsia="Calibri" w:cs="Arial"/>
                <w:spacing w:val="1"/>
                <w:szCs w:val="22"/>
              </w:rPr>
              <w:t>y</w:t>
            </w:r>
            <w:r w:rsidRPr="00E23927">
              <w:rPr>
                <w:rFonts w:eastAsia="Calibri" w:cs="Arial"/>
                <w:szCs w:val="22"/>
              </w:rPr>
              <w:t>st</w:t>
            </w:r>
            <w:r w:rsidRPr="00E23927">
              <w:rPr>
                <w:rFonts w:eastAsia="Calibri" w:cs="Arial"/>
                <w:spacing w:val="-2"/>
                <w:szCs w:val="22"/>
              </w:rPr>
              <w:t>e</w:t>
            </w:r>
            <w:r w:rsidRPr="00E23927">
              <w:rPr>
                <w:rFonts w:eastAsia="Calibri" w:cs="Arial"/>
                <w:spacing w:val="1"/>
                <w:szCs w:val="22"/>
              </w:rPr>
              <w:t>m</w:t>
            </w:r>
            <w:r w:rsidRPr="00E23927">
              <w:rPr>
                <w:rFonts w:eastAsia="Calibri" w:cs="Arial"/>
                <w:spacing w:val="-3"/>
                <w:szCs w:val="22"/>
              </w:rPr>
              <w:t>a</w:t>
            </w:r>
            <w:r w:rsidRPr="00E23927">
              <w:rPr>
                <w:rFonts w:eastAsia="Calibri" w:cs="Arial"/>
                <w:szCs w:val="22"/>
              </w:rPr>
              <w:t>t</w:t>
            </w:r>
            <w:r w:rsidRPr="00E23927">
              <w:rPr>
                <w:rFonts w:eastAsia="Calibri" w:cs="Arial"/>
                <w:spacing w:val="-3"/>
                <w:szCs w:val="22"/>
              </w:rPr>
              <w:t>i</w:t>
            </w:r>
            <w:r w:rsidRPr="00E23927">
              <w:rPr>
                <w:rFonts w:eastAsia="Calibri" w:cs="Arial"/>
                <w:szCs w:val="22"/>
              </w:rPr>
              <w:t>c Re</w:t>
            </w:r>
            <w:r w:rsidRPr="00E23927">
              <w:rPr>
                <w:rFonts w:eastAsia="Calibri" w:cs="Arial"/>
                <w:spacing w:val="1"/>
                <w:szCs w:val="22"/>
              </w:rPr>
              <w:t>v</w:t>
            </w:r>
            <w:r w:rsidRPr="00E23927">
              <w:rPr>
                <w:rFonts w:eastAsia="Calibri" w:cs="Arial"/>
                <w:spacing w:val="-3"/>
                <w:szCs w:val="22"/>
              </w:rPr>
              <w:t>i</w:t>
            </w:r>
            <w:r w:rsidRPr="00E23927">
              <w:rPr>
                <w:rFonts w:eastAsia="Calibri" w:cs="Arial"/>
                <w:szCs w:val="22"/>
              </w:rPr>
              <w:t>ew.</w:t>
            </w:r>
            <w:r w:rsidRPr="00E23927">
              <w:rPr>
                <w:rFonts w:eastAsia="Calibri" w:cs="Arial"/>
                <w:spacing w:val="-2"/>
                <w:szCs w:val="22"/>
              </w:rPr>
              <w:t xml:space="preserve"> </w:t>
            </w:r>
            <w:r w:rsidRPr="00E23927">
              <w:rPr>
                <w:rFonts w:eastAsia="Calibri" w:cs="Arial"/>
                <w:i/>
                <w:spacing w:val="1"/>
                <w:szCs w:val="22"/>
              </w:rPr>
              <w:t>P</w:t>
            </w:r>
            <w:r w:rsidRPr="00E23927">
              <w:rPr>
                <w:rFonts w:eastAsia="Calibri" w:cs="Arial"/>
                <w:i/>
                <w:spacing w:val="-1"/>
                <w:szCs w:val="22"/>
              </w:rPr>
              <w:t>har</w:t>
            </w:r>
            <w:r w:rsidRPr="00E23927">
              <w:rPr>
                <w:rFonts w:eastAsia="Calibri" w:cs="Arial"/>
                <w:i/>
                <w:szCs w:val="22"/>
              </w:rPr>
              <w:t>m</w:t>
            </w:r>
            <w:r w:rsidRPr="00E23927">
              <w:rPr>
                <w:rFonts w:eastAsia="Calibri" w:cs="Arial"/>
                <w:i/>
                <w:spacing w:val="-1"/>
                <w:szCs w:val="22"/>
              </w:rPr>
              <w:t>aco</w:t>
            </w:r>
            <w:r w:rsidRPr="00E23927">
              <w:rPr>
                <w:rFonts w:eastAsia="Calibri" w:cs="Arial"/>
                <w:i/>
                <w:szCs w:val="22"/>
              </w:rPr>
              <w:t>e</w:t>
            </w:r>
            <w:r w:rsidRPr="00E23927">
              <w:rPr>
                <w:rFonts w:eastAsia="Calibri" w:cs="Arial"/>
                <w:i/>
                <w:spacing w:val="-1"/>
                <w:szCs w:val="22"/>
              </w:rPr>
              <w:t>c</w:t>
            </w:r>
            <w:r w:rsidRPr="00E23927">
              <w:rPr>
                <w:rFonts w:eastAsia="Calibri" w:cs="Arial"/>
                <w:i/>
                <w:szCs w:val="22"/>
              </w:rPr>
              <w:t>o</w:t>
            </w:r>
            <w:r w:rsidRPr="00E23927">
              <w:rPr>
                <w:rFonts w:eastAsia="Calibri" w:cs="Arial"/>
                <w:i/>
                <w:spacing w:val="-1"/>
                <w:szCs w:val="22"/>
              </w:rPr>
              <w:t>no</w:t>
            </w:r>
            <w:r w:rsidRPr="00E23927">
              <w:rPr>
                <w:rFonts w:eastAsia="Calibri" w:cs="Arial"/>
                <w:i/>
                <w:szCs w:val="22"/>
              </w:rPr>
              <w:t>m</w:t>
            </w:r>
            <w:r w:rsidRPr="00E23927">
              <w:rPr>
                <w:rFonts w:eastAsia="Calibri" w:cs="Arial"/>
                <w:i/>
                <w:spacing w:val="-3"/>
                <w:szCs w:val="22"/>
              </w:rPr>
              <w:t>i</w:t>
            </w:r>
            <w:r w:rsidRPr="00E23927">
              <w:rPr>
                <w:rFonts w:eastAsia="Calibri" w:cs="Arial"/>
                <w:i/>
                <w:spacing w:val="-1"/>
                <w:szCs w:val="22"/>
              </w:rPr>
              <w:t>c</w:t>
            </w:r>
            <w:r w:rsidRPr="00E23927">
              <w:rPr>
                <w:rFonts w:eastAsia="Calibri" w:cs="Arial"/>
                <w:i/>
                <w:szCs w:val="22"/>
              </w:rPr>
              <w:t>s</w:t>
            </w:r>
            <w:r w:rsidRPr="00E23927">
              <w:rPr>
                <w:rFonts w:eastAsia="Calibri" w:cs="Arial"/>
                <w:szCs w:val="22"/>
              </w:rPr>
              <w:t xml:space="preserve">. </w:t>
            </w:r>
            <w:r w:rsidRPr="00E23927">
              <w:rPr>
                <w:rFonts w:eastAsia="Calibri" w:cs="Arial"/>
                <w:spacing w:val="1"/>
                <w:szCs w:val="22"/>
              </w:rPr>
              <w:t>2</w:t>
            </w:r>
            <w:r w:rsidRPr="00E23927">
              <w:rPr>
                <w:rFonts w:eastAsia="Calibri" w:cs="Arial"/>
                <w:spacing w:val="-2"/>
                <w:szCs w:val="22"/>
              </w:rPr>
              <w:t>0</w:t>
            </w:r>
            <w:r w:rsidRPr="00E23927">
              <w:rPr>
                <w:rFonts w:eastAsia="Calibri" w:cs="Arial"/>
                <w:spacing w:val="1"/>
                <w:szCs w:val="22"/>
              </w:rPr>
              <w:t>1</w:t>
            </w:r>
            <w:r w:rsidRPr="00E23927">
              <w:rPr>
                <w:rFonts w:eastAsia="Calibri" w:cs="Arial"/>
                <w:szCs w:val="22"/>
              </w:rPr>
              <w:t>4</w:t>
            </w:r>
            <w:r w:rsidRPr="00E23927">
              <w:rPr>
                <w:rFonts w:eastAsia="Calibri" w:cs="Arial"/>
                <w:spacing w:val="-1"/>
                <w:szCs w:val="22"/>
              </w:rPr>
              <w:t xml:space="preserve"> No</w:t>
            </w:r>
            <w:r w:rsidRPr="00E23927">
              <w:rPr>
                <w:rFonts w:eastAsia="Calibri" w:cs="Arial"/>
                <w:spacing w:val="1"/>
                <w:szCs w:val="22"/>
              </w:rPr>
              <w:t>v</w:t>
            </w:r>
            <w:r w:rsidRPr="00E23927">
              <w:rPr>
                <w:rFonts w:eastAsia="Calibri" w:cs="Arial"/>
                <w:szCs w:val="22"/>
              </w:rPr>
              <w:t>;</w:t>
            </w:r>
            <w:r w:rsidRPr="00E23927">
              <w:rPr>
                <w:rFonts w:eastAsia="Calibri" w:cs="Arial"/>
                <w:spacing w:val="-1"/>
                <w:szCs w:val="22"/>
              </w:rPr>
              <w:t xml:space="preserve"> </w:t>
            </w:r>
            <w:r w:rsidRPr="00E23927">
              <w:rPr>
                <w:rFonts w:eastAsia="Calibri" w:cs="Arial"/>
                <w:spacing w:val="-2"/>
                <w:szCs w:val="22"/>
              </w:rPr>
              <w:t>3</w:t>
            </w:r>
            <w:r w:rsidRPr="00E23927">
              <w:rPr>
                <w:rFonts w:eastAsia="Calibri" w:cs="Arial"/>
                <w:spacing w:val="1"/>
                <w:szCs w:val="22"/>
              </w:rPr>
              <w:t>2</w:t>
            </w:r>
            <w:r w:rsidRPr="00E23927">
              <w:rPr>
                <w:rFonts w:eastAsia="Calibri" w:cs="Arial"/>
                <w:szCs w:val="22"/>
              </w:rPr>
              <w:t>(</w:t>
            </w:r>
            <w:r w:rsidRPr="00E23927">
              <w:rPr>
                <w:rFonts w:eastAsia="Calibri" w:cs="Arial"/>
                <w:spacing w:val="-2"/>
                <w:szCs w:val="22"/>
              </w:rPr>
              <w:t>1</w:t>
            </w:r>
            <w:r w:rsidRPr="00E23927">
              <w:rPr>
                <w:rFonts w:eastAsia="Calibri" w:cs="Arial"/>
                <w:spacing w:val="1"/>
                <w:szCs w:val="22"/>
              </w:rPr>
              <w:t>1</w:t>
            </w:r>
            <w:r w:rsidRPr="00E23927">
              <w:rPr>
                <w:rFonts w:eastAsia="Calibri" w:cs="Arial"/>
                <w:spacing w:val="-2"/>
                <w:szCs w:val="22"/>
              </w:rPr>
              <w:t>)</w:t>
            </w:r>
            <w:r w:rsidRPr="00E23927">
              <w:rPr>
                <w:rFonts w:eastAsia="Calibri" w:cs="Arial"/>
                <w:spacing w:val="1"/>
                <w:szCs w:val="22"/>
              </w:rPr>
              <w:t>:</w:t>
            </w:r>
            <w:r w:rsidRPr="00E23927">
              <w:rPr>
                <w:rFonts w:eastAsia="Calibri" w:cs="Arial"/>
                <w:spacing w:val="-2"/>
                <w:szCs w:val="22"/>
              </w:rPr>
              <w:t>1</w:t>
            </w:r>
            <w:r w:rsidRPr="00E23927">
              <w:rPr>
                <w:rFonts w:eastAsia="Calibri" w:cs="Arial"/>
                <w:spacing w:val="1"/>
                <w:szCs w:val="22"/>
              </w:rPr>
              <w:t>0</w:t>
            </w:r>
            <w:r w:rsidRPr="00E23927">
              <w:rPr>
                <w:rFonts w:eastAsia="Calibri" w:cs="Arial"/>
                <w:spacing w:val="-2"/>
                <w:szCs w:val="22"/>
              </w:rPr>
              <w:t>7</w:t>
            </w:r>
            <w:r w:rsidRPr="00E23927">
              <w:rPr>
                <w:rFonts w:eastAsia="Calibri" w:cs="Arial"/>
                <w:spacing w:val="1"/>
                <w:szCs w:val="22"/>
              </w:rPr>
              <w:t>9</w:t>
            </w:r>
            <w:r w:rsidRPr="00E23927">
              <w:rPr>
                <w:rFonts w:eastAsia="Calibri" w:cs="Arial"/>
                <w:spacing w:val="-3"/>
                <w:szCs w:val="22"/>
              </w:rPr>
              <w:t>-</w:t>
            </w:r>
            <w:r w:rsidRPr="00E23927">
              <w:rPr>
                <w:rFonts w:eastAsia="Calibri" w:cs="Arial"/>
                <w:spacing w:val="1"/>
                <w:szCs w:val="22"/>
              </w:rPr>
              <w:t>91.</w:t>
            </w:r>
          </w:p>
          <w:p w14:paraId="47FE68B7" w14:textId="77777777" w:rsidR="006D307E" w:rsidRPr="00E23927" w:rsidRDefault="006D307E" w:rsidP="006D307E">
            <w:pPr>
              <w:pStyle w:val="ListParagraph"/>
              <w:spacing w:after="0" w:line="240" w:lineRule="auto"/>
              <w:ind w:left="480" w:right="-20"/>
              <w:rPr>
                <w:rFonts w:eastAsia="Calibri" w:cs="Arial"/>
                <w:szCs w:val="22"/>
              </w:rPr>
            </w:pPr>
          </w:p>
          <w:p w14:paraId="06041092" w14:textId="77777777" w:rsidR="006D307E" w:rsidRPr="00E23927" w:rsidRDefault="006D307E" w:rsidP="006D307E">
            <w:pPr>
              <w:snapToGrid/>
              <w:spacing w:after="0" w:line="240" w:lineRule="auto"/>
              <w:ind w:right="-20"/>
              <w:rPr>
                <w:rFonts w:eastAsia="Calibri" w:cs="Arial"/>
                <w:szCs w:val="22"/>
              </w:rPr>
            </w:pPr>
            <w:r w:rsidRPr="00455E96">
              <w:rPr>
                <w:rFonts w:eastAsia="Calibri" w:cs="Arial"/>
                <w:bCs/>
                <w:szCs w:val="22"/>
                <w:lang w:val="de-CH"/>
              </w:rPr>
              <w:t>Z</w:t>
            </w:r>
            <w:r w:rsidRPr="00455E96">
              <w:rPr>
                <w:rFonts w:eastAsia="Calibri" w:cs="Arial"/>
                <w:bCs/>
                <w:spacing w:val="-1"/>
                <w:szCs w:val="22"/>
                <w:lang w:val="de-CH"/>
              </w:rPr>
              <w:t>ue</w:t>
            </w:r>
            <w:r w:rsidRPr="00455E96">
              <w:rPr>
                <w:rFonts w:eastAsia="Calibri" w:cs="Arial"/>
                <w:bCs/>
                <w:spacing w:val="1"/>
                <w:szCs w:val="22"/>
                <w:lang w:val="de-CH"/>
              </w:rPr>
              <w:t>g</w:t>
            </w:r>
            <w:r w:rsidRPr="00455E96">
              <w:rPr>
                <w:rFonts w:eastAsia="Calibri" w:cs="Arial"/>
                <w:bCs/>
                <w:spacing w:val="-1"/>
                <w:szCs w:val="22"/>
                <w:lang w:val="de-CH"/>
              </w:rPr>
              <w:t>e</w:t>
            </w:r>
            <w:r w:rsidRPr="00455E96">
              <w:rPr>
                <w:rFonts w:eastAsia="Calibri" w:cs="Arial"/>
                <w:bCs/>
                <w:szCs w:val="22"/>
                <w:lang w:val="de-CH"/>
              </w:rPr>
              <w:t>r</w:t>
            </w:r>
            <w:r w:rsidRPr="00455E96">
              <w:rPr>
                <w:rFonts w:eastAsia="Calibri" w:cs="Arial"/>
                <w:bCs/>
                <w:spacing w:val="1"/>
                <w:szCs w:val="22"/>
                <w:lang w:val="de-CH"/>
              </w:rPr>
              <w:t xml:space="preserve"> </w:t>
            </w:r>
            <w:r w:rsidRPr="00455E96">
              <w:rPr>
                <w:rFonts w:eastAsia="Calibri" w:cs="Arial"/>
                <w:bCs/>
                <w:szCs w:val="22"/>
                <w:lang w:val="de-CH"/>
              </w:rPr>
              <w:t>P</w:t>
            </w:r>
            <w:r w:rsidRPr="00455E96">
              <w:rPr>
                <w:rFonts w:eastAsia="Calibri" w:cs="Arial"/>
                <w:bCs/>
                <w:spacing w:val="-1"/>
                <w:szCs w:val="22"/>
                <w:lang w:val="de-CH"/>
              </w:rPr>
              <w:t>M</w:t>
            </w:r>
            <w:r w:rsidRPr="00455E96">
              <w:rPr>
                <w:rFonts w:eastAsia="Calibri" w:cs="Arial"/>
                <w:bCs/>
                <w:szCs w:val="22"/>
                <w:lang w:val="de-CH"/>
              </w:rPr>
              <w:t>,</w:t>
            </w:r>
            <w:r w:rsidRPr="00455E96">
              <w:rPr>
                <w:rFonts w:eastAsia="Calibri" w:cs="Arial"/>
                <w:bCs/>
                <w:spacing w:val="-1"/>
                <w:szCs w:val="22"/>
                <w:lang w:val="de-CH"/>
              </w:rPr>
              <w:t xml:space="preserve"> </w:t>
            </w:r>
            <w:r w:rsidRPr="00455E96">
              <w:rPr>
                <w:rFonts w:eastAsia="Calibri" w:cs="Arial"/>
                <w:szCs w:val="22"/>
                <w:lang w:val="de-CH"/>
              </w:rPr>
              <w:t xml:space="preserve">Katz </w:t>
            </w:r>
            <w:r w:rsidRPr="00455E96">
              <w:rPr>
                <w:rFonts w:eastAsia="Calibri" w:cs="Arial"/>
                <w:spacing w:val="-3"/>
                <w:szCs w:val="22"/>
                <w:lang w:val="de-CH"/>
              </w:rPr>
              <w:t>N</w:t>
            </w:r>
            <w:r w:rsidRPr="00455E96">
              <w:rPr>
                <w:rFonts w:eastAsia="Calibri" w:cs="Arial"/>
                <w:spacing w:val="1"/>
                <w:szCs w:val="22"/>
                <w:lang w:val="de-CH"/>
              </w:rPr>
              <w:t>L</w:t>
            </w:r>
            <w:r w:rsidRPr="00455E96">
              <w:rPr>
                <w:rFonts w:eastAsia="Calibri" w:cs="Arial"/>
                <w:szCs w:val="22"/>
                <w:lang w:val="de-CH"/>
              </w:rPr>
              <w:t>,</w:t>
            </w:r>
            <w:r w:rsidRPr="00455E96">
              <w:rPr>
                <w:rFonts w:eastAsia="Calibri" w:cs="Arial"/>
                <w:spacing w:val="-2"/>
                <w:szCs w:val="22"/>
                <w:lang w:val="de-CH"/>
              </w:rPr>
              <w:t xml:space="preserve"> </w:t>
            </w:r>
            <w:r w:rsidRPr="00455E96">
              <w:rPr>
                <w:rFonts w:eastAsia="Calibri" w:cs="Arial"/>
                <w:spacing w:val="1"/>
                <w:szCs w:val="22"/>
                <w:lang w:val="de-CH"/>
              </w:rPr>
              <w:t>Po</w:t>
            </w:r>
            <w:r w:rsidRPr="00455E96">
              <w:rPr>
                <w:rFonts w:eastAsia="Calibri" w:cs="Arial"/>
                <w:spacing w:val="-3"/>
                <w:szCs w:val="22"/>
                <w:lang w:val="de-CH"/>
              </w:rPr>
              <w:t>p</w:t>
            </w:r>
            <w:r w:rsidRPr="00455E96">
              <w:rPr>
                <w:rFonts w:eastAsia="Calibri" w:cs="Arial"/>
                <w:spacing w:val="-1"/>
                <w:szCs w:val="22"/>
                <w:lang w:val="de-CH"/>
              </w:rPr>
              <w:t>ov</w:t>
            </w:r>
            <w:r w:rsidRPr="00455E96">
              <w:rPr>
                <w:rFonts w:eastAsia="Calibri" w:cs="Arial"/>
                <w:szCs w:val="22"/>
                <w:lang w:val="de-CH"/>
              </w:rPr>
              <w:t xml:space="preserve">ich </w:t>
            </w:r>
            <w:r w:rsidRPr="00455E96">
              <w:rPr>
                <w:rFonts w:eastAsia="Calibri" w:cs="Arial"/>
                <w:spacing w:val="-1"/>
                <w:szCs w:val="22"/>
                <w:lang w:val="de-CH"/>
              </w:rPr>
              <w:t>N</w:t>
            </w:r>
            <w:r w:rsidRPr="00455E96">
              <w:rPr>
                <w:rFonts w:eastAsia="Calibri" w:cs="Arial"/>
                <w:szCs w:val="22"/>
                <w:lang w:val="de-CH"/>
              </w:rPr>
              <w:t xml:space="preserve">G. </w:t>
            </w:r>
            <w:r w:rsidRPr="00E23927">
              <w:rPr>
                <w:rFonts w:eastAsia="Calibri" w:cs="Arial"/>
                <w:spacing w:val="-1"/>
                <w:szCs w:val="22"/>
              </w:rPr>
              <w:t>A</w:t>
            </w:r>
            <w:r w:rsidRPr="00E23927">
              <w:rPr>
                <w:rFonts w:eastAsia="Calibri" w:cs="Arial"/>
                <w:szCs w:val="22"/>
              </w:rPr>
              <w:t>ssessi</w:t>
            </w:r>
            <w:r w:rsidRPr="00E23927">
              <w:rPr>
                <w:rFonts w:eastAsia="Calibri" w:cs="Arial"/>
                <w:spacing w:val="-1"/>
                <w:szCs w:val="22"/>
              </w:rPr>
              <w:t>n</w:t>
            </w:r>
            <w:r w:rsidRPr="00E23927">
              <w:rPr>
                <w:rFonts w:eastAsia="Calibri" w:cs="Arial"/>
                <w:szCs w:val="22"/>
              </w:rPr>
              <w:t>g</w:t>
            </w:r>
            <w:r w:rsidRPr="00E23927">
              <w:rPr>
                <w:rFonts w:eastAsia="Calibri" w:cs="Arial"/>
                <w:spacing w:val="-3"/>
                <w:szCs w:val="22"/>
              </w:rPr>
              <w:t xml:space="preserve"> </w:t>
            </w:r>
            <w:r w:rsidRPr="00E23927">
              <w:rPr>
                <w:rFonts w:eastAsia="Calibri" w:cs="Arial"/>
                <w:spacing w:val="1"/>
                <w:szCs w:val="22"/>
              </w:rPr>
              <w:t>O</w:t>
            </w:r>
            <w:r w:rsidRPr="00E23927">
              <w:rPr>
                <w:rFonts w:eastAsia="Calibri" w:cs="Arial"/>
                <w:spacing w:val="-1"/>
                <w:szCs w:val="22"/>
              </w:rPr>
              <w:t>u</w:t>
            </w:r>
            <w:r w:rsidRPr="00E23927">
              <w:rPr>
                <w:rFonts w:eastAsia="Calibri" w:cs="Arial"/>
                <w:szCs w:val="22"/>
              </w:rPr>
              <w:t>t</w:t>
            </w:r>
            <w:r w:rsidRPr="00E23927">
              <w:rPr>
                <w:rFonts w:eastAsia="Calibri" w:cs="Arial"/>
                <w:spacing w:val="-2"/>
                <w:szCs w:val="22"/>
              </w:rPr>
              <w:t>c</w:t>
            </w:r>
            <w:r w:rsidRPr="00E23927">
              <w:rPr>
                <w:rFonts w:eastAsia="Calibri" w:cs="Arial"/>
                <w:spacing w:val="1"/>
                <w:szCs w:val="22"/>
              </w:rPr>
              <w:t>o</w:t>
            </w:r>
            <w:r w:rsidRPr="00E23927">
              <w:rPr>
                <w:rFonts w:eastAsia="Calibri" w:cs="Arial"/>
                <w:spacing w:val="-1"/>
                <w:szCs w:val="22"/>
              </w:rPr>
              <w:t>m</w:t>
            </w:r>
            <w:r w:rsidRPr="00E23927">
              <w:rPr>
                <w:rFonts w:eastAsia="Calibri" w:cs="Arial"/>
                <w:spacing w:val="-2"/>
                <w:szCs w:val="22"/>
              </w:rPr>
              <w:t>e</w:t>
            </w:r>
            <w:r w:rsidRPr="00E23927">
              <w:rPr>
                <w:rFonts w:eastAsia="Calibri" w:cs="Arial"/>
                <w:szCs w:val="22"/>
              </w:rPr>
              <w:t>s</w:t>
            </w:r>
            <w:r w:rsidRPr="00E23927">
              <w:rPr>
                <w:rFonts w:eastAsia="Calibri" w:cs="Arial"/>
                <w:spacing w:val="1"/>
                <w:szCs w:val="22"/>
              </w:rPr>
              <w:t xml:space="preserve"> </w:t>
            </w:r>
            <w:r w:rsidRPr="00E23927">
              <w:rPr>
                <w:rFonts w:eastAsia="Calibri" w:cs="Arial"/>
                <w:szCs w:val="22"/>
              </w:rPr>
              <w:t>a</w:t>
            </w:r>
            <w:r w:rsidRPr="00E23927">
              <w:rPr>
                <w:rFonts w:eastAsia="Calibri" w:cs="Arial"/>
                <w:spacing w:val="-1"/>
                <w:szCs w:val="22"/>
              </w:rPr>
              <w:t>n</w:t>
            </w:r>
            <w:r w:rsidRPr="00E23927">
              <w:rPr>
                <w:rFonts w:eastAsia="Calibri" w:cs="Arial"/>
                <w:szCs w:val="22"/>
              </w:rPr>
              <w:t xml:space="preserve">d </w:t>
            </w:r>
            <w:r w:rsidRPr="00E23927">
              <w:rPr>
                <w:rFonts w:eastAsia="Calibri" w:cs="Arial"/>
                <w:spacing w:val="1"/>
                <w:szCs w:val="22"/>
              </w:rPr>
              <w:t>P</w:t>
            </w:r>
            <w:r w:rsidRPr="00E23927">
              <w:rPr>
                <w:rFonts w:eastAsia="Calibri" w:cs="Arial"/>
                <w:spacing w:val="-2"/>
                <w:szCs w:val="22"/>
              </w:rPr>
              <w:t>e</w:t>
            </w:r>
            <w:r w:rsidRPr="00E23927">
              <w:rPr>
                <w:rFonts w:eastAsia="Calibri" w:cs="Arial"/>
                <w:szCs w:val="22"/>
              </w:rPr>
              <w:t>rc</w:t>
            </w:r>
            <w:r w:rsidRPr="00E23927">
              <w:rPr>
                <w:rFonts w:eastAsia="Calibri" w:cs="Arial"/>
                <w:spacing w:val="1"/>
                <w:szCs w:val="22"/>
              </w:rPr>
              <w:t>e</w:t>
            </w:r>
            <w:r w:rsidRPr="00E23927">
              <w:rPr>
                <w:rFonts w:eastAsia="Calibri" w:cs="Arial"/>
                <w:spacing w:val="-3"/>
                <w:szCs w:val="22"/>
              </w:rPr>
              <w:t>i</w:t>
            </w:r>
            <w:r w:rsidRPr="00E23927">
              <w:rPr>
                <w:rFonts w:eastAsia="Calibri" w:cs="Arial"/>
                <w:spacing w:val="1"/>
                <w:szCs w:val="22"/>
              </w:rPr>
              <w:t>ve</w:t>
            </w:r>
            <w:r w:rsidRPr="00E23927">
              <w:rPr>
                <w:rFonts w:eastAsia="Calibri" w:cs="Arial"/>
                <w:szCs w:val="22"/>
              </w:rPr>
              <w:t xml:space="preserve">d </w:t>
            </w:r>
            <w:r w:rsidRPr="00E23927">
              <w:rPr>
                <w:rFonts w:eastAsia="Calibri" w:cs="Arial"/>
                <w:spacing w:val="-2"/>
                <w:szCs w:val="22"/>
              </w:rPr>
              <w:t>B</w:t>
            </w:r>
            <w:r w:rsidRPr="00E23927">
              <w:rPr>
                <w:rFonts w:eastAsia="Calibri" w:cs="Arial"/>
                <w:spacing w:val="1"/>
                <w:szCs w:val="22"/>
              </w:rPr>
              <w:t>e</w:t>
            </w:r>
            <w:r w:rsidRPr="00E23927">
              <w:rPr>
                <w:rFonts w:eastAsia="Calibri" w:cs="Arial"/>
                <w:spacing w:val="-1"/>
                <w:szCs w:val="22"/>
              </w:rPr>
              <w:t>n</w:t>
            </w:r>
            <w:r w:rsidRPr="00E23927">
              <w:rPr>
                <w:rFonts w:eastAsia="Calibri" w:cs="Arial"/>
                <w:spacing w:val="1"/>
                <w:szCs w:val="22"/>
              </w:rPr>
              <w:t>e</w:t>
            </w:r>
            <w:r w:rsidRPr="00E23927">
              <w:rPr>
                <w:rFonts w:eastAsia="Calibri" w:cs="Arial"/>
                <w:szCs w:val="22"/>
              </w:rPr>
              <w:t>fits</w:t>
            </w:r>
            <w:r w:rsidRPr="00E23927">
              <w:rPr>
                <w:rFonts w:eastAsia="Calibri" w:cs="Arial"/>
                <w:spacing w:val="-2"/>
                <w:szCs w:val="22"/>
              </w:rPr>
              <w:t xml:space="preserve"> </w:t>
            </w:r>
            <w:r w:rsidRPr="00E23927">
              <w:rPr>
                <w:rFonts w:eastAsia="Calibri" w:cs="Arial"/>
                <w:spacing w:val="1"/>
                <w:szCs w:val="22"/>
              </w:rPr>
              <w:t>o</w:t>
            </w:r>
            <w:r w:rsidRPr="00E23927">
              <w:rPr>
                <w:rFonts w:eastAsia="Calibri" w:cs="Arial"/>
                <w:szCs w:val="22"/>
              </w:rPr>
              <w:t>f</w:t>
            </w:r>
            <w:r w:rsidRPr="00E23927">
              <w:rPr>
                <w:rFonts w:eastAsia="Calibri" w:cs="Arial"/>
                <w:spacing w:val="-2"/>
                <w:szCs w:val="22"/>
              </w:rPr>
              <w:t xml:space="preserve"> </w:t>
            </w:r>
            <w:r w:rsidRPr="00E23927">
              <w:rPr>
                <w:rFonts w:eastAsia="Calibri" w:cs="Arial"/>
                <w:szCs w:val="22"/>
              </w:rPr>
              <w:t xml:space="preserve">a </w:t>
            </w:r>
            <w:r w:rsidRPr="00E23927">
              <w:rPr>
                <w:rFonts w:eastAsia="Calibri" w:cs="Arial"/>
                <w:spacing w:val="1"/>
                <w:szCs w:val="22"/>
              </w:rPr>
              <w:t>P</w:t>
            </w:r>
            <w:r w:rsidRPr="00E23927">
              <w:rPr>
                <w:rFonts w:eastAsia="Calibri" w:cs="Arial"/>
                <w:spacing w:val="-3"/>
                <w:szCs w:val="22"/>
              </w:rPr>
              <w:t>r</w:t>
            </w:r>
            <w:r w:rsidRPr="00E23927">
              <w:rPr>
                <w:rFonts w:eastAsia="Calibri" w:cs="Arial"/>
                <w:spacing w:val="1"/>
                <w:szCs w:val="22"/>
              </w:rPr>
              <w:t>o</w:t>
            </w:r>
            <w:r w:rsidRPr="00E23927">
              <w:rPr>
                <w:rFonts w:eastAsia="Calibri" w:cs="Arial"/>
                <w:szCs w:val="22"/>
              </w:rPr>
              <w:t>f</w:t>
            </w:r>
            <w:r w:rsidRPr="00E23927">
              <w:rPr>
                <w:rFonts w:eastAsia="Calibri" w:cs="Arial"/>
                <w:spacing w:val="-2"/>
                <w:szCs w:val="22"/>
              </w:rPr>
              <w:t>e</w:t>
            </w:r>
            <w:r w:rsidRPr="00E23927">
              <w:rPr>
                <w:rFonts w:eastAsia="Calibri" w:cs="Arial"/>
                <w:szCs w:val="22"/>
              </w:rPr>
              <w:t>ssi</w:t>
            </w:r>
            <w:r w:rsidRPr="00E23927">
              <w:rPr>
                <w:rFonts w:eastAsia="Calibri" w:cs="Arial"/>
                <w:spacing w:val="1"/>
                <w:szCs w:val="22"/>
              </w:rPr>
              <w:t>o</w:t>
            </w:r>
            <w:r w:rsidRPr="00E23927">
              <w:rPr>
                <w:rFonts w:eastAsia="Calibri" w:cs="Arial"/>
                <w:spacing w:val="-1"/>
                <w:szCs w:val="22"/>
              </w:rPr>
              <w:t>n</w:t>
            </w:r>
            <w:r w:rsidRPr="00E23927">
              <w:rPr>
                <w:rFonts w:eastAsia="Calibri" w:cs="Arial"/>
                <w:szCs w:val="22"/>
              </w:rPr>
              <w:t>al</w:t>
            </w:r>
            <w:r w:rsidRPr="00E23927">
              <w:rPr>
                <w:rFonts w:eastAsia="Calibri" w:cs="Arial"/>
                <w:spacing w:val="-2"/>
                <w:szCs w:val="22"/>
              </w:rPr>
              <w:t xml:space="preserve"> </w:t>
            </w:r>
            <w:r w:rsidRPr="00E23927">
              <w:rPr>
                <w:rFonts w:eastAsia="Calibri" w:cs="Arial"/>
                <w:spacing w:val="1"/>
                <w:szCs w:val="22"/>
              </w:rPr>
              <w:t>D</w:t>
            </w:r>
            <w:r w:rsidRPr="00E23927">
              <w:rPr>
                <w:rFonts w:eastAsia="Calibri" w:cs="Arial"/>
                <w:spacing w:val="-2"/>
                <w:szCs w:val="22"/>
              </w:rPr>
              <w:t>e</w:t>
            </w:r>
            <w:r w:rsidRPr="00E23927">
              <w:rPr>
                <w:rFonts w:eastAsia="Calibri" w:cs="Arial"/>
                <w:spacing w:val="1"/>
                <w:szCs w:val="22"/>
              </w:rPr>
              <w:t>ve</w:t>
            </w:r>
            <w:r w:rsidRPr="00E23927">
              <w:rPr>
                <w:rFonts w:eastAsia="Calibri" w:cs="Arial"/>
                <w:spacing w:val="-3"/>
                <w:szCs w:val="22"/>
              </w:rPr>
              <w:t>l</w:t>
            </w:r>
            <w:r w:rsidRPr="00E23927">
              <w:rPr>
                <w:rFonts w:eastAsia="Calibri" w:cs="Arial"/>
                <w:spacing w:val="1"/>
                <w:szCs w:val="22"/>
              </w:rPr>
              <w:t>o</w:t>
            </w:r>
            <w:r w:rsidRPr="00E23927">
              <w:rPr>
                <w:rFonts w:eastAsia="Calibri" w:cs="Arial"/>
                <w:spacing w:val="-3"/>
                <w:szCs w:val="22"/>
              </w:rPr>
              <w:t>p</w:t>
            </w:r>
            <w:r w:rsidRPr="00E23927">
              <w:rPr>
                <w:rFonts w:eastAsia="Calibri" w:cs="Arial"/>
                <w:spacing w:val="1"/>
                <w:szCs w:val="22"/>
              </w:rPr>
              <w:t>m</w:t>
            </w:r>
            <w:r w:rsidRPr="00E23927">
              <w:rPr>
                <w:rFonts w:eastAsia="Calibri" w:cs="Arial"/>
                <w:spacing w:val="-2"/>
                <w:szCs w:val="22"/>
              </w:rPr>
              <w:t>e</w:t>
            </w:r>
            <w:r w:rsidRPr="00E23927">
              <w:rPr>
                <w:rFonts w:eastAsia="Calibri" w:cs="Arial"/>
                <w:spacing w:val="-1"/>
                <w:szCs w:val="22"/>
              </w:rPr>
              <w:t>n</w:t>
            </w:r>
            <w:r w:rsidRPr="00E23927">
              <w:rPr>
                <w:rFonts w:eastAsia="Calibri" w:cs="Arial"/>
                <w:szCs w:val="22"/>
              </w:rPr>
              <w:t xml:space="preserve">t </w:t>
            </w:r>
            <w:r w:rsidRPr="00E23927">
              <w:rPr>
                <w:rFonts w:eastAsia="Calibri" w:cs="Arial"/>
                <w:spacing w:val="-1"/>
                <w:szCs w:val="22"/>
              </w:rPr>
              <w:t>S</w:t>
            </w:r>
            <w:r w:rsidRPr="00E23927">
              <w:rPr>
                <w:rFonts w:eastAsia="Calibri" w:cs="Arial"/>
                <w:spacing w:val="1"/>
                <w:szCs w:val="22"/>
              </w:rPr>
              <w:t>em</w:t>
            </w:r>
            <w:r w:rsidRPr="00E23927">
              <w:rPr>
                <w:rFonts w:eastAsia="Calibri" w:cs="Arial"/>
                <w:szCs w:val="22"/>
              </w:rPr>
              <w:t>i</w:t>
            </w:r>
            <w:r w:rsidRPr="00E23927">
              <w:rPr>
                <w:rFonts w:eastAsia="Calibri" w:cs="Arial"/>
                <w:spacing w:val="-1"/>
                <w:szCs w:val="22"/>
              </w:rPr>
              <w:t>n</w:t>
            </w:r>
            <w:r w:rsidRPr="00E23927">
              <w:rPr>
                <w:rFonts w:eastAsia="Calibri" w:cs="Arial"/>
                <w:szCs w:val="22"/>
              </w:rPr>
              <w:t>ar S</w:t>
            </w:r>
            <w:r w:rsidRPr="00E23927">
              <w:rPr>
                <w:rFonts w:eastAsia="Calibri" w:cs="Arial"/>
                <w:spacing w:val="-2"/>
                <w:szCs w:val="22"/>
              </w:rPr>
              <w:t>e</w:t>
            </w:r>
            <w:r w:rsidRPr="00E23927">
              <w:rPr>
                <w:rFonts w:eastAsia="Calibri" w:cs="Arial"/>
                <w:szCs w:val="22"/>
              </w:rPr>
              <w:t>ri</w:t>
            </w:r>
            <w:r w:rsidRPr="00E23927">
              <w:rPr>
                <w:rFonts w:eastAsia="Calibri" w:cs="Arial"/>
                <w:spacing w:val="1"/>
                <w:szCs w:val="22"/>
              </w:rPr>
              <w:t>e</w:t>
            </w:r>
            <w:r w:rsidRPr="00E23927">
              <w:rPr>
                <w:rFonts w:eastAsia="Calibri" w:cs="Arial"/>
                <w:szCs w:val="22"/>
              </w:rPr>
              <w:t xml:space="preserve">s. </w:t>
            </w:r>
            <w:r w:rsidRPr="00E23927">
              <w:rPr>
                <w:rFonts w:eastAsia="Calibri" w:cs="Arial"/>
                <w:i/>
                <w:spacing w:val="-3"/>
                <w:szCs w:val="22"/>
              </w:rPr>
              <w:t>A</w:t>
            </w:r>
            <w:r w:rsidRPr="00E23927">
              <w:rPr>
                <w:rFonts w:eastAsia="Calibri" w:cs="Arial"/>
                <w:i/>
                <w:szCs w:val="22"/>
              </w:rPr>
              <w:t>m</w:t>
            </w:r>
            <w:r w:rsidRPr="00E23927">
              <w:rPr>
                <w:rFonts w:eastAsia="Calibri" w:cs="Arial"/>
                <w:i/>
                <w:spacing w:val="1"/>
                <w:szCs w:val="22"/>
              </w:rPr>
              <w:t xml:space="preserve"> </w:t>
            </w:r>
            <w:r w:rsidRPr="00E23927">
              <w:rPr>
                <w:rFonts w:eastAsia="Calibri" w:cs="Arial"/>
                <w:i/>
                <w:szCs w:val="22"/>
              </w:rPr>
              <w:t>J</w:t>
            </w:r>
            <w:r w:rsidRPr="00E23927">
              <w:rPr>
                <w:rFonts w:eastAsia="Calibri" w:cs="Arial"/>
                <w:i/>
                <w:spacing w:val="-3"/>
                <w:szCs w:val="22"/>
              </w:rPr>
              <w:t xml:space="preserve"> </w:t>
            </w:r>
            <w:r w:rsidRPr="00E23927">
              <w:rPr>
                <w:rFonts w:eastAsia="Calibri" w:cs="Arial"/>
                <w:i/>
                <w:spacing w:val="1"/>
                <w:szCs w:val="22"/>
              </w:rPr>
              <w:t>P</w:t>
            </w:r>
            <w:r w:rsidRPr="00E23927">
              <w:rPr>
                <w:rFonts w:eastAsia="Calibri" w:cs="Arial"/>
                <w:i/>
                <w:spacing w:val="-1"/>
                <w:szCs w:val="22"/>
              </w:rPr>
              <w:t>har</w:t>
            </w:r>
            <w:r w:rsidRPr="00E23927">
              <w:rPr>
                <w:rFonts w:eastAsia="Calibri" w:cs="Arial"/>
                <w:i/>
                <w:szCs w:val="22"/>
              </w:rPr>
              <w:t>m</w:t>
            </w:r>
            <w:r w:rsidRPr="00E23927">
              <w:rPr>
                <w:rFonts w:eastAsia="Calibri" w:cs="Arial"/>
                <w:i/>
                <w:spacing w:val="1"/>
                <w:szCs w:val="22"/>
              </w:rPr>
              <w:t xml:space="preserve"> </w:t>
            </w:r>
            <w:r w:rsidRPr="00E23927">
              <w:rPr>
                <w:rFonts w:eastAsia="Calibri" w:cs="Arial"/>
                <w:i/>
                <w:szCs w:val="22"/>
              </w:rPr>
              <w:t>E</w:t>
            </w:r>
            <w:r w:rsidRPr="00E23927">
              <w:rPr>
                <w:rFonts w:eastAsia="Calibri" w:cs="Arial"/>
                <w:i/>
                <w:spacing w:val="-1"/>
                <w:szCs w:val="22"/>
              </w:rPr>
              <w:t>duc</w:t>
            </w:r>
            <w:r w:rsidRPr="00E23927">
              <w:rPr>
                <w:rFonts w:eastAsia="Calibri" w:cs="Arial"/>
                <w:szCs w:val="22"/>
              </w:rPr>
              <w:t>.</w:t>
            </w:r>
            <w:r w:rsidRPr="00E23927">
              <w:rPr>
                <w:rFonts w:eastAsia="Calibri" w:cs="Arial"/>
                <w:spacing w:val="1"/>
                <w:szCs w:val="22"/>
              </w:rPr>
              <w:t xml:space="preserve"> </w:t>
            </w:r>
            <w:r w:rsidRPr="00E23927">
              <w:rPr>
                <w:rFonts w:eastAsia="Calibri" w:cs="Arial"/>
                <w:spacing w:val="-2"/>
                <w:szCs w:val="22"/>
              </w:rPr>
              <w:t>2</w:t>
            </w:r>
            <w:r w:rsidRPr="00E23927">
              <w:rPr>
                <w:rFonts w:eastAsia="Calibri" w:cs="Arial"/>
                <w:spacing w:val="1"/>
                <w:szCs w:val="22"/>
              </w:rPr>
              <w:t>0</w:t>
            </w:r>
            <w:r w:rsidRPr="00E23927">
              <w:rPr>
                <w:rFonts w:eastAsia="Calibri" w:cs="Arial"/>
                <w:spacing w:val="-1"/>
                <w:szCs w:val="22"/>
              </w:rPr>
              <w:t>1</w:t>
            </w:r>
            <w:r w:rsidRPr="00E23927">
              <w:rPr>
                <w:rFonts w:eastAsia="Calibri" w:cs="Arial"/>
                <w:szCs w:val="22"/>
              </w:rPr>
              <w:t>4</w:t>
            </w:r>
            <w:r w:rsidRPr="00E23927">
              <w:rPr>
                <w:rFonts w:eastAsia="Calibri" w:cs="Arial"/>
                <w:spacing w:val="2"/>
                <w:szCs w:val="22"/>
              </w:rPr>
              <w:t xml:space="preserve"> </w:t>
            </w:r>
            <w:r w:rsidRPr="00E23927">
              <w:rPr>
                <w:rFonts w:eastAsia="Calibri" w:cs="Arial"/>
                <w:spacing w:val="-2"/>
                <w:szCs w:val="22"/>
              </w:rPr>
              <w:t>O</w:t>
            </w:r>
            <w:r w:rsidRPr="00E23927">
              <w:rPr>
                <w:rFonts w:eastAsia="Calibri" w:cs="Arial"/>
                <w:szCs w:val="22"/>
              </w:rPr>
              <w:t>ct</w:t>
            </w:r>
            <w:r w:rsidRPr="00E23927">
              <w:rPr>
                <w:rFonts w:eastAsia="Calibri" w:cs="Arial"/>
                <w:spacing w:val="-1"/>
                <w:szCs w:val="22"/>
              </w:rPr>
              <w:t xml:space="preserve"> </w:t>
            </w:r>
            <w:r w:rsidRPr="00E23927">
              <w:rPr>
                <w:rFonts w:eastAsia="Calibri" w:cs="Arial"/>
                <w:spacing w:val="1"/>
                <w:szCs w:val="22"/>
              </w:rPr>
              <w:t>1</w:t>
            </w:r>
            <w:r w:rsidRPr="00E23927">
              <w:rPr>
                <w:rFonts w:eastAsia="Calibri" w:cs="Arial"/>
                <w:spacing w:val="-1"/>
                <w:szCs w:val="22"/>
              </w:rPr>
              <w:t>5</w:t>
            </w:r>
            <w:r w:rsidRPr="00E23927">
              <w:rPr>
                <w:rFonts w:eastAsia="Calibri" w:cs="Arial"/>
                <w:spacing w:val="1"/>
                <w:szCs w:val="22"/>
              </w:rPr>
              <w:t>;</w:t>
            </w:r>
            <w:r w:rsidRPr="00E23927">
              <w:rPr>
                <w:rFonts w:eastAsia="Calibri" w:cs="Arial"/>
                <w:spacing w:val="-1"/>
                <w:szCs w:val="22"/>
              </w:rPr>
              <w:t>7</w:t>
            </w:r>
            <w:r w:rsidRPr="00E23927">
              <w:rPr>
                <w:rFonts w:eastAsia="Calibri" w:cs="Arial"/>
                <w:spacing w:val="1"/>
                <w:szCs w:val="22"/>
              </w:rPr>
              <w:t>8</w:t>
            </w:r>
            <w:r w:rsidRPr="00E23927">
              <w:rPr>
                <w:rFonts w:eastAsia="Calibri" w:cs="Arial"/>
                <w:spacing w:val="-2"/>
                <w:szCs w:val="22"/>
              </w:rPr>
              <w:t>(</w:t>
            </w:r>
            <w:r w:rsidRPr="00E23927">
              <w:rPr>
                <w:rFonts w:eastAsia="Calibri" w:cs="Arial"/>
                <w:spacing w:val="1"/>
                <w:szCs w:val="22"/>
              </w:rPr>
              <w:t>8</w:t>
            </w:r>
            <w:r w:rsidRPr="00E23927">
              <w:rPr>
                <w:rFonts w:eastAsia="Calibri" w:cs="Arial"/>
                <w:szCs w:val="22"/>
              </w:rPr>
              <w:t>)</w:t>
            </w:r>
            <w:r w:rsidRPr="00E23927">
              <w:rPr>
                <w:rFonts w:eastAsia="Calibri" w:cs="Arial"/>
                <w:spacing w:val="-1"/>
                <w:szCs w:val="22"/>
              </w:rPr>
              <w:t>:</w:t>
            </w:r>
            <w:r w:rsidRPr="00E23927">
              <w:rPr>
                <w:rFonts w:eastAsia="Calibri" w:cs="Arial"/>
                <w:spacing w:val="1"/>
                <w:szCs w:val="22"/>
              </w:rPr>
              <w:t>1</w:t>
            </w:r>
            <w:r w:rsidRPr="00E23927">
              <w:rPr>
                <w:rFonts w:eastAsia="Calibri" w:cs="Arial"/>
                <w:spacing w:val="-1"/>
                <w:szCs w:val="22"/>
              </w:rPr>
              <w:t>5</w:t>
            </w:r>
            <w:r w:rsidRPr="00E23927">
              <w:rPr>
                <w:rFonts w:eastAsia="Calibri" w:cs="Arial"/>
                <w:spacing w:val="1"/>
                <w:szCs w:val="22"/>
              </w:rPr>
              <w:t>0.</w:t>
            </w:r>
          </w:p>
          <w:p w14:paraId="64FC6D94" w14:textId="77777777" w:rsidR="006D307E" w:rsidRPr="00E23927" w:rsidRDefault="006D307E" w:rsidP="006D307E">
            <w:pPr>
              <w:pStyle w:val="ListParagraph"/>
              <w:spacing w:after="0" w:line="240" w:lineRule="auto"/>
              <w:ind w:left="480" w:right="-20"/>
              <w:rPr>
                <w:rFonts w:eastAsia="Calibri" w:cs="Arial"/>
                <w:szCs w:val="22"/>
              </w:rPr>
            </w:pPr>
          </w:p>
          <w:p w14:paraId="4304BDFA" w14:textId="77777777" w:rsidR="006D307E" w:rsidRPr="00E23927" w:rsidRDefault="006D307E" w:rsidP="006D307E">
            <w:pPr>
              <w:snapToGrid/>
              <w:spacing w:after="0" w:line="240" w:lineRule="auto"/>
              <w:ind w:right="-20"/>
              <w:rPr>
                <w:rFonts w:eastAsia="Calibri" w:cs="Arial"/>
                <w:szCs w:val="22"/>
              </w:rPr>
            </w:pPr>
            <w:r w:rsidRPr="00E23927">
              <w:rPr>
                <w:rFonts w:eastAsia="Calibri" w:cs="Arial"/>
                <w:spacing w:val="1"/>
                <w:szCs w:val="22"/>
              </w:rPr>
              <w:t>P</w:t>
            </w:r>
            <w:r w:rsidRPr="00E23927">
              <w:rPr>
                <w:rFonts w:eastAsia="Calibri" w:cs="Arial"/>
                <w:szCs w:val="22"/>
              </w:rPr>
              <w:t>at</w:t>
            </w:r>
            <w:r w:rsidRPr="00E23927">
              <w:rPr>
                <w:rFonts w:eastAsia="Calibri" w:cs="Arial"/>
                <w:spacing w:val="1"/>
                <w:szCs w:val="22"/>
              </w:rPr>
              <w:t>e</w:t>
            </w:r>
            <w:r w:rsidRPr="00E23927">
              <w:rPr>
                <w:rFonts w:eastAsia="Calibri" w:cs="Arial"/>
                <w:szCs w:val="22"/>
              </w:rPr>
              <w:t>l</w:t>
            </w:r>
            <w:r w:rsidRPr="00E23927">
              <w:rPr>
                <w:rFonts w:eastAsia="Calibri" w:cs="Arial"/>
                <w:spacing w:val="-2"/>
                <w:szCs w:val="22"/>
              </w:rPr>
              <w:t xml:space="preserve"> </w:t>
            </w:r>
            <w:r w:rsidRPr="00E23927">
              <w:rPr>
                <w:rFonts w:eastAsia="Calibri" w:cs="Arial"/>
                <w:spacing w:val="-1"/>
                <w:szCs w:val="22"/>
              </w:rPr>
              <w:t>H</w:t>
            </w:r>
            <w:r w:rsidRPr="00E23927">
              <w:rPr>
                <w:rFonts w:eastAsia="Calibri" w:cs="Arial"/>
                <w:szCs w:val="22"/>
              </w:rPr>
              <w:t>,</w:t>
            </w:r>
            <w:r w:rsidRPr="00E23927">
              <w:rPr>
                <w:rFonts w:eastAsia="Calibri" w:cs="Arial"/>
                <w:spacing w:val="1"/>
                <w:szCs w:val="22"/>
              </w:rPr>
              <w:t xml:space="preserve"> </w:t>
            </w:r>
            <w:r w:rsidRPr="00E23927">
              <w:rPr>
                <w:rFonts w:eastAsia="Calibri" w:cs="Arial"/>
                <w:szCs w:val="22"/>
              </w:rPr>
              <w:t xml:space="preserve">Ursan </w:t>
            </w:r>
            <w:r w:rsidRPr="00E23927">
              <w:rPr>
                <w:rFonts w:eastAsia="Calibri" w:cs="Arial"/>
                <w:spacing w:val="-3"/>
                <w:szCs w:val="22"/>
              </w:rPr>
              <w:t>I</w:t>
            </w:r>
            <w:r w:rsidRPr="00E23927">
              <w:rPr>
                <w:rFonts w:eastAsia="Calibri" w:cs="Arial"/>
                <w:szCs w:val="22"/>
              </w:rPr>
              <w:t>,</w:t>
            </w:r>
            <w:r w:rsidRPr="00E23927">
              <w:rPr>
                <w:rFonts w:eastAsia="Calibri" w:cs="Arial"/>
                <w:spacing w:val="1"/>
                <w:szCs w:val="22"/>
              </w:rPr>
              <w:t xml:space="preserve"> </w:t>
            </w:r>
            <w:r w:rsidRPr="00E23927">
              <w:rPr>
                <w:rFonts w:eastAsia="Calibri" w:cs="Arial"/>
                <w:bCs/>
                <w:szCs w:val="22"/>
              </w:rPr>
              <w:t>Z</w:t>
            </w:r>
            <w:r w:rsidRPr="00E23927">
              <w:rPr>
                <w:rFonts w:eastAsia="Calibri" w:cs="Arial"/>
                <w:bCs/>
                <w:spacing w:val="-1"/>
                <w:szCs w:val="22"/>
              </w:rPr>
              <w:t>ue</w:t>
            </w:r>
            <w:r w:rsidRPr="00E23927">
              <w:rPr>
                <w:rFonts w:eastAsia="Calibri" w:cs="Arial"/>
                <w:bCs/>
                <w:spacing w:val="1"/>
                <w:szCs w:val="22"/>
              </w:rPr>
              <w:t>g</w:t>
            </w:r>
            <w:r w:rsidRPr="00E23927">
              <w:rPr>
                <w:rFonts w:eastAsia="Calibri" w:cs="Arial"/>
                <w:bCs/>
                <w:spacing w:val="-1"/>
                <w:szCs w:val="22"/>
              </w:rPr>
              <w:t>e</w:t>
            </w:r>
            <w:r w:rsidRPr="00E23927">
              <w:rPr>
                <w:rFonts w:eastAsia="Calibri" w:cs="Arial"/>
                <w:bCs/>
                <w:szCs w:val="22"/>
              </w:rPr>
              <w:t>r</w:t>
            </w:r>
            <w:r w:rsidRPr="00E23927">
              <w:rPr>
                <w:rFonts w:eastAsia="Calibri" w:cs="Arial"/>
                <w:bCs/>
                <w:spacing w:val="-1"/>
                <w:szCs w:val="22"/>
              </w:rPr>
              <w:t xml:space="preserve"> </w:t>
            </w:r>
            <w:r w:rsidRPr="00E23927">
              <w:rPr>
                <w:rFonts w:eastAsia="Calibri" w:cs="Arial"/>
                <w:bCs/>
                <w:spacing w:val="-2"/>
                <w:szCs w:val="22"/>
              </w:rPr>
              <w:t>P</w:t>
            </w:r>
            <w:r w:rsidRPr="00E23927">
              <w:rPr>
                <w:rFonts w:eastAsia="Calibri" w:cs="Arial"/>
                <w:bCs/>
                <w:spacing w:val="-1"/>
                <w:szCs w:val="22"/>
              </w:rPr>
              <w:t>M</w:t>
            </w:r>
            <w:r w:rsidRPr="00E23927">
              <w:rPr>
                <w:rFonts w:eastAsia="Calibri" w:cs="Arial"/>
                <w:szCs w:val="22"/>
              </w:rPr>
              <w:t>,</w:t>
            </w:r>
            <w:r w:rsidRPr="00E23927">
              <w:rPr>
                <w:rFonts w:eastAsia="Calibri" w:cs="Arial"/>
                <w:spacing w:val="1"/>
                <w:szCs w:val="22"/>
              </w:rPr>
              <w:t xml:space="preserve"> P</w:t>
            </w:r>
            <w:r w:rsidRPr="00E23927">
              <w:rPr>
                <w:rFonts w:eastAsia="Calibri" w:cs="Arial"/>
                <w:szCs w:val="22"/>
              </w:rPr>
              <w:t>ic</w:t>
            </w:r>
            <w:r w:rsidRPr="00E23927">
              <w:rPr>
                <w:rFonts w:eastAsia="Calibri" w:cs="Arial"/>
                <w:spacing w:val="-2"/>
                <w:szCs w:val="22"/>
              </w:rPr>
              <w:t>k</w:t>
            </w:r>
            <w:r w:rsidRPr="00E23927">
              <w:rPr>
                <w:rFonts w:eastAsia="Calibri" w:cs="Arial"/>
                <w:szCs w:val="22"/>
              </w:rPr>
              <w:t xml:space="preserve">ard </w:t>
            </w:r>
            <w:r w:rsidRPr="00E23927">
              <w:rPr>
                <w:rFonts w:eastAsia="Calibri" w:cs="Arial"/>
                <w:spacing w:val="-1"/>
                <w:szCs w:val="22"/>
              </w:rPr>
              <w:t>AS</w:t>
            </w:r>
            <w:r w:rsidRPr="00E23927">
              <w:rPr>
                <w:rFonts w:eastAsia="Calibri" w:cs="Arial"/>
                <w:szCs w:val="22"/>
              </w:rPr>
              <w:t xml:space="preserve">. </w:t>
            </w:r>
            <w:r w:rsidRPr="00E23927">
              <w:rPr>
                <w:rFonts w:eastAsia="Calibri" w:cs="Arial"/>
                <w:spacing w:val="-1"/>
                <w:szCs w:val="22"/>
              </w:rPr>
              <w:t>S</w:t>
            </w:r>
            <w:r w:rsidRPr="00E23927">
              <w:rPr>
                <w:rFonts w:eastAsia="Calibri" w:cs="Arial"/>
                <w:szCs w:val="22"/>
              </w:rPr>
              <w:t>ta</w:t>
            </w:r>
            <w:r w:rsidRPr="00E23927">
              <w:rPr>
                <w:rFonts w:eastAsia="Calibri" w:cs="Arial"/>
                <w:spacing w:val="-2"/>
                <w:szCs w:val="22"/>
              </w:rPr>
              <w:t>k</w:t>
            </w:r>
            <w:r w:rsidRPr="00E23927">
              <w:rPr>
                <w:rFonts w:eastAsia="Calibri" w:cs="Arial"/>
                <w:szCs w:val="22"/>
              </w:rPr>
              <w:t>e</w:t>
            </w:r>
            <w:r w:rsidRPr="00E23927">
              <w:rPr>
                <w:rFonts w:eastAsia="Calibri" w:cs="Arial"/>
                <w:spacing w:val="-1"/>
                <w:szCs w:val="22"/>
              </w:rPr>
              <w:t>h</w:t>
            </w:r>
            <w:r w:rsidRPr="00E23927">
              <w:rPr>
                <w:rFonts w:eastAsia="Calibri" w:cs="Arial"/>
                <w:spacing w:val="1"/>
                <w:szCs w:val="22"/>
              </w:rPr>
              <w:t>o</w:t>
            </w:r>
            <w:r w:rsidRPr="00E23927">
              <w:rPr>
                <w:rFonts w:eastAsia="Calibri" w:cs="Arial"/>
                <w:szCs w:val="22"/>
              </w:rPr>
              <w:t>l</w:t>
            </w:r>
            <w:r w:rsidRPr="00E23927">
              <w:rPr>
                <w:rFonts w:eastAsia="Calibri" w:cs="Arial"/>
                <w:spacing w:val="-1"/>
                <w:szCs w:val="22"/>
              </w:rPr>
              <w:t>d</w:t>
            </w:r>
            <w:r w:rsidRPr="00E23927">
              <w:rPr>
                <w:rFonts w:eastAsia="Calibri" w:cs="Arial"/>
                <w:szCs w:val="22"/>
              </w:rPr>
              <w:t>er</w:t>
            </w:r>
            <w:r w:rsidRPr="00E23927">
              <w:rPr>
                <w:rFonts w:eastAsia="Calibri" w:cs="Arial"/>
                <w:spacing w:val="-2"/>
                <w:szCs w:val="22"/>
              </w:rPr>
              <w:t xml:space="preserve"> </w:t>
            </w:r>
            <w:r w:rsidRPr="00E23927">
              <w:rPr>
                <w:rFonts w:eastAsia="Calibri" w:cs="Arial"/>
                <w:spacing w:val="-1"/>
                <w:szCs w:val="22"/>
              </w:rPr>
              <w:t>V</w:t>
            </w:r>
            <w:r w:rsidRPr="00E23927">
              <w:rPr>
                <w:rFonts w:eastAsia="Calibri" w:cs="Arial"/>
                <w:szCs w:val="22"/>
              </w:rPr>
              <w:t>iews</w:t>
            </w:r>
            <w:r w:rsidRPr="00E23927">
              <w:rPr>
                <w:rFonts w:eastAsia="Calibri" w:cs="Arial"/>
                <w:spacing w:val="-2"/>
                <w:szCs w:val="22"/>
              </w:rPr>
              <w:t xml:space="preserve"> </w:t>
            </w:r>
            <w:r w:rsidRPr="00E23927">
              <w:rPr>
                <w:rFonts w:eastAsia="Calibri" w:cs="Arial"/>
                <w:spacing w:val="1"/>
                <w:szCs w:val="22"/>
              </w:rPr>
              <w:t>o</w:t>
            </w:r>
            <w:r w:rsidRPr="00E23927">
              <w:rPr>
                <w:rFonts w:eastAsia="Calibri" w:cs="Arial"/>
                <w:szCs w:val="22"/>
              </w:rPr>
              <w:t>n</w:t>
            </w:r>
            <w:r w:rsidRPr="00E23927">
              <w:rPr>
                <w:rFonts w:eastAsia="Calibri" w:cs="Arial"/>
                <w:spacing w:val="-3"/>
                <w:szCs w:val="22"/>
              </w:rPr>
              <w:t xml:space="preserve"> </w:t>
            </w:r>
            <w:r w:rsidRPr="00E23927">
              <w:rPr>
                <w:rFonts w:eastAsia="Calibri" w:cs="Arial"/>
                <w:spacing w:val="1"/>
                <w:szCs w:val="22"/>
              </w:rPr>
              <w:t>P</w:t>
            </w:r>
            <w:r w:rsidRPr="00E23927">
              <w:rPr>
                <w:rFonts w:eastAsia="Calibri" w:cs="Arial"/>
                <w:spacing w:val="-1"/>
                <w:szCs w:val="22"/>
              </w:rPr>
              <w:t>h</w:t>
            </w:r>
            <w:r w:rsidRPr="00E23927">
              <w:rPr>
                <w:rFonts w:eastAsia="Calibri" w:cs="Arial"/>
                <w:szCs w:val="22"/>
              </w:rPr>
              <w:t>a</w:t>
            </w:r>
            <w:r w:rsidRPr="00E23927">
              <w:rPr>
                <w:rFonts w:eastAsia="Calibri" w:cs="Arial"/>
                <w:spacing w:val="-3"/>
                <w:szCs w:val="22"/>
              </w:rPr>
              <w:t>r</w:t>
            </w:r>
            <w:r w:rsidRPr="00E23927">
              <w:rPr>
                <w:rFonts w:eastAsia="Calibri" w:cs="Arial"/>
                <w:spacing w:val="1"/>
                <w:szCs w:val="22"/>
              </w:rPr>
              <w:t>m</w:t>
            </w:r>
            <w:r w:rsidRPr="00E23927">
              <w:rPr>
                <w:rFonts w:eastAsia="Calibri" w:cs="Arial"/>
                <w:szCs w:val="22"/>
              </w:rPr>
              <w:t>a</w:t>
            </w:r>
            <w:r w:rsidRPr="00E23927">
              <w:rPr>
                <w:rFonts w:eastAsia="Calibri" w:cs="Arial"/>
                <w:spacing w:val="-2"/>
                <w:szCs w:val="22"/>
              </w:rPr>
              <w:t>c</w:t>
            </w:r>
            <w:r w:rsidRPr="00E23927">
              <w:rPr>
                <w:rFonts w:eastAsia="Calibri" w:cs="Arial"/>
                <w:spacing w:val="1"/>
                <w:szCs w:val="22"/>
              </w:rPr>
              <w:t>o</w:t>
            </w:r>
            <w:r w:rsidRPr="00E23927">
              <w:rPr>
                <w:rFonts w:eastAsia="Calibri" w:cs="Arial"/>
                <w:spacing w:val="-1"/>
                <w:szCs w:val="22"/>
              </w:rPr>
              <w:t>g</w:t>
            </w:r>
            <w:r w:rsidRPr="00E23927">
              <w:rPr>
                <w:rFonts w:eastAsia="Calibri" w:cs="Arial"/>
                <w:szCs w:val="22"/>
              </w:rPr>
              <w:t>e</w:t>
            </w:r>
            <w:r w:rsidRPr="00E23927">
              <w:rPr>
                <w:rFonts w:eastAsia="Calibri" w:cs="Arial"/>
                <w:spacing w:val="-1"/>
                <w:szCs w:val="22"/>
              </w:rPr>
              <w:t>nom</w:t>
            </w:r>
            <w:r w:rsidRPr="00E23927">
              <w:rPr>
                <w:rFonts w:eastAsia="Calibri" w:cs="Arial"/>
                <w:szCs w:val="22"/>
              </w:rPr>
              <w:t>ic</w:t>
            </w:r>
            <w:r w:rsidRPr="00E23927">
              <w:rPr>
                <w:rFonts w:eastAsia="Calibri" w:cs="Arial"/>
                <w:spacing w:val="1"/>
                <w:szCs w:val="22"/>
              </w:rPr>
              <w:t xml:space="preserve"> </w:t>
            </w:r>
            <w:r w:rsidRPr="00E23927">
              <w:rPr>
                <w:rFonts w:eastAsia="Calibri" w:cs="Arial"/>
                <w:szCs w:val="22"/>
              </w:rPr>
              <w:t>Te</w:t>
            </w:r>
            <w:r w:rsidRPr="00E23927">
              <w:rPr>
                <w:rFonts w:eastAsia="Calibri" w:cs="Arial"/>
                <w:spacing w:val="-2"/>
                <w:szCs w:val="22"/>
              </w:rPr>
              <w:t>s</w:t>
            </w:r>
            <w:r w:rsidRPr="00E23927">
              <w:rPr>
                <w:rFonts w:eastAsia="Calibri" w:cs="Arial"/>
                <w:szCs w:val="22"/>
              </w:rPr>
              <w:t>ti</w:t>
            </w:r>
            <w:r w:rsidRPr="00E23927">
              <w:rPr>
                <w:rFonts w:eastAsia="Calibri" w:cs="Arial"/>
                <w:spacing w:val="-1"/>
                <w:szCs w:val="22"/>
              </w:rPr>
              <w:t>ng</w:t>
            </w:r>
            <w:r w:rsidRPr="00E23927">
              <w:rPr>
                <w:rFonts w:eastAsia="Calibri" w:cs="Arial"/>
                <w:szCs w:val="22"/>
              </w:rPr>
              <w:t>.</w:t>
            </w:r>
            <w:r w:rsidRPr="00E23927">
              <w:rPr>
                <w:rFonts w:eastAsia="Calibri" w:cs="Arial"/>
                <w:spacing w:val="1"/>
                <w:szCs w:val="22"/>
              </w:rPr>
              <w:t xml:space="preserve"> </w:t>
            </w:r>
            <w:r w:rsidRPr="00E23927">
              <w:rPr>
                <w:rFonts w:eastAsia="Calibri" w:cs="Arial"/>
                <w:i/>
                <w:spacing w:val="1"/>
                <w:szCs w:val="22"/>
              </w:rPr>
              <w:t>P</w:t>
            </w:r>
            <w:r w:rsidRPr="00E23927">
              <w:rPr>
                <w:rFonts w:eastAsia="Calibri" w:cs="Arial"/>
                <w:i/>
                <w:spacing w:val="-1"/>
                <w:szCs w:val="22"/>
              </w:rPr>
              <w:t>har</w:t>
            </w:r>
            <w:r w:rsidRPr="00E23927">
              <w:rPr>
                <w:rFonts w:eastAsia="Calibri" w:cs="Arial"/>
                <w:i/>
                <w:szCs w:val="22"/>
              </w:rPr>
              <w:t>m</w:t>
            </w:r>
            <w:r w:rsidRPr="00E23927">
              <w:rPr>
                <w:rFonts w:eastAsia="Calibri" w:cs="Arial"/>
                <w:i/>
                <w:spacing w:val="-1"/>
                <w:szCs w:val="22"/>
              </w:rPr>
              <w:t>aco</w:t>
            </w:r>
            <w:r w:rsidRPr="00E23927">
              <w:rPr>
                <w:rFonts w:eastAsia="Calibri" w:cs="Arial"/>
                <w:i/>
                <w:szCs w:val="22"/>
              </w:rPr>
              <w:t>t</w:t>
            </w:r>
            <w:r w:rsidRPr="00E23927">
              <w:rPr>
                <w:rFonts w:eastAsia="Calibri" w:cs="Arial"/>
                <w:i/>
                <w:spacing w:val="-1"/>
                <w:szCs w:val="22"/>
              </w:rPr>
              <w:t>h</w:t>
            </w:r>
            <w:r w:rsidRPr="00E23927">
              <w:rPr>
                <w:rFonts w:eastAsia="Calibri" w:cs="Arial"/>
                <w:i/>
                <w:szCs w:val="22"/>
              </w:rPr>
              <w:t>e</w:t>
            </w:r>
            <w:r w:rsidRPr="00E23927">
              <w:rPr>
                <w:rFonts w:eastAsia="Calibri" w:cs="Arial"/>
                <w:i/>
                <w:spacing w:val="1"/>
                <w:szCs w:val="22"/>
              </w:rPr>
              <w:t>r</w:t>
            </w:r>
            <w:r w:rsidRPr="00E23927">
              <w:rPr>
                <w:rFonts w:eastAsia="Calibri" w:cs="Arial"/>
                <w:i/>
                <w:spacing w:val="-1"/>
                <w:szCs w:val="22"/>
              </w:rPr>
              <w:t>a</w:t>
            </w:r>
            <w:r w:rsidRPr="00E23927">
              <w:rPr>
                <w:rFonts w:eastAsia="Calibri" w:cs="Arial"/>
                <w:i/>
                <w:spacing w:val="-3"/>
                <w:szCs w:val="22"/>
              </w:rPr>
              <w:t>p</w:t>
            </w:r>
            <w:r w:rsidRPr="00E23927">
              <w:rPr>
                <w:rFonts w:eastAsia="Calibri" w:cs="Arial"/>
                <w:i/>
                <w:spacing w:val="-1"/>
                <w:szCs w:val="22"/>
              </w:rPr>
              <w:t>y</w:t>
            </w:r>
            <w:r w:rsidRPr="00E23927">
              <w:rPr>
                <w:rFonts w:eastAsia="Calibri" w:cs="Arial"/>
                <w:szCs w:val="22"/>
              </w:rPr>
              <w:t xml:space="preserve">. </w:t>
            </w:r>
            <w:r w:rsidRPr="00E23927">
              <w:rPr>
                <w:rFonts w:eastAsia="Calibri" w:cs="Arial"/>
                <w:spacing w:val="1"/>
                <w:szCs w:val="22"/>
              </w:rPr>
              <w:t>2</w:t>
            </w:r>
            <w:r w:rsidRPr="00E23927">
              <w:rPr>
                <w:rFonts w:eastAsia="Calibri" w:cs="Arial"/>
                <w:spacing w:val="-2"/>
                <w:szCs w:val="22"/>
              </w:rPr>
              <w:t>0</w:t>
            </w:r>
            <w:r w:rsidRPr="00E23927">
              <w:rPr>
                <w:rFonts w:eastAsia="Calibri" w:cs="Arial"/>
                <w:spacing w:val="1"/>
                <w:szCs w:val="22"/>
              </w:rPr>
              <w:t>1</w:t>
            </w:r>
            <w:r w:rsidRPr="00E23927">
              <w:rPr>
                <w:rFonts w:eastAsia="Calibri" w:cs="Arial"/>
                <w:szCs w:val="22"/>
              </w:rPr>
              <w:t>4</w:t>
            </w:r>
          </w:p>
          <w:p w14:paraId="110C310D" w14:textId="698BCD1E" w:rsidR="005E37BA" w:rsidRPr="00FF6454" w:rsidRDefault="006D307E" w:rsidP="00FF6454">
            <w:pPr>
              <w:spacing w:after="0" w:line="240" w:lineRule="auto"/>
              <w:ind w:right="-20"/>
              <w:rPr>
                <w:rFonts w:eastAsia="Calibri" w:cs="Arial"/>
                <w:spacing w:val="-2"/>
                <w:szCs w:val="22"/>
              </w:rPr>
            </w:pPr>
            <w:r w:rsidRPr="00E23927">
              <w:rPr>
                <w:rFonts w:eastAsia="Calibri" w:cs="Arial"/>
                <w:spacing w:val="-1"/>
                <w:szCs w:val="22"/>
              </w:rPr>
              <w:t>F</w:t>
            </w:r>
            <w:r w:rsidRPr="00E23927">
              <w:rPr>
                <w:rFonts w:eastAsia="Calibri" w:cs="Arial"/>
                <w:spacing w:val="1"/>
                <w:szCs w:val="22"/>
              </w:rPr>
              <w:t>e</w:t>
            </w:r>
            <w:r w:rsidRPr="00E23927">
              <w:rPr>
                <w:rFonts w:eastAsia="Calibri" w:cs="Arial"/>
                <w:spacing w:val="-1"/>
                <w:szCs w:val="22"/>
              </w:rPr>
              <w:t>b</w:t>
            </w:r>
            <w:r w:rsidRPr="00E23927">
              <w:rPr>
                <w:rFonts w:eastAsia="Calibri" w:cs="Arial"/>
                <w:szCs w:val="22"/>
              </w:rPr>
              <w:t>;</w:t>
            </w:r>
            <w:r w:rsidRPr="00E23927">
              <w:rPr>
                <w:rFonts w:eastAsia="Calibri" w:cs="Arial"/>
                <w:spacing w:val="2"/>
                <w:szCs w:val="22"/>
              </w:rPr>
              <w:t xml:space="preserve"> </w:t>
            </w:r>
            <w:r w:rsidRPr="00E23927">
              <w:rPr>
                <w:rFonts w:eastAsia="Calibri" w:cs="Arial"/>
                <w:spacing w:val="-2"/>
                <w:szCs w:val="22"/>
              </w:rPr>
              <w:t>3</w:t>
            </w:r>
            <w:r w:rsidRPr="00E23927">
              <w:rPr>
                <w:rFonts w:eastAsia="Calibri" w:cs="Arial"/>
                <w:spacing w:val="1"/>
                <w:szCs w:val="22"/>
              </w:rPr>
              <w:t>4</w:t>
            </w:r>
            <w:r w:rsidRPr="00E23927">
              <w:rPr>
                <w:rFonts w:eastAsia="Calibri" w:cs="Arial"/>
                <w:spacing w:val="-2"/>
                <w:szCs w:val="22"/>
              </w:rPr>
              <w:t>(</w:t>
            </w:r>
            <w:r w:rsidRPr="00E23927">
              <w:rPr>
                <w:rFonts w:eastAsia="Calibri" w:cs="Arial"/>
                <w:spacing w:val="1"/>
                <w:szCs w:val="22"/>
              </w:rPr>
              <w:t>2</w:t>
            </w:r>
            <w:r w:rsidRPr="00E23927">
              <w:rPr>
                <w:rFonts w:eastAsia="Calibri" w:cs="Arial"/>
                <w:szCs w:val="22"/>
              </w:rPr>
              <w:t>):</w:t>
            </w:r>
            <w:r w:rsidRPr="00E23927">
              <w:rPr>
                <w:rFonts w:eastAsia="Calibri" w:cs="Arial"/>
                <w:spacing w:val="-1"/>
                <w:szCs w:val="22"/>
              </w:rPr>
              <w:t xml:space="preserve"> </w:t>
            </w:r>
            <w:r w:rsidRPr="00E23927">
              <w:rPr>
                <w:rFonts w:eastAsia="Calibri" w:cs="Arial"/>
                <w:spacing w:val="-2"/>
                <w:szCs w:val="22"/>
              </w:rPr>
              <w:t>1</w:t>
            </w:r>
            <w:r w:rsidRPr="00E23927">
              <w:rPr>
                <w:rFonts w:eastAsia="Calibri" w:cs="Arial"/>
                <w:spacing w:val="1"/>
                <w:szCs w:val="22"/>
              </w:rPr>
              <w:t>51</w:t>
            </w:r>
            <w:r w:rsidRPr="00E23927">
              <w:rPr>
                <w:rFonts w:eastAsia="Calibri" w:cs="Arial"/>
                <w:spacing w:val="-3"/>
                <w:szCs w:val="22"/>
              </w:rPr>
              <w:t>-</w:t>
            </w:r>
            <w:r w:rsidRPr="00E23927">
              <w:rPr>
                <w:rFonts w:eastAsia="Calibri" w:cs="Arial"/>
                <w:spacing w:val="1"/>
                <w:szCs w:val="22"/>
              </w:rPr>
              <w:t>1</w:t>
            </w:r>
            <w:r w:rsidRPr="00E23927">
              <w:rPr>
                <w:rFonts w:eastAsia="Calibri" w:cs="Arial"/>
                <w:spacing w:val="-2"/>
                <w:szCs w:val="22"/>
              </w:rPr>
              <w:t>65</w:t>
            </w:r>
          </w:p>
        </w:tc>
      </w:tr>
      <w:tr w:rsidR="004C1D74" w14:paraId="2A1D9D38" w14:textId="77777777" w:rsidTr="00402C46">
        <w:trPr>
          <w:trHeight w:val="666"/>
        </w:trPr>
        <w:tc>
          <w:tcPr>
            <w:tcW w:w="2065" w:type="dxa"/>
          </w:tcPr>
          <w:p w14:paraId="65DFA58A" w14:textId="77777777" w:rsidR="004C1D74" w:rsidRDefault="004C1D74" w:rsidP="005E37BA">
            <w:pPr>
              <w:spacing w:after="0" w:line="240" w:lineRule="auto"/>
            </w:pPr>
          </w:p>
        </w:tc>
        <w:tc>
          <w:tcPr>
            <w:tcW w:w="7285" w:type="dxa"/>
          </w:tcPr>
          <w:p w14:paraId="4FDE9C43" w14:textId="77777777" w:rsidR="004C1D74" w:rsidRPr="00E23927" w:rsidRDefault="004C1D74" w:rsidP="006D307E">
            <w:pPr>
              <w:snapToGrid/>
              <w:spacing w:after="0" w:line="240" w:lineRule="auto"/>
              <w:ind w:right="-20"/>
              <w:rPr>
                <w:rFonts w:eastAsia="Calibri" w:cs="Arial"/>
                <w:szCs w:val="22"/>
              </w:rPr>
            </w:pPr>
          </w:p>
        </w:tc>
      </w:tr>
    </w:tbl>
    <w:p w14:paraId="3BE5B5BF" w14:textId="77777777" w:rsidR="00A515F8" w:rsidRPr="00A515F8" w:rsidRDefault="00A515F8" w:rsidP="00A515F8"/>
    <w:sectPr w:rsidR="00A515F8" w:rsidRPr="00A515F8" w:rsidSect="00772F0D">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D8D6C" w14:textId="77777777" w:rsidR="00EA5D91" w:rsidRDefault="00EA5D91" w:rsidP="00576244">
      <w:pPr>
        <w:spacing w:line="240" w:lineRule="auto"/>
      </w:pPr>
      <w:r>
        <w:separator/>
      </w:r>
    </w:p>
  </w:endnote>
  <w:endnote w:type="continuationSeparator" w:id="0">
    <w:p w14:paraId="57A97C2B" w14:textId="77777777" w:rsidR="00EA5D91" w:rsidRDefault="00EA5D91" w:rsidP="00576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781187"/>
      <w:docPartObj>
        <w:docPartGallery w:val="Page Numbers (Bottom of Page)"/>
        <w:docPartUnique/>
      </w:docPartObj>
    </w:sdtPr>
    <w:sdtEndPr>
      <w:rPr>
        <w:noProof/>
      </w:rPr>
    </w:sdtEndPr>
    <w:sdtContent>
      <w:p w14:paraId="6447269A" w14:textId="6B8CE5F4" w:rsidR="00A56E0A" w:rsidRDefault="00A56E0A">
        <w:pPr>
          <w:pStyle w:val="Footer"/>
          <w:jc w:val="center"/>
        </w:pPr>
        <w:r>
          <w:fldChar w:fldCharType="begin"/>
        </w:r>
        <w:r>
          <w:instrText xml:space="preserve"> PAGE   \* MERGEFORMAT </w:instrText>
        </w:r>
        <w:r>
          <w:fldChar w:fldCharType="separate"/>
        </w:r>
        <w:r w:rsidR="00B55AC2">
          <w:rPr>
            <w:noProof/>
          </w:rPr>
          <w:t>xiv</w:t>
        </w:r>
        <w:r>
          <w:rPr>
            <w:noProof/>
          </w:rPr>
          <w:fldChar w:fldCharType="end"/>
        </w:r>
      </w:p>
    </w:sdtContent>
  </w:sdt>
  <w:p w14:paraId="4149DC2C" w14:textId="77777777" w:rsidR="00A56E0A" w:rsidRDefault="00A56E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AE16" w14:textId="77777777" w:rsidR="00A56E0A" w:rsidRDefault="00A56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1B98" w14:textId="77777777" w:rsidR="00A56E0A" w:rsidRDefault="00A56E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695E" w14:textId="77777777" w:rsidR="00A56E0A" w:rsidRDefault="00A56E0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2FCD6" w14:textId="77777777" w:rsidR="00A56E0A" w:rsidRDefault="00A56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290D" w14:textId="77777777" w:rsidR="00EA5D91" w:rsidRDefault="00EA5D91" w:rsidP="00576244">
      <w:pPr>
        <w:spacing w:line="240" w:lineRule="auto"/>
      </w:pPr>
      <w:r>
        <w:separator/>
      </w:r>
    </w:p>
  </w:footnote>
  <w:footnote w:type="continuationSeparator" w:id="0">
    <w:p w14:paraId="3977E3C8" w14:textId="77777777" w:rsidR="00EA5D91" w:rsidRDefault="00EA5D91" w:rsidP="005762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108203"/>
      <w:docPartObj>
        <w:docPartGallery w:val="Page Numbers (Top of Page)"/>
        <w:docPartUnique/>
      </w:docPartObj>
    </w:sdtPr>
    <w:sdtEndPr>
      <w:rPr>
        <w:noProof/>
      </w:rPr>
    </w:sdtEndPr>
    <w:sdtContent>
      <w:p w14:paraId="27095CA6" w14:textId="425AE5A0" w:rsidR="00A56E0A" w:rsidRDefault="00A56E0A">
        <w:pPr>
          <w:pStyle w:val="Header"/>
          <w:jc w:val="right"/>
        </w:pPr>
        <w:r>
          <w:fldChar w:fldCharType="begin"/>
        </w:r>
        <w:r>
          <w:instrText xml:space="preserve"> PAGE   \* MERGEFORMAT </w:instrText>
        </w:r>
        <w:r>
          <w:fldChar w:fldCharType="separate"/>
        </w:r>
        <w:r w:rsidR="00B55AC2">
          <w:rPr>
            <w:noProof/>
          </w:rPr>
          <w:t>19</w:t>
        </w:r>
        <w:r>
          <w:rPr>
            <w:noProof/>
          </w:rPr>
          <w:fldChar w:fldCharType="end"/>
        </w:r>
      </w:p>
    </w:sdtContent>
  </w:sdt>
  <w:p w14:paraId="79938A75" w14:textId="77777777" w:rsidR="00A56E0A" w:rsidRDefault="00A56E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753335"/>
      <w:docPartObj>
        <w:docPartGallery w:val="Page Numbers (Top of Page)"/>
        <w:docPartUnique/>
      </w:docPartObj>
    </w:sdtPr>
    <w:sdtEndPr>
      <w:rPr>
        <w:noProof/>
      </w:rPr>
    </w:sdtEndPr>
    <w:sdtContent>
      <w:p w14:paraId="743B14C9" w14:textId="368A9621" w:rsidR="00A56E0A" w:rsidRDefault="00A56E0A" w:rsidP="00D36EEB">
        <w:pPr>
          <w:pStyle w:val="Header"/>
          <w:tabs>
            <w:tab w:val="left" w:pos="2520"/>
          </w:tabs>
          <w:ind w:left="2520" w:firstLine="3240"/>
        </w:pPr>
        <w:r>
          <w:t xml:space="preserve">                                                    </w:t>
        </w:r>
        <w:r>
          <w:fldChar w:fldCharType="begin"/>
        </w:r>
        <w:r>
          <w:instrText xml:space="preserve"> PAGE   \* MERGEFORMAT </w:instrText>
        </w:r>
        <w:r>
          <w:fldChar w:fldCharType="separate"/>
        </w:r>
        <w:r w:rsidR="00455E96">
          <w:rPr>
            <w:noProof/>
          </w:rPr>
          <w:t>104</w:t>
        </w:r>
        <w:r>
          <w:rPr>
            <w:noProof/>
          </w:rPr>
          <w:fldChar w:fldCharType="end"/>
        </w:r>
        <w:r>
          <w:rPr>
            <w:noProof/>
          </w:rPr>
          <w:ptab w:relativeTo="margin" w:alignment="right" w:leader="none"/>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511"/>
    <w:multiLevelType w:val="hybridMultilevel"/>
    <w:tmpl w:val="D3E8E8F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9BE"/>
    <w:multiLevelType w:val="hybridMultilevel"/>
    <w:tmpl w:val="29CCC35A"/>
    <w:lvl w:ilvl="0" w:tplc="DD861036">
      <w:start w:val="1"/>
      <w:numFmt w:val="upperRoman"/>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B91256"/>
    <w:multiLevelType w:val="hybridMultilevel"/>
    <w:tmpl w:val="2FD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B4264"/>
    <w:multiLevelType w:val="hybridMultilevel"/>
    <w:tmpl w:val="1D1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69AC"/>
    <w:multiLevelType w:val="hybridMultilevel"/>
    <w:tmpl w:val="0EC0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57C5"/>
    <w:multiLevelType w:val="hybridMultilevel"/>
    <w:tmpl w:val="EC620A28"/>
    <w:lvl w:ilvl="0" w:tplc="A20AEB94">
      <w:start w:val="1"/>
      <w:numFmt w:val="decimal"/>
      <w:pStyle w:val="TableofFigur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4B2"/>
    <w:multiLevelType w:val="hybridMultilevel"/>
    <w:tmpl w:val="17FC7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10900"/>
    <w:multiLevelType w:val="hybridMultilevel"/>
    <w:tmpl w:val="442832A6"/>
    <w:lvl w:ilvl="0" w:tplc="75606170">
      <w:start w:val="1"/>
      <w:numFmt w:val="upperRoman"/>
      <w:pStyle w:val="ListofTables"/>
      <w:lvlText w:val="%1."/>
      <w:lvlJc w:val="left"/>
      <w:pPr>
        <w:ind w:left="2160" w:hanging="360"/>
      </w:pPr>
      <w:rPr>
        <w:rFonts w:ascii="Arial" w:hAnsi="Arial" w:hint="default"/>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120F1"/>
    <w:multiLevelType w:val="hybridMultilevel"/>
    <w:tmpl w:val="D2A46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414A7F"/>
    <w:multiLevelType w:val="multilevel"/>
    <w:tmpl w:val="DD86E5DA"/>
    <w:styleLink w:val="Style5"/>
    <w:lvl w:ilvl="0">
      <w:start w:val="1"/>
      <w:numFmt w:val="upperRoman"/>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DA1232"/>
    <w:multiLevelType w:val="multilevel"/>
    <w:tmpl w:val="DD86E5DA"/>
    <w:numStyleLink w:val="Style5"/>
  </w:abstractNum>
  <w:abstractNum w:abstractNumId="11" w15:restartNumberingAfterBreak="0">
    <w:nsid w:val="521649B1"/>
    <w:multiLevelType w:val="hybridMultilevel"/>
    <w:tmpl w:val="CCAC7312"/>
    <w:lvl w:ilvl="0" w:tplc="0C3A7174">
      <w:start w:val="1"/>
      <w:numFmt w:val="decimal"/>
      <w:pStyle w:val="ListofFigures"/>
      <w:lvlText w:val="%1."/>
      <w:lvlJc w:val="left"/>
      <w:pPr>
        <w:ind w:left="36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745AF"/>
    <w:multiLevelType w:val="hybridMultilevel"/>
    <w:tmpl w:val="29CCC35A"/>
    <w:lvl w:ilvl="0" w:tplc="DD861036">
      <w:start w:val="1"/>
      <w:numFmt w:val="upperRoman"/>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1262BA"/>
    <w:multiLevelType w:val="hybridMultilevel"/>
    <w:tmpl w:val="9ED6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161C9A"/>
    <w:multiLevelType w:val="multilevel"/>
    <w:tmpl w:val="20BE5B26"/>
    <w:lvl w:ilvl="0">
      <w:start w:val="2"/>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792"/>
      </w:pPr>
      <w:rPr>
        <w:rFonts w:hint="default"/>
      </w:rPr>
    </w:lvl>
    <w:lvl w:ilvl="3">
      <w:start w:val="1"/>
      <w:numFmt w:val="decimal"/>
      <w:lvlText w:val="%1.%2.%3.%4."/>
      <w:lvlJc w:val="left"/>
      <w:pPr>
        <w:ind w:left="1728" w:hanging="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441569"/>
    <w:multiLevelType w:val="hybridMultilevel"/>
    <w:tmpl w:val="0972A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lvlOverride w:ilvl="0">
      <w:lvl w:ilvl="0">
        <w:start w:val="2"/>
        <w:numFmt w:val="decimal"/>
        <w:lvlText w:val="%1.0"/>
        <w:lvlJc w:val="left"/>
        <w:pPr>
          <w:ind w:left="720" w:hanging="72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
    <w:abstractNumId w:val="13"/>
  </w:num>
  <w:num w:numId="3">
    <w:abstractNumId w:val="3"/>
  </w:num>
  <w:num w:numId="4">
    <w:abstractNumId w:val="8"/>
  </w:num>
  <w:num w:numId="5">
    <w:abstractNumId w:val="4"/>
  </w:num>
  <w:num w:numId="6">
    <w:abstractNumId w:val="15"/>
  </w:num>
  <w:num w:numId="7">
    <w:abstractNumId w:val="2"/>
  </w:num>
  <w:num w:numId="8">
    <w:abstractNumId w:val="0"/>
  </w:num>
  <w:num w:numId="9">
    <w:abstractNumId w:val="6"/>
  </w:num>
  <w:num w:numId="10">
    <w:abstractNumId w:val="9"/>
  </w:num>
  <w:num w:numId="11">
    <w:abstractNumId w:val="10"/>
  </w:num>
  <w:num w:numId="12">
    <w:abstractNumId w:val="12"/>
  </w:num>
  <w:num w:numId="13">
    <w:abstractNumId w:val="1"/>
  </w:num>
  <w:num w:numId="14">
    <w:abstractNumId w:val="7"/>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88"/>
    <w:rsid w:val="00000B6A"/>
    <w:rsid w:val="00002610"/>
    <w:rsid w:val="00004213"/>
    <w:rsid w:val="000079CA"/>
    <w:rsid w:val="000138E1"/>
    <w:rsid w:val="00015753"/>
    <w:rsid w:val="00020FBF"/>
    <w:rsid w:val="0002760F"/>
    <w:rsid w:val="00031F96"/>
    <w:rsid w:val="0003380F"/>
    <w:rsid w:val="000342D8"/>
    <w:rsid w:val="00034640"/>
    <w:rsid w:val="00043237"/>
    <w:rsid w:val="00066EAA"/>
    <w:rsid w:val="0007375A"/>
    <w:rsid w:val="00074B8D"/>
    <w:rsid w:val="00077D08"/>
    <w:rsid w:val="00080E78"/>
    <w:rsid w:val="00084D85"/>
    <w:rsid w:val="0008691F"/>
    <w:rsid w:val="00086B0C"/>
    <w:rsid w:val="000872BD"/>
    <w:rsid w:val="000B6BCC"/>
    <w:rsid w:val="000B72B7"/>
    <w:rsid w:val="000C132A"/>
    <w:rsid w:val="000D1458"/>
    <w:rsid w:val="000D17B6"/>
    <w:rsid w:val="000D53F1"/>
    <w:rsid w:val="000E0039"/>
    <w:rsid w:val="000E1166"/>
    <w:rsid w:val="000E15AF"/>
    <w:rsid w:val="000E5948"/>
    <w:rsid w:val="000F299D"/>
    <w:rsid w:val="000F38E5"/>
    <w:rsid w:val="000F64B1"/>
    <w:rsid w:val="00106DE7"/>
    <w:rsid w:val="00110C66"/>
    <w:rsid w:val="00112BC7"/>
    <w:rsid w:val="00116443"/>
    <w:rsid w:val="00122DB0"/>
    <w:rsid w:val="00140DBB"/>
    <w:rsid w:val="00141D8D"/>
    <w:rsid w:val="001444C9"/>
    <w:rsid w:val="00145F27"/>
    <w:rsid w:val="00155ED6"/>
    <w:rsid w:val="001613D2"/>
    <w:rsid w:val="001637B3"/>
    <w:rsid w:val="00165E80"/>
    <w:rsid w:val="001744F5"/>
    <w:rsid w:val="00176863"/>
    <w:rsid w:val="00180648"/>
    <w:rsid w:val="00184952"/>
    <w:rsid w:val="00184FF3"/>
    <w:rsid w:val="00194117"/>
    <w:rsid w:val="001A1097"/>
    <w:rsid w:val="001B5584"/>
    <w:rsid w:val="001B56C8"/>
    <w:rsid w:val="001B5CE5"/>
    <w:rsid w:val="001D4E20"/>
    <w:rsid w:val="001E0543"/>
    <w:rsid w:val="001E4557"/>
    <w:rsid w:val="001E6543"/>
    <w:rsid w:val="001F0C79"/>
    <w:rsid w:val="001F5D90"/>
    <w:rsid w:val="001F6707"/>
    <w:rsid w:val="002116F6"/>
    <w:rsid w:val="00211A22"/>
    <w:rsid w:val="002147BB"/>
    <w:rsid w:val="002174C0"/>
    <w:rsid w:val="00220B9F"/>
    <w:rsid w:val="00223F59"/>
    <w:rsid w:val="00234258"/>
    <w:rsid w:val="00236042"/>
    <w:rsid w:val="00244D4C"/>
    <w:rsid w:val="0025098B"/>
    <w:rsid w:val="002509E9"/>
    <w:rsid w:val="00262727"/>
    <w:rsid w:val="00272465"/>
    <w:rsid w:val="00273AB5"/>
    <w:rsid w:val="00275977"/>
    <w:rsid w:val="002835C6"/>
    <w:rsid w:val="002A1312"/>
    <w:rsid w:val="002A2ED5"/>
    <w:rsid w:val="002A5B94"/>
    <w:rsid w:val="002A6A72"/>
    <w:rsid w:val="002A6E5D"/>
    <w:rsid w:val="002A7D99"/>
    <w:rsid w:val="002B0AF0"/>
    <w:rsid w:val="002B2951"/>
    <w:rsid w:val="002B65B9"/>
    <w:rsid w:val="002C0F95"/>
    <w:rsid w:val="002C7160"/>
    <w:rsid w:val="002D5E55"/>
    <w:rsid w:val="002E0AC8"/>
    <w:rsid w:val="002E4A9B"/>
    <w:rsid w:val="002E7544"/>
    <w:rsid w:val="003025FC"/>
    <w:rsid w:val="00303748"/>
    <w:rsid w:val="00305FF0"/>
    <w:rsid w:val="00312CC8"/>
    <w:rsid w:val="00337452"/>
    <w:rsid w:val="0034061E"/>
    <w:rsid w:val="0034168A"/>
    <w:rsid w:val="0034626A"/>
    <w:rsid w:val="0035080D"/>
    <w:rsid w:val="00352D82"/>
    <w:rsid w:val="003570FF"/>
    <w:rsid w:val="00364413"/>
    <w:rsid w:val="003753A7"/>
    <w:rsid w:val="00376B95"/>
    <w:rsid w:val="003810E8"/>
    <w:rsid w:val="00385BDB"/>
    <w:rsid w:val="00391890"/>
    <w:rsid w:val="003A07F1"/>
    <w:rsid w:val="003A7558"/>
    <w:rsid w:val="003B16AA"/>
    <w:rsid w:val="003B4760"/>
    <w:rsid w:val="003B7955"/>
    <w:rsid w:val="003C1890"/>
    <w:rsid w:val="003C667C"/>
    <w:rsid w:val="003E2940"/>
    <w:rsid w:val="003E7184"/>
    <w:rsid w:val="003F6093"/>
    <w:rsid w:val="003F72E5"/>
    <w:rsid w:val="003F7BB8"/>
    <w:rsid w:val="00402C46"/>
    <w:rsid w:val="00410061"/>
    <w:rsid w:val="0041297F"/>
    <w:rsid w:val="00425E4F"/>
    <w:rsid w:val="00427FF8"/>
    <w:rsid w:val="00434675"/>
    <w:rsid w:val="004414D3"/>
    <w:rsid w:val="00441F74"/>
    <w:rsid w:val="00455E96"/>
    <w:rsid w:val="00466BE1"/>
    <w:rsid w:val="0047475A"/>
    <w:rsid w:val="00490C21"/>
    <w:rsid w:val="00492435"/>
    <w:rsid w:val="00496DE6"/>
    <w:rsid w:val="004A07E1"/>
    <w:rsid w:val="004A3C4D"/>
    <w:rsid w:val="004A61B6"/>
    <w:rsid w:val="004A6502"/>
    <w:rsid w:val="004C1D74"/>
    <w:rsid w:val="004C5349"/>
    <w:rsid w:val="004D7EE8"/>
    <w:rsid w:val="004E39BC"/>
    <w:rsid w:val="004F15A3"/>
    <w:rsid w:val="00502CB8"/>
    <w:rsid w:val="0050333C"/>
    <w:rsid w:val="00511551"/>
    <w:rsid w:val="00514C28"/>
    <w:rsid w:val="005153F6"/>
    <w:rsid w:val="00520436"/>
    <w:rsid w:val="00521DBE"/>
    <w:rsid w:val="00530CD0"/>
    <w:rsid w:val="0053115E"/>
    <w:rsid w:val="005318B5"/>
    <w:rsid w:val="0053414C"/>
    <w:rsid w:val="00541979"/>
    <w:rsid w:val="00546FB2"/>
    <w:rsid w:val="00550BE4"/>
    <w:rsid w:val="00551762"/>
    <w:rsid w:val="0056032E"/>
    <w:rsid w:val="00561245"/>
    <w:rsid w:val="00561E08"/>
    <w:rsid w:val="00562236"/>
    <w:rsid w:val="00567980"/>
    <w:rsid w:val="00572302"/>
    <w:rsid w:val="00576244"/>
    <w:rsid w:val="005777A0"/>
    <w:rsid w:val="00581706"/>
    <w:rsid w:val="00591414"/>
    <w:rsid w:val="00592035"/>
    <w:rsid w:val="005A0401"/>
    <w:rsid w:val="005A2430"/>
    <w:rsid w:val="005A38E0"/>
    <w:rsid w:val="005A609C"/>
    <w:rsid w:val="005A6423"/>
    <w:rsid w:val="005A7C92"/>
    <w:rsid w:val="005B0134"/>
    <w:rsid w:val="005B4EE0"/>
    <w:rsid w:val="005B5369"/>
    <w:rsid w:val="005B586E"/>
    <w:rsid w:val="005C0008"/>
    <w:rsid w:val="005C2CE3"/>
    <w:rsid w:val="005C6A02"/>
    <w:rsid w:val="005D0862"/>
    <w:rsid w:val="005E37BA"/>
    <w:rsid w:val="006034E2"/>
    <w:rsid w:val="00621D16"/>
    <w:rsid w:val="00622C6A"/>
    <w:rsid w:val="006303D2"/>
    <w:rsid w:val="006348C0"/>
    <w:rsid w:val="006473EB"/>
    <w:rsid w:val="006619A4"/>
    <w:rsid w:val="00661DA8"/>
    <w:rsid w:val="006660E6"/>
    <w:rsid w:val="0067236F"/>
    <w:rsid w:val="00692C20"/>
    <w:rsid w:val="00696B49"/>
    <w:rsid w:val="006A12F6"/>
    <w:rsid w:val="006A5643"/>
    <w:rsid w:val="006B391F"/>
    <w:rsid w:val="006B444E"/>
    <w:rsid w:val="006C0CF8"/>
    <w:rsid w:val="006C3829"/>
    <w:rsid w:val="006D307E"/>
    <w:rsid w:val="006E0774"/>
    <w:rsid w:val="006E3853"/>
    <w:rsid w:val="006F0FEB"/>
    <w:rsid w:val="006F11D0"/>
    <w:rsid w:val="006F1D5E"/>
    <w:rsid w:val="006F36B5"/>
    <w:rsid w:val="0070364F"/>
    <w:rsid w:val="00705989"/>
    <w:rsid w:val="007107C5"/>
    <w:rsid w:val="0072157D"/>
    <w:rsid w:val="00725D15"/>
    <w:rsid w:val="0073154F"/>
    <w:rsid w:val="00740272"/>
    <w:rsid w:val="007438F8"/>
    <w:rsid w:val="00744573"/>
    <w:rsid w:val="00753A01"/>
    <w:rsid w:val="00755876"/>
    <w:rsid w:val="00772F0D"/>
    <w:rsid w:val="00773BB0"/>
    <w:rsid w:val="007748F2"/>
    <w:rsid w:val="00775204"/>
    <w:rsid w:val="00775DE7"/>
    <w:rsid w:val="00776AEE"/>
    <w:rsid w:val="0078225A"/>
    <w:rsid w:val="00782E92"/>
    <w:rsid w:val="007B0916"/>
    <w:rsid w:val="007B40C2"/>
    <w:rsid w:val="007B74F7"/>
    <w:rsid w:val="007B7C9F"/>
    <w:rsid w:val="007C0E0C"/>
    <w:rsid w:val="007C1757"/>
    <w:rsid w:val="007C22FF"/>
    <w:rsid w:val="007C2448"/>
    <w:rsid w:val="007C6DC0"/>
    <w:rsid w:val="007D2FB4"/>
    <w:rsid w:val="007D6B74"/>
    <w:rsid w:val="007E4A2D"/>
    <w:rsid w:val="00801322"/>
    <w:rsid w:val="00806C60"/>
    <w:rsid w:val="0080773F"/>
    <w:rsid w:val="00831FF1"/>
    <w:rsid w:val="008351ED"/>
    <w:rsid w:val="0083700C"/>
    <w:rsid w:val="00840C8E"/>
    <w:rsid w:val="008516CE"/>
    <w:rsid w:val="00866745"/>
    <w:rsid w:val="00867940"/>
    <w:rsid w:val="008816EF"/>
    <w:rsid w:val="008858EA"/>
    <w:rsid w:val="00886249"/>
    <w:rsid w:val="00891574"/>
    <w:rsid w:val="00894AD6"/>
    <w:rsid w:val="00895270"/>
    <w:rsid w:val="008A1035"/>
    <w:rsid w:val="008A4E29"/>
    <w:rsid w:val="008A72DA"/>
    <w:rsid w:val="008B1200"/>
    <w:rsid w:val="008B31E4"/>
    <w:rsid w:val="008B4DA6"/>
    <w:rsid w:val="008C35E3"/>
    <w:rsid w:val="008C40DE"/>
    <w:rsid w:val="008C4BDA"/>
    <w:rsid w:val="00907227"/>
    <w:rsid w:val="009130BD"/>
    <w:rsid w:val="0091348B"/>
    <w:rsid w:val="00917FE2"/>
    <w:rsid w:val="00921A1D"/>
    <w:rsid w:val="0093023C"/>
    <w:rsid w:val="00930472"/>
    <w:rsid w:val="00932419"/>
    <w:rsid w:val="00937888"/>
    <w:rsid w:val="009417D4"/>
    <w:rsid w:val="009418B5"/>
    <w:rsid w:val="009468EC"/>
    <w:rsid w:val="00946EAB"/>
    <w:rsid w:val="00947091"/>
    <w:rsid w:val="00947D52"/>
    <w:rsid w:val="00953FB6"/>
    <w:rsid w:val="0095598B"/>
    <w:rsid w:val="00961AD2"/>
    <w:rsid w:val="00972C0F"/>
    <w:rsid w:val="00976038"/>
    <w:rsid w:val="00977234"/>
    <w:rsid w:val="009854BB"/>
    <w:rsid w:val="009860CD"/>
    <w:rsid w:val="009A1031"/>
    <w:rsid w:val="009B19D1"/>
    <w:rsid w:val="009B38FE"/>
    <w:rsid w:val="009B5669"/>
    <w:rsid w:val="009B7CED"/>
    <w:rsid w:val="009C117A"/>
    <w:rsid w:val="009C6575"/>
    <w:rsid w:val="009D41E7"/>
    <w:rsid w:val="009D46AD"/>
    <w:rsid w:val="009D6D8A"/>
    <w:rsid w:val="009E24FD"/>
    <w:rsid w:val="009E38D6"/>
    <w:rsid w:val="009E60A7"/>
    <w:rsid w:val="009F532C"/>
    <w:rsid w:val="00A02078"/>
    <w:rsid w:val="00A11521"/>
    <w:rsid w:val="00A21985"/>
    <w:rsid w:val="00A22226"/>
    <w:rsid w:val="00A32EFB"/>
    <w:rsid w:val="00A35470"/>
    <w:rsid w:val="00A45E97"/>
    <w:rsid w:val="00A515F8"/>
    <w:rsid w:val="00A53AA3"/>
    <w:rsid w:val="00A56E0A"/>
    <w:rsid w:val="00A61543"/>
    <w:rsid w:val="00A64693"/>
    <w:rsid w:val="00A71263"/>
    <w:rsid w:val="00A72013"/>
    <w:rsid w:val="00A92779"/>
    <w:rsid w:val="00A95C9A"/>
    <w:rsid w:val="00A96CB3"/>
    <w:rsid w:val="00A97705"/>
    <w:rsid w:val="00AA01B1"/>
    <w:rsid w:val="00AA0EB2"/>
    <w:rsid w:val="00AA7377"/>
    <w:rsid w:val="00AB0F6E"/>
    <w:rsid w:val="00AB1D3B"/>
    <w:rsid w:val="00AB51DC"/>
    <w:rsid w:val="00AB5A76"/>
    <w:rsid w:val="00AC4B3C"/>
    <w:rsid w:val="00AD58C9"/>
    <w:rsid w:val="00AD76C0"/>
    <w:rsid w:val="00AE2269"/>
    <w:rsid w:val="00AE7E13"/>
    <w:rsid w:val="00B015E6"/>
    <w:rsid w:val="00B024DB"/>
    <w:rsid w:val="00B0324A"/>
    <w:rsid w:val="00B05FE3"/>
    <w:rsid w:val="00B10696"/>
    <w:rsid w:val="00B2256A"/>
    <w:rsid w:val="00B42587"/>
    <w:rsid w:val="00B43593"/>
    <w:rsid w:val="00B44814"/>
    <w:rsid w:val="00B479D3"/>
    <w:rsid w:val="00B50FDC"/>
    <w:rsid w:val="00B5489E"/>
    <w:rsid w:val="00B55AC2"/>
    <w:rsid w:val="00B55F7C"/>
    <w:rsid w:val="00B609D9"/>
    <w:rsid w:val="00B648CE"/>
    <w:rsid w:val="00B66040"/>
    <w:rsid w:val="00B73AFB"/>
    <w:rsid w:val="00B856C9"/>
    <w:rsid w:val="00B91C0A"/>
    <w:rsid w:val="00B96440"/>
    <w:rsid w:val="00BA343E"/>
    <w:rsid w:val="00BA39EE"/>
    <w:rsid w:val="00BB20DB"/>
    <w:rsid w:val="00BB5434"/>
    <w:rsid w:val="00BD660F"/>
    <w:rsid w:val="00BE1181"/>
    <w:rsid w:val="00BE2904"/>
    <w:rsid w:val="00BE4B0F"/>
    <w:rsid w:val="00BF412B"/>
    <w:rsid w:val="00BF50C9"/>
    <w:rsid w:val="00BF50D9"/>
    <w:rsid w:val="00BF607E"/>
    <w:rsid w:val="00C02916"/>
    <w:rsid w:val="00C153AF"/>
    <w:rsid w:val="00C20E2C"/>
    <w:rsid w:val="00C23CFA"/>
    <w:rsid w:val="00C26A79"/>
    <w:rsid w:val="00C35635"/>
    <w:rsid w:val="00C361DD"/>
    <w:rsid w:val="00C41A45"/>
    <w:rsid w:val="00C46250"/>
    <w:rsid w:val="00C579C7"/>
    <w:rsid w:val="00C62EA4"/>
    <w:rsid w:val="00C73C47"/>
    <w:rsid w:val="00C77F45"/>
    <w:rsid w:val="00C873BF"/>
    <w:rsid w:val="00C9738B"/>
    <w:rsid w:val="00CA13B9"/>
    <w:rsid w:val="00CA7857"/>
    <w:rsid w:val="00CB03B8"/>
    <w:rsid w:val="00CB562D"/>
    <w:rsid w:val="00CB7C35"/>
    <w:rsid w:val="00CC576E"/>
    <w:rsid w:val="00CD0B8E"/>
    <w:rsid w:val="00CD7604"/>
    <w:rsid w:val="00CE00F8"/>
    <w:rsid w:val="00CE542C"/>
    <w:rsid w:val="00CE7BDE"/>
    <w:rsid w:val="00CF214D"/>
    <w:rsid w:val="00CF4179"/>
    <w:rsid w:val="00CF47EB"/>
    <w:rsid w:val="00D02BAD"/>
    <w:rsid w:val="00D200E8"/>
    <w:rsid w:val="00D243BA"/>
    <w:rsid w:val="00D34A21"/>
    <w:rsid w:val="00D36EEB"/>
    <w:rsid w:val="00D44C3D"/>
    <w:rsid w:val="00D50BC0"/>
    <w:rsid w:val="00D51FEC"/>
    <w:rsid w:val="00D575C3"/>
    <w:rsid w:val="00D62609"/>
    <w:rsid w:val="00D62772"/>
    <w:rsid w:val="00D6710D"/>
    <w:rsid w:val="00D739E7"/>
    <w:rsid w:val="00D775E4"/>
    <w:rsid w:val="00D80070"/>
    <w:rsid w:val="00D8737E"/>
    <w:rsid w:val="00D904FC"/>
    <w:rsid w:val="00D90623"/>
    <w:rsid w:val="00D942F8"/>
    <w:rsid w:val="00D967DE"/>
    <w:rsid w:val="00D977F9"/>
    <w:rsid w:val="00DA2DA0"/>
    <w:rsid w:val="00DA3C24"/>
    <w:rsid w:val="00DA6420"/>
    <w:rsid w:val="00DB1A50"/>
    <w:rsid w:val="00DB32BA"/>
    <w:rsid w:val="00DB5133"/>
    <w:rsid w:val="00DC5309"/>
    <w:rsid w:val="00DC63B3"/>
    <w:rsid w:val="00DE1214"/>
    <w:rsid w:val="00DE6983"/>
    <w:rsid w:val="00DE7FD3"/>
    <w:rsid w:val="00DF27BB"/>
    <w:rsid w:val="00DF3833"/>
    <w:rsid w:val="00DF4C41"/>
    <w:rsid w:val="00E002DC"/>
    <w:rsid w:val="00E05BB4"/>
    <w:rsid w:val="00E204C2"/>
    <w:rsid w:val="00E22D56"/>
    <w:rsid w:val="00E23927"/>
    <w:rsid w:val="00E23F2E"/>
    <w:rsid w:val="00E308DA"/>
    <w:rsid w:val="00E347F3"/>
    <w:rsid w:val="00E406A9"/>
    <w:rsid w:val="00E4422E"/>
    <w:rsid w:val="00E504E0"/>
    <w:rsid w:val="00E54911"/>
    <w:rsid w:val="00E71636"/>
    <w:rsid w:val="00E754F1"/>
    <w:rsid w:val="00E75B3D"/>
    <w:rsid w:val="00E82F4D"/>
    <w:rsid w:val="00E83E28"/>
    <w:rsid w:val="00E841BE"/>
    <w:rsid w:val="00E91054"/>
    <w:rsid w:val="00E9363E"/>
    <w:rsid w:val="00E962D1"/>
    <w:rsid w:val="00E97792"/>
    <w:rsid w:val="00EA1C44"/>
    <w:rsid w:val="00EA3B06"/>
    <w:rsid w:val="00EA4C3D"/>
    <w:rsid w:val="00EA5D91"/>
    <w:rsid w:val="00EC127A"/>
    <w:rsid w:val="00EC1CAA"/>
    <w:rsid w:val="00EC3644"/>
    <w:rsid w:val="00EC41B9"/>
    <w:rsid w:val="00ED0D20"/>
    <w:rsid w:val="00ED5457"/>
    <w:rsid w:val="00ED58E8"/>
    <w:rsid w:val="00EE6144"/>
    <w:rsid w:val="00F026A8"/>
    <w:rsid w:val="00F07643"/>
    <w:rsid w:val="00F1421B"/>
    <w:rsid w:val="00F16216"/>
    <w:rsid w:val="00F404F6"/>
    <w:rsid w:val="00F446F9"/>
    <w:rsid w:val="00F45B45"/>
    <w:rsid w:val="00F8008F"/>
    <w:rsid w:val="00F83EF1"/>
    <w:rsid w:val="00F872C3"/>
    <w:rsid w:val="00F90B65"/>
    <w:rsid w:val="00FA30FE"/>
    <w:rsid w:val="00FB7C04"/>
    <w:rsid w:val="00FB7DB8"/>
    <w:rsid w:val="00FC041D"/>
    <w:rsid w:val="00FC6038"/>
    <w:rsid w:val="00FC6AAA"/>
    <w:rsid w:val="00FC7B75"/>
    <w:rsid w:val="00FE531B"/>
    <w:rsid w:val="00FE6421"/>
    <w:rsid w:val="00FE79DF"/>
    <w:rsid w:val="00FF6454"/>
    <w:rsid w:val="00FF6D5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57B0A"/>
  <w15:chartTrackingRefBased/>
  <w15:docId w15:val="{4B1BC41A-BAF7-4671-9034-4B5CF025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48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60"/>
    <w:pPr>
      <w:widowControl w:val="0"/>
      <w:snapToGrid w:val="0"/>
      <w:jc w:val="left"/>
    </w:pPr>
    <w:rPr>
      <w:rFonts w:ascii="Arial" w:eastAsia="Times New Roman" w:hAnsi="Arial" w:cs="Times New Roman"/>
      <w:szCs w:val="20"/>
    </w:rPr>
  </w:style>
  <w:style w:type="paragraph" w:styleId="Heading1">
    <w:name w:val="heading 1"/>
    <w:basedOn w:val="Normal"/>
    <w:next w:val="Normal"/>
    <w:link w:val="Heading1Char"/>
    <w:uiPriority w:val="9"/>
    <w:qFormat/>
    <w:rsid w:val="004C53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60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937888"/>
    <w:pPr>
      <w:tabs>
        <w:tab w:val="left" w:pos="720"/>
      </w:tabs>
      <w:spacing w:before="72"/>
      <w:ind w:left="720" w:hanging="630"/>
      <w:jc w:val="center"/>
    </w:pPr>
    <w:rPr>
      <w:b/>
      <w:spacing w:val="3"/>
      <w:szCs w:val="22"/>
    </w:rPr>
  </w:style>
  <w:style w:type="character" w:customStyle="1" w:styleId="TitleChar">
    <w:name w:val="Title Char"/>
    <w:basedOn w:val="DefaultParagraphFont"/>
    <w:link w:val="Title"/>
    <w:uiPriority w:val="99"/>
    <w:rsid w:val="00937888"/>
    <w:rPr>
      <w:rFonts w:ascii="Arial" w:eastAsia="Times New Roman" w:hAnsi="Arial" w:cs="Times New Roman"/>
      <w:b/>
      <w:spacing w:val="3"/>
    </w:rPr>
  </w:style>
  <w:style w:type="paragraph" w:customStyle="1" w:styleId="SingleSpace">
    <w:name w:val="Single Space"/>
    <w:basedOn w:val="Normal"/>
    <w:link w:val="SingleSpaceChar"/>
    <w:qFormat/>
    <w:rsid w:val="00937888"/>
    <w:pPr>
      <w:tabs>
        <w:tab w:val="center" w:pos="4824"/>
      </w:tabs>
      <w:spacing w:line="240" w:lineRule="auto"/>
      <w:jc w:val="center"/>
      <w:outlineLvl w:val="0"/>
    </w:pPr>
    <w:rPr>
      <w:rFonts w:cs="Arial"/>
      <w:szCs w:val="22"/>
    </w:rPr>
  </w:style>
  <w:style w:type="character" w:customStyle="1" w:styleId="SingleSpaceChar">
    <w:name w:val="Single Space Char"/>
    <w:basedOn w:val="DefaultParagraphFont"/>
    <w:link w:val="SingleSpace"/>
    <w:rsid w:val="00937888"/>
    <w:rPr>
      <w:rFonts w:ascii="Arial" w:eastAsia="Times New Roman" w:hAnsi="Arial" w:cs="Arial"/>
    </w:rPr>
  </w:style>
  <w:style w:type="table" w:styleId="TableGrid">
    <w:name w:val="Table Grid"/>
    <w:basedOn w:val="TableNormal"/>
    <w:uiPriority w:val="39"/>
    <w:rsid w:val="0053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534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C5349"/>
    <w:pPr>
      <w:widowControl/>
      <w:snapToGrid/>
      <w:spacing w:line="259" w:lineRule="auto"/>
      <w:outlineLvl w:val="9"/>
    </w:pPr>
  </w:style>
  <w:style w:type="paragraph" w:styleId="TOC2">
    <w:name w:val="toc 2"/>
    <w:basedOn w:val="Normal"/>
    <w:next w:val="Normal"/>
    <w:autoRedefine/>
    <w:uiPriority w:val="39"/>
    <w:unhideWhenUsed/>
    <w:rsid w:val="00FE79DF"/>
    <w:pPr>
      <w:widowControl/>
      <w:snapToGrid/>
      <w:spacing w:after="100" w:line="259" w:lineRule="auto"/>
      <w:ind w:left="220"/>
    </w:pPr>
    <w:rPr>
      <w:rFonts w:eastAsiaTheme="minorEastAsia"/>
      <w:szCs w:val="22"/>
    </w:rPr>
  </w:style>
  <w:style w:type="paragraph" w:styleId="TOC1">
    <w:name w:val="toc 1"/>
    <w:basedOn w:val="Normal"/>
    <w:next w:val="Normal"/>
    <w:autoRedefine/>
    <w:uiPriority w:val="39"/>
    <w:unhideWhenUsed/>
    <w:rsid w:val="00831FF1"/>
    <w:pPr>
      <w:widowControl/>
      <w:snapToGrid/>
      <w:spacing w:after="100" w:line="259" w:lineRule="auto"/>
    </w:pPr>
    <w:rPr>
      <w:rFonts w:eastAsiaTheme="minorEastAsia"/>
      <w:szCs w:val="22"/>
    </w:rPr>
  </w:style>
  <w:style w:type="paragraph" w:styleId="TOC3">
    <w:name w:val="toc 3"/>
    <w:basedOn w:val="Normal"/>
    <w:next w:val="Normal"/>
    <w:autoRedefine/>
    <w:uiPriority w:val="39"/>
    <w:unhideWhenUsed/>
    <w:rsid w:val="00FE79DF"/>
    <w:pPr>
      <w:widowControl/>
      <w:snapToGrid/>
      <w:spacing w:after="100" w:line="259" w:lineRule="auto"/>
      <w:ind w:left="440"/>
    </w:pPr>
    <w:rPr>
      <w:rFonts w:eastAsiaTheme="minorEastAsia"/>
      <w:szCs w:val="22"/>
    </w:rPr>
  </w:style>
  <w:style w:type="character" w:styleId="Hyperlink">
    <w:name w:val="Hyperlink"/>
    <w:basedOn w:val="DefaultParagraphFont"/>
    <w:uiPriority w:val="99"/>
    <w:unhideWhenUsed/>
    <w:rsid w:val="00755876"/>
    <w:rPr>
      <w:color w:val="0563C1" w:themeColor="hyperlink"/>
      <w:u w:val="single"/>
    </w:rPr>
  </w:style>
  <w:style w:type="character" w:customStyle="1" w:styleId="Heading2Char">
    <w:name w:val="Heading 2 Char"/>
    <w:basedOn w:val="DefaultParagraphFont"/>
    <w:link w:val="Heading2"/>
    <w:uiPriority w:val="9"/>
    <w:rsid w:val="00BD660F"/>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DB1A50"/>
    <w:pPr>
      <w:spacing w:line="360" w:lineRule="auto"/>
    </w:pPr>
    <w:rPr>
      <w:rFonts w:ascii="Arial" w:hAnsi="Arial" w:cs="Arial"/>
      <w:color w:val="auto"/>
      <w:sz w:val="22"/>
      <w:szCs w:val="22"/>
    </w:rPr>
  </w:style>
  <w:style w:type="paragraph" w:customStyle="1" w:styleId="Style2">
    <w:name w:val="Style2"/>
    <w:basedOn w:val="Style1"/>
    <w:link w:val="Style2Char"/>
    <w:qFormat/>
    <w:rsid w:val="004A6502"/>
    <w:rPr>
      <w:u w:val="single"/>
    </w:rPr>
  </w:style>
  <w:style w:type="character" w:customStyle="1" w:styleId="Style1Char">
    <w:name w:val="Style1 Char"/>
    <w:basedOn w:val="Heading1Char"/>
    <w:link w:val="Style1"/>
    <w:rsid w:val="00DB1A50"/>
    <w:rPr>
      <w:rFonts w:ascii="Arial" w:eastAsiaTheme="majorEastAsia" w:hAnsi="Arial" w:cs="Arial"/>
      <w:color w:val="2E74B5" w:themeColor="accent1" w:themeShade="BF"/>
      <w:sz w:val="32"/>
      <w:szCs w:val="32"/>
    </w:rPr>
  </w:style>
  <w:style w:type="paragraph" w:customStyle="1" w:styleId="Style3">
    <w:name w:val="Style3"/>
    <w:link w:val="Style3Char"/>
    <w:qFormat/>
    <w:rsid w:val="00DB1A50"/>
    <w:pPr>
      <w:jc w:val="left"/>
    </w:pPr>
    <w:rPr>
      <w:rFonts w:ascii="Arial" w:eastAsiaTheme="majorEastAsia" w:hAnsi="Arial" w:cs="Arial"/>
    </w:rPr>
  </w:style>
  <w:style w:type="character" w:customStyle="1" w:styleId="Style2Char">
    <w:name w:val="Style2 Char"/>
    <w:basedOn w:val="Style1Char"/>
    <w:link w:val="Style2"/>
    <w:rsid w:val="004A6502"/>
    <w:rPr>
      <w:rFonts w:ascii="Arial" w:eastAsiaTheme="majorEastAsia" w:hAnsi="Arial" w:cs="Arial"/>
      <w:color w:val="2E74B5" w:themeColor="accent1" w:themeShade="BF"/>
      <w:sz w:val="32"/>
      <w:szCs w:val="32"/>
      <w:u w:val="single"/>
    </w:rPr>
  </w:style>
  <w:style w:type="paragraph" w:customStyle="1" w:styleId="Style4">
    <w:name w:val="Style4"/>
    <w:qFormat/>
    <w:rsid w:val="004A6502"/>
    <w:rPr>
      <w:rFonts w:ascii="Arial" w:eastAsiaTheme="majorEastAsia" w:hAnsi="Arial" w:cs="Arial"/>
    </w:rPr>
  </w:style>
  <w:style w:type="character" w:customStyle="1" w:styleId="Style3Char">
    <w:name w:val="Style3 Char"/>
    <w:basedOn w:val="Style2Char"/>
    <w:link w:val="Style3"/>
    <w:rsid w:val="00DB1A50"/>
    <w:rPr>
      <w:rFonts w:ascii="Arial" w:eastAsiaTheme="majorEastAsia" w:hAnsi="Arial" w:cs="Arial"/>
      <w:color w:val="2E74B5" w:themeColor="accent1" w:themeShade="BF"/>
      <w:sz w:val="32"/>
      <w:szCs w:val="32"/>
      <w:u w:val="single"/>
    </w:rPr>
  </w:style>
  <w:style w:type="paragraph" w:styleId="ListParagraph">
    <w:name w:val="List Paragraph"/>
    <w:basedOn w:val="Normal"/>
    <w:uiPriority w:val="34"/>
    <w:qFormat/>
    <w:rsid w:val="00576244"/>
    <w:pPr>
      <w:ind w:left="720"/>
      <w:contextualSpacing/>
    </w:pPr>
  </w:style>
  <w:style w:type="paragraph" w:styleId="Bibliography">
    <w:name w:val="Bibliography"/>
    <w:basedOn w:val="Normal"/>
    <w:next w:val="Normal"/>
    <w:uiPriority w:val="37"/>
    <w:unhideWhenUsed/>
    <w:rsid w:val="00576244"/>
    <w:pPr>
      <w:tabs>
        <w:tab w:val="left" w:pos="624"/>
      </w:tabs>
      <w:spacing w:after="240" w:line="240" w:lineRule="auto"/>
      <w:ind w:left="624" w:hanging="624"/>
    </w:pPr>
  </w:style>
  <w:style w:type="paragraph" w:styleId="Header">
    <w:name w:val="header"/>
    <w:basedOn w:val="Normal"/>
    <w:link w:val="HeaderChar"/>
    <w:uiPriority w:val="99"/>
    <w:unhideWhenUsed/>
    <w:rsid w:val="00576244"/>
    <w:pPr>
      <w:tabs>
        <w:tab w:val="center" w:pos="4680"/>
        <w:tab w:val="right" w:pos="9360"/>
      </w:tabs>
      <w:spacing w:line="240" w:lineRule="auto"/>
    </w:pPr>
  </w:style>
  <w:style w:type="character" w:customStyle="1" w:styleId="HeaderChar">
    <w:name w:val="Header Char"/>
    <w:basedOn w:val="DefaultParagraphFont"/>
    <w:link w:val="Header"/>
    <w:uiPriority w:val="99"/>
    <w:rsid w:val="00576244"/>
    <w:rPr>
      <w:rFonts w:ascii="Arial" w:eastAsia="Times New Roman" w:hAnsi="Arial" w:cs="Times New Roman"/>
      <w:szCs w:val="20"/>
    </w:rPr>
  </w:style>
  <w:style w:type="paragraph" w:styleId="Footer">
    <w:name w:val="footer"/>
    <w:basedOn w:val="Normal"/>
    <w:link w:val="FooterChar"/>
    <w:uiPriority w:val="99"/>
    <w:unhideWhenUsed/>
    <w:rsid w:val="00576244"/>
    <w:pPr>
      <w:tabs>
        <w:tab w:val="center" w:pos="4680"/>
        <w:tab w:val="right" w:pos="9360"/>
      </w:tabs>
      <w:spacing w:line="240" w:lineRule="auto"/>
    </w:pPr>
  </w:style>
  <w:style w:type="character" w:customStyle="1" w:styleId="FooterChar">
    <w:name w:val="Footer Char"/>
    <w:basedOn w:val="DefaultParagraphFont"/>
    <w:link w:val="Footer"/>
    <w:uiPriority w:val="99"/>
    <w:rsid w:val="00576244"/>
    <w:rPr>
      <w:rFonts w:ascii="Arial" w:eastAsia="Times New Roman" w:hAnsi="Arial" w:cs="Times New Roman"/>
      <w:szCs w:val="20"/>
    </w:rPr>
  </w:style>
  <w:style w:type="paragraph" w:styleId="Caption">
    <w:name w:val="caption"/>
    <w:basedOn w:val="Normal"/>
    <w:next w:val="Normal"/>
    <w:link w:val="CaptionChar"/>
    <w:uiPriority w:val="35"/>
    <w:unhideWhenUsed/>
    <w:qFormat/>
    <w:rsid w:val="00B609D9"/>
    <w:pPr>
      <w:spacing w:after="0" w:line="240" w:lineRule="auto"/>
      <w:jc w:val="center"/>
    </w:pPr>
    <w:rPr>
      <w:iCs/>
      <w:caps/>
      <w:szCs w:val="18"/>
    </w:rPr>
  </w:style>
  <w:style w:type="character" w:styleId="CommentReference">
    <w:name w:val="annotation reference"/>
    <w:basedOn w:val="DefaultParagraphFont"/>
    <w:uiPriority w:val="99"/>
    <w:semiHidden/>
    <w:unhideWhenUsed/>
    <w:rsid w:val="00AA01B1"/>
    <w:rPr>
      <w:sz w:val="16"/>
      <w:szCs w:val="16"/>
    </w:rPr>
  </w:style>
  <w:style w:type="paragraph" w:styleId="TableofFigures">
    <w:name w:val="table of figures"/>
    <w:basedOn w:val="Style1"/>
    <w:next w:val="Normal"/>
    <w:uiPriority w:val="99"/>
    <w:unhideWhenUsed/>
    <w:rsid w:val="00AE2269"/>
    <w:pPr>
      <w:numPr>
        <w:numId w:val="15"/>
      </w:numPr>
      <w:spacing w:after="0" w:line="240" w:lineRule="auto"/>
      <w:ind w:left="0" w:right="720" w:firstLine="0"/>
      <w:outlineLvl w:val="9"/>
    </w:pPr>
  </w:style>
  <w:style w:type="paragraph" w:styleId="CommentText">
    <w:name w:val="annotation text"/>
    <w:basedOn w:val="Normal"/>
    <w:link w:val="CommentTextChar"/>
    <w:uiPriority w:val="99"/>
    <w:semiHidden/>
    <w:unhideWhenUsed/>
    <w:rsid w:val="00AA01B1"/>
    <w:pPr>
      <w:widowControl/>
      <w:snapToGrid/>
      <w:spacing w:after="0" w:line="240" w:lineRule="auto"/>
      <w:jc w:val="right"/>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semiHidden/>
    <w:rsid w:val="00AA01B1"/>
    <w:rPr>
      <w:sz w:val="20"/>
      <w:szCs w:val="20"/>
    </w:rPr>
  </w:style>
  <w:style w:type="paragraph" w:styleId="BalloonText">
    <w:name w:val="Balloon Text"/>
    <w:basedOn w:val="Normal"/>
    <w:link w:val="BalloonTextChar"/>
    <w:uiPriority w:val="99"/>
    <w:semiHidden/>
    <w:unhideWhenUsed/>
    <w:rsid w:val="00AA0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B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00B6A"/>
    <w:pPr>
      <w:widowControl w:val="0"/>
      <w:snapToGrid w:val="0"/>
      <w:spacing w:after="160"/>
      <w:jc w:val="left"/>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00B6A"/>
    <w:rPr>
      <w:rFonts w:ascii="Arial" w:eastAsia="Times New Roman" w:hAnsi="Arial" w:cs="Times New Roman"/>
      <w:b/>
      <w:bCs/>
      <w:sz w:val="20"/>
      <w:szCs w:val="20"/>
    </w:rPr>
  </w:style>
  <w:style w:type="paragraph" w:styleId="NormalWeb">
    <w:name w:val="Normal (Web)"/>
    <w:basedOn w:val="Normal"/>
    <w:uiPriority w:val="99"/>
    <w:semiHidden/>
    <w:unhideWhenUsed/>
    <w:rsid w:val="00E204C2"/>
    <w:pPr>
      <w:widowControl/>
      <w:snapToGrid/>
      <w:spacing w:before="100" w:beforeAutospacing="1" w:after="100" w:afterAutospacing="1" w:line="240" w:lineRule="auto"/>
    </w:pPr>
    <w:rPr>
      <w:rFonts w:ascii="Times New Roman" w:hAnsi="Times New Roman"/>
      <w:sz w:val="24"/>
      <w:szCs w:val="24"/>
    </w:rPr>
  </w:style>
  <w:style w:type="paragraph" w:customStyle="1" w:styleId="TableCaption">
    <w:name w:val="Table Caption"/>
    <w:basedOn w:val="Caption"/>
    <w:link w:val="TableCaptionChar"/>
    <w:qFormat/>
    <w:rsid w:val="00F8008F"/>
    <w:rPr>
      <w:i/>
      <w:caps w:val="0"/>
    </w:rPr>
  </w:style>
  <w:style w:type="character" w:customStyle="1" w:styleId="CaptionChar">
    <w:name w:val="Caption Char"/>
    <w:basedOn w:val="DefaultParagraphFont"/>
    <w:link w:val="Caption"/>
    <w:uiPriority w:val="35"/>
    <w:rsid w:val="00B609D9"/>
    <w:rPr>
      <w:rFonts w:ascii="Arial" w:eastAsia="Times New Roman" w:hAnsi="Arial" w:cs="Times New Roman"/>
      <w:iCs/>
      <w:caps/>
      <w:szCs w:val="18"/>
    </w:rPr>
  </w:style>
  <w:style w:type="character" w:customStyle="1" w:styleId="TableCaptionChar">
    <w:name w:val="Table Caption Char"/>
    <w:basedOn w:val="CaptionChar"/>
    <w:link w:val="TableCaption"/>
    <w:rsid w:val="00F8008F"/>
    <w:rPr>
      <w:rFonts w:ascii="Arial" w:eastAsia="Times New Roman" w:hAnsi="Arial" w:cs="Times New Roman"/>
      <w:i/>
      <w:iCs/>
      <w:caps w:val="0"/>
      <w:szCs w:val="18"/>
    </w:rPr>
  </w:style>
  <w:style w:type="character" w:styleId="FollowedHyperlink">
    <w:name w:val="FollowedHyperlink"/>
    <w:basedOn w:val="DefaultParagraphFont"/>
    <w:uiPriority w:val="99"/>
    <w:semiHidden/>
    <w:unhideWhenUsed/>
    <w:rsid w:val="00020FBF"/>
    <w:rPr>
      <w:color w:val="954F72" w:themeColor="followedHyperlink"/>
      <w:u w:val="single"/>
    </w:rPr>
  </w:style>
  <w:style w:type="numbering" w:customStyle="1" w:styleId="Style5">
    <w:name w:val="Style5"/>
    <w:uiPriority w:val="99"/>
    <w:rsid w:val="004A61B6"/>
    <w:pPr>
      <w:numPr>
        <w:numId w:val="10"/>
      </w:numPr>
    </w:pPr>
  </w:style>
  <w:style w:type="paragraph" w:customStyle="1" w:styleId="ListofTables">
    <w:name w:val="List of Tables"/>
    <w:basedOn w:val="TableofFigures"/>
    <w:qFormat/>
    <w:rsid w:val="00DF4C41"/>
    <w:pPr>
      <w:numPr>
        <w:numId w:val="14"/>
      </w:numPr>
      <w:tabs>
        <w:tab w:val="right" w:leader="dot" w:pos="9350"/>
      </w:tabs>
      <w:ind w:left="720" w:hanging="720"/>
    </w:pPr>
  </w:style>
  <w:style w:type="paragraph" w:customStyle="1" w:styleId="ListofFigures">
    <w:name w:val="List of Figures"/>
    <w:basedOn w:val="TableofFigures"/>
    <w:qFormat/>
    <w:rsid w:val="00806C60"/>
    <w:pPr>
      <w:keepNext w:val="0"/>
      <w:numPr>
        <w:numId w:val="16"/>
      </w:numPr>
      <w:tabs>
        <w:tab w:val="right" w:leader="dot" w:pos="9350"/>
      </w:tabs>
      <w:spacing w:before="0" w:after="240"/>
      <w:ind w:left="0" w:firstLine="0"/>
    </w:pPr>
  </w:style>
  <w:style w:type="character" w:customStyle="1" w:styleId="apple-converted-space">
    <w:name w:val="apple-converted-space"/>
    <w:basedOn w:val="DefaultParagraphFont"/>
    <w:rsid w:val="00561E08"/>
  </w:style>
  <w:style w:type="paragraph" w:styleId="HTMLPreformatted">
    <w:name w:val="HTML Preformatted"/>
    <w:basedOn w:val="Normal"/>
    <w:link w:val="HTMLPreformattedChar"/>
    <w:uiPriority w:val="99"/>
    <w:unhideWhenUsed/>
    <w:rsid w:val="00E504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after="0"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504E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7746">
      <w:bodyDiv w:val="1"/>
      <w:marLeft w:val="0"/>
      <w:marRight w:val="0"/>
      <w:marTop w:val="0"/>
      <w:marBottom w:val="0"/>
      <w:divBdr>
        <w:top w:val="none" w:sz="0" w:space="0" w:color="auto"/>
        <w:left w:val="none" w:sz="0" w:space="0" w:color="auto"/>
        <w:bottom w:val="none" w:sz="0" w:space="0" w:color="auto"/>
        <w:right w:val="none" w:sz="0" w:space="0" w:color="auto"/>
      </w:divBdr>
    </w:div>
    <w:div w:id="682047672">
      <w:bodyDiv w:val="1"/>
      <w:marLeft w:val="0"/>
      <w:marRight w:val="0"/>
      <w:marTop w:val="0"/>
      <w:marBottom w:val="0"/>
      <w:divBdr>
        <w:top w:val="none" w:sz="0" w:space="0" w:color="auto"/>
        <w:left w:val="none" w:sz="0" w:space="0" w:color="auto"/>
        <w:bottom w:val="none" w:sz="0" w:space="0" w:color="auto"/>
        <w:right w:val="none" w:sz="0" w:space="0" w:color="auto"/>
      </w:divBdr>
    </w:div>
    <w:div w:id="964848219">
      <w:bodyDiv w:val="1"/>
      <w:marLeft w:val="0"/>
      <w:marRight w:val="0"/>
      <w:marTop w:val="0"/>
      <w:marBottom w:val="0"/>
      <w:divBdr>
        <w:top w:val="none" w:sz="0" w:space="0" w:color="auto"/>
        <w:left w:val="none" w:sz="0" w:space="0" w:color="auto"/>
        <w:bottom w:val="none" w:sz="0" w:space="0" w:color="auto"/>
        <w:right w:val="none" w:sz="0" w:space="0" w:color="auto"/>
      </w:divBdr>
    </w:div>
    <w:div w:id="1220820186">
      <w:bodyDiv w:val="1"/>
      <w:marLeft w:val="0"/>
      <w:marRight w:val="0"/>
      <w:marTop w:val="0"/>
      <w:marBottom w:val="0"/>
      <w:divBdr>
        <w:top w:val="none" w:sz="0" w:space="0" w:color="auto"/>
        <w:left w:val="none" w:sz="0" w:space="0" w:color="auto"/>
        <w:bottom w:val="none" w:sz="0" w:space="0" w:color="auto"/>
        <w:right w:val="none" w:sz="0" w:space="0" w:color="auto"/>
      </w:divBdr>
    </w:div>
    <w:div w:id="1353074194">
      <w:bodyDiv w:val="1"/>
      <w:marLeft w:val="0"/>
      <w:marRight w:val="0"/>
      <w:marTop w:val="0"/>
      <w:marBottom w:val="0"/>
      <w:divBdr>
        <w:top w:val="none" w:sz="0" w:space="0" w:color="auto"/>
        <w:left w:val="none" w:sz="0" w:space="0" w:color="auto"/>
        <w:bottom w:val="none" w:sz="0" w:space="0" w:color="auto"/>
        <w:right w:val="none" w:sz="0" w:space="0" w:color="auto"/>
      </w:divBdr>
    </w:div>
    <w:div w:id="1523468491">
      <w:bodyDiv w:val="1"/>
      <w:marLeft w:val="0"/>
      <w:marRight w:val="0"/>
      <w:marTop w:val="0"/>
      <w:marBottom w:val="0"/>
      <w:divBdr>
        <w:top w:val="none" w:sz="0" w:space="0" w:color="auto"/>
        <w:left w:val="none" w:sz="0" w:space="0" w:color="auto"/>
        <w:bottom w:val="none" w:sz="0" w:space="0" w:color="auto"/>
        <w:right w:val="none" w:sz="0" w:space="0" w:color="auto"/>
      </w:divBdr>
    </w:div>
    <w:div w:id="21039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5"/>
          <c:order val="0"/>
          <c:tx>
            <c:strRef>
              <c:f>'Part D Trend 2008-2013'!$A$33</c:f>
              <c:strCache>
                <c:ptCount val="1"/>
                <c:pt idx="0">
                  <c:v>Antihypertensive</c:v>
                </c:pt>
              </c:strCache>
            </c:strRef>
          </c:tx>
          <c:spPr>
            <a:ln w="19050" cap="rnd">
              <a:solidFill>
                <a:schemeClr val="tx1"/>
              </a:solidFill>
              <a:prstDash val="lgDash"/>
              <a:round/>
            </a:ln>
            <a:effectLst/>
          </c:spPr>
          <c:marker>
            <c:symbol val="circle"/>
            <c:size val="4"/>
            <c:spPr>
              <a:solidFill>
                <a:schemeClr val="tx1"/>
              </a:solidFill>
              <a:ln w="3175">
                <a:solidFill>
                  <a:schemeClr val="tx1"/>
                </a:solidFill>
              </a:ln>
              <a:effectLst/>
            </c:spPr>
          </c:marker>
          <c:cat>
            <c:numRef>
              <c:f>('Part D Trend 2008-2013'!$B$26,'Part D Trend 2008-2013'!$D$26,'Part D Trend 2008-2013'!$F$26,'Part D Trend 2008-2013'!$H$26,'Part D Trend 2008-2013'!$J$26,'Part D Trend 2008-2013'!$L$26)</c:f>
              <c:numCache>
                <c:formatCode>General</c:formatCode>
                <c:ptCount val="5"/>
                <c:pt idx="0">
                  <c:v>2008</c:v>
                </c:pt>
                <c:pt idx="1">
                  <c:v>2009</c:v>
                </c:pt>
                <c:pt idx="2">
                  <c:v>2010</c:v>
                </c:pt>
                <c:pt idx="3">
                  <c:v>2011</c:v>
                </c:pt>
                <c:pt idx="4">
                  <c:v>2012</c:v>
                </c:pt>
              </c:numCache>
              <c:extLst/>
            </c:numRef>
          </c:cat>
          <c:val>
            <c:numRef>
              <c:f>('Part D Trend 2008-2013'!$C$33,'Part D Trend 2008-2013'!$E$33,'Part D Trend 2008-2013'!$G$33,'Part D Trend 2008-2013'!$I$33,'Part D Trend 2008-2013'!$K$33,'Part D Trend 2008-2013'!$M$33)</c:f>
              <c:numCache>
                <c:formatCode>0.0%</c:formatCode>
                <c:ptCount val="5"/>
                <c:pt idx="0">
                  <c:v>0.22425327428625272</c:v>
                </c:pt>
                <c:pt idx="1">
                  <c:v>0.23146310662096337</c:v>
                </c:pt>
                <c:pt idx="2">
                  <c:v>0.23853944562899787</c:v>
                </c:pt>
                <c:pt idx="3">
                  <c:v>0.23457993619283943</c:v>
                </c:pt>
                <c:pt idx="4">
                  <c:v>0.23098003392927052</c:v>
                </c:pt>
              </c:numCache>
              <c:extLst/>
            </c:numRef>
          </c:val>
          <c:smooth val="0"/>
        </c:ser>
        <c:ser>
          <c:idx val="3"/>
          <c:order val="1"/>
          <c:tx>
            <c:strRef>
              <c:f>'Part D Trend 2008-2013'!$A$31</c:f>
              <c:strCache>
                <c:ptCount val="1"/>
                <c:pt idx="0">
                  <c:v>Opioid Analgesic</c:v>
                </c:pt>
              </c:strCache>
            </c:strRef>
          </c:tx>
          <c:spPr>
            <a:ln w="19050" cap="rnd">
              <a:solidFill>
                <a:schemeClr val="tx1"/>
              </a:solidFill>
              <a:prstDash val="sysDash"/>
              <a:round/>
            </a:ln>
            <a:effectLst/>
          </c:spPr>
          <c:marker>
            <c:symbol val="circle"/>
            <c:size val="4"/>
            <c:spPr>
              <a:solidFill>
                <a:schemeClr val="tx1"/>
              </a:solidFill>
              <a:ln w="9525">
                <a:solidFill>
                  <a:schemeClr val="tx1"/>
                </a:solidFill>
              </a:ln>
              <a:effectLst/>
            </c:spPr>
          </c:marker>
          <c:cat>
            <c:numRef>
              <c:f>('Part D Trend 2008-2013'!$B$26,'Part D Trend 2008-2013'!$D$26,'Part D Trend 2008-2013'!$F$26,'Part D Trend 2008-2013'!$H$26,'Part D Trend 2008-2013'!$J$26,'Part D Trend 2008-2013'!$L$26)</c:f>
              <c:numCache>
                <c:formatCode>General</c:formatCode>
                <c:ptCount val="5"/>
                <c:pt idx="0">
                  <c:v>2008</c:v>
                </c:pt>
                <c:pt idx="1">
                  <c:v>2009</c:v>
                </c:pt>
                <c:pt idx="2">
                  <c:v>2010</c:v>
                </c:pt>
                <c:pt idx="3">
                  <c:v>2011</c:v>
                </c:pt>
                <c:pt idx="4">
                  <c:v>2012</c:v>
                </c:pt>
              </c:numCache>
              <c:extLst/>
            </c:numRef>
          </c:cat>
          <c:val>
            <c:numRef>
              <c:f>('Part D Trend 2008-2013'!$C$31,'Part D Trend 2008-2013'!$E$31,'Part D Trend 2008-2013'!$G$31,'Part D Trend 2008-2013'!$I$31,'Part D Trend 2008-2013'!$K$31,'Part D Trend 2008-2013'!$M$31)</c:f>
              <c:numCache>
                <c:formatCode>0.0%</c:formatCode>
                <c:ptCount val="5"/>
                <c:pt idx="0">
                  <c:v>0.19777631207010271</c:v>
                </c:pt>
                <c:pt idx="1">
                  <c:v>0.18536893379036623</c:v>
                </c:pt>
                <c:pt idx="2">
                  <c:v>0.16755508173418621</c:v>
                </c:pt>
                <c:pt idx="3">
                  <c:v>0.15774548032612548</c:v>
                </c:pt>
                <c:pt idx="4">
                  <c:v>0.1372830484144591</c:v>
                </c:pt>
              </c:numCache>
              <c:extLst/>
            </c:numRef>
          </c:val>
          <c:smooth val="0"/>
        </c:ser>
        <c:ser>
          <c:idx val="1"/>
          <c:order val="2"/>
          <c:tx>
            <c:strRef>
              <c:f>'Part D Trend 2008-2013'!$A$29</c:f>
              <c:strCache>
                <c:ptCount val="1"/>
                <c:pt idx="0">
                  <c:v>Proton Pump Inhibitor</c:v>
                </c:pt>
              </c:strCache>
            </c:strRef>
          </c:tx>
          <c:spPr>
            <a:ln w="25400" cap="rnd">
              <a:solidFill>
                <a:schemeClr val="tx1"/>
              </a:solidFill>
              <a:prstDash val="lgDashDot"/>
              <a:round/>
            </a:ln>
            <a:effectLst/>
          </c:spPr>
          <c:marker>
            <c:symbol val="circle"/>
            <c:size val="4"/>
            <c:spPr>
              <a:solidFill>
                <a:schemeClr val="tx1"/>
              </a:solidFill>
              <a:ln w="9525">
                <a:solidFill>
                  <a:schemeClr val="tx1"/>
                </a:solidFill>
              </a:ln>
              <a:effectLst/>
            </c:spPr>
          </c:marker>
          <c:cat>
            <c:numRef>
              <c:f>('Part D Trend 2008-2013'!$B$26,'Part D Trend 2008-2013'!$D$26,'Part D Trend 2008-2013'!$F$26,'Part D Trend 2008-2013'!$H$26,'Part D Trend 2008-2013'!$J$26,'Part D Trend 2008-2013'!$L$26)</c:f>
              <c:numCache>
                <c:formatCode>General</c:formatCode>
                <c:ptCount val="5"/>
                <c:pt idx="0">
                  <c:v>2008</c:v>
                </c:pt>
                <c:pt idx="1">
                  <c:v>2009</c:v>
                </c:pt>
                <c:pt idx="2">
                  <c:v>2010</c:v>
                </c:pt>
                <c:pt idx="3">
                  <c:v>2011</c:v>
                </c:pt>
                <c:pt idx="4">
                  <c:v>2012</c:v>
                </c:pt>
              </c:numCache>
              <c:extLst/>
            </c:numRef>
          </c:cat>
          <c:val>
            <c:numRef>
              <c:f>('Part D Trend 2008-2013'!$C$29,'Part D Trend 2008-2013'!$E$29,'Part D Trend 2008-2013'!$G$29,'Part D Trend 2008-2013'!$I$29,'Part D Trend 2008-2013'!$K$29,'Part D Trend 2008-2013'!$M$29)</c:f>
              <c:numCache>
                <c:formatCode>0.0%</c:formatCode>
                <c:ptCount val="5"/>
                <c:pt idx="0">
                  <c:v>0.11438801469895411</c:v>
                </c:pt>
                <c:pt idx="1">
                  <c:v>0.1180768536893379</c:v>
                </c:pt>
                <c:pt idx="2">
                  <c:v>0.10554371002132196</c:v>
                </c:pt>
                <c:pt idx="3">
                  <c:v>0.10634526763559021</c:v>
                </c:pt>
                <c:pt idx="4">
                  <c:v>0.10374526947670624</c:v>
                </c:pt>
              </c:numCache>
              <c:extLst/>
            </c:numRef>
          </c:val>
          <c:smooth val="0"/>
        </c:ser>
        <c:ser>
          <c:idx val="4"/>
          <c:order val="3"/>
          <c:tx>
            <c:strRef>
              <c:f>'Part D Trend 2008-2013'!$A$32</c:f>
              <c:strCache>
                <c:ptCount val="1"/>
                <c:pt idx="0">
                  <c:v>Anti-hyperlipidemic</c:v>
                </c:pt>
              </c:strCache>
            </c:strRef>
          </c:tx>
          <c:spPr>
            <a:ln w="19050" cap="rnd">
              <a:solidFill>
                <a:schemeClr val="tx1"/>
              </a:solidFill>
              <a:prstDash val="sysDot"/>
              <a:round/>
            </a:ln>
            <a:effectLst/>
          </c:spPr>
          <c:marker>
            <c:symbol val="circle"/>
            <c:size val="4"/>
            <c:spPr>
              <a:solidFill>
                <a:schemeClr val="tx1"/>
              </a:solidFill>
              <a:ln w="9525">
                <a:solidFill>
                  <a:schemeClr val="tx1"/>
                </a:solidFill>
              </a:ln>
              <a:effectLst/>
            </c:spPr>
          </c:marker>
          <c:cat>
            <c:numRef>
              <c:f>('Part D Trend 2008-2013'!$B$26,'Part D Trend 2008-2013'!$D$26,'Part D Trend 2008-2013'!$F$26,'Part D Trend 2008-2013'!$H$26,'Part D Trend 2008-2013'!$J$26,'Part D Trend 2008-2013'!$L$26)</c:f>
              <c:numCache>
                <c:formatCode>General</c:formatCode>
                <c:ptCount val="5"/>
                <c:pt idx="0">
                  <c:v>2008</c:v>
                </c:pt>
                <c:pt idx="1">
                  <c:v>2009</c:v>
                </c:pt>
                <c:pt idx="2">
                  <c:v>2010</c:v>
                </c:pt>
                <c:pt idx="3">
                  <c:v>2011</c:v>
                </c:pt>
                <c:pt idx="4">
                  <c:v>2012</c:v>
                </c:pt>
              </c:numCache>
              <c:extLst/>
            </c:numRef>
          </c:cat>
          <c:val>
            <c:numRef>
              <c:f>('Part D Trend 2008-2013'!$C$32,'Part D Trend 2008-2013'!$E$32,'Part D Trend 2008-2013'!$G$32,'Part D Trend 2008-2013'!$I$32,'Part D Trend 2008-2013'!$K$32,'Part D Trend 2008-2013'!$M$32)</c:f>
              <c:numCache>
                <c:formatCode>0.0%</c:formatCode>
                <c:ptCount val="5"/>
                <c:pt idx="0">
                  <c:v>5.0880995006124564E-2</c:v>
                </c:pt>
                <c:pt idx="1">
                  <c:v>5.4573335738769622E-2</c:v>
                </c:pt>
                <c:pt idx="2">
                  <c:v>6.4232409381663108E-2</c:v>
                </c:pt>
                <c:pt idx="3">
                  <c:v>6.1148528890464376E-2</c:v>
                </c:pt>
                <c:pt idx="4">
                  <c:v>6.2508156074644397E-2</c:v>
                </c:pt>
              </c:numCache>
              <c:extLst/>
            </c:numRef>
          </c:val>
          <c:smooth val="0"/>
        </c:ser>
        <c:ser>
          <c:idx val="6"/>
          <c:order val="4"/>
          <c:tx>
            <c:strRef>
              <c:f>'Part D Trend 2008-2013'!$A$34</c:f>
              <c:strCache>
                <c:ptCount val="1"/>
                <c:pt idx="0">
                  <c:v>Oral Antidiabetic</c:v>
                </c:pt>
              </c:strCache>
            </c:strRef>
          </c:tx>
          <c:spPr>
            <a:ln w="19050" cap="rnd">
              <a:solidFill>
                <a:schemeClr val="tx1"/>
              </a:solidFill>
              <a:prstDash val="dashDot"/>
              <a:round/>
            </a:ln>
            <a:effectLst/>
          </c:spPr>
          <c:marker>
            <c:symbol val="circle"/>
            <c:size val="4"/>
            <c:spPr>
              <a:solidFill>
                <a:schemeClr val="tx1"/>
              </a:solidFill>
              <a:ln w="9525">
                <a:solidFill>
                  <a:schemeClr val="tx1"/>
                </a:solidFill>
              </a:ln>
              <a:effectLst/>
            </c:spPr>
          </c:marker>
          <c:cat>
            <c:numRef>
              <c:f>('Part D Trend 2008-2013'!$B$26,'Part D Trend 2008-2013'!$D$26,'Part D Trend 2008-2013'!$F$26,'Part D Trend 2008-2013'!$H$26,'Part D Trend 2008-2013'!$J$26,'Part D Trend 2008-2013'!$L$26)</c:f>
              <c:numCache>
                <c:formatCode>General</c:formatCode>
                <c:ptCount val="5"/>
                <c:pt idx="0">
                  <c:v>2008</c:v>
                </c:pt>
                <c:pt idx="1">
                  <c:v>2009</c:v>
                </c:pt>
                <c:pt idx="2">
                  <c:v>2010</c:v>
                </c:pt>
                <c:pt idx="3">
                  <c:v>2011</c:v>
                </c:pt>
                <c:pt idx="4">
                  <c:v>2012</c:v>
                </c:pt>
              </c:numCache>
              <c:extLst/>
            </c:numRef>
          </c:cat>
          <c:val>
            <c:numRef>
              <c:f>('Part D Trend 2008-2013'!$C$34,'Part D Trend 2008-2013'!$E$34,'Part D Trend 2008-2013'!$G$34,'Part D Trend 2008-2013'!$I$34,'Part D Trend 2008-2013'!$K$34,'Part D Trend 2008-2013'!$M$34)</c:f>
              <c:numCache>
                <c:formatCode>0.0%</c:formatCode>
                <c:ptCount val="5"/>
                <c:pt idx="0">
                  <c:v>4.4379534533119762E-2</c:v>
                </c:pt>
                <c:pt idx="1">
                  <c:v>4.4470503337542849E-2</c:v>
                </c:pt>
                <c:pt idx="2">
                  <c:v>4.6641791044776122E-2</c:v>
                </c:pt>
                <c:pt idx="3">
                  <c:v>4.3601559730591988E-2</c:v>
                </c:pt>
                <c:pt idx="4">
                  <c:v>4.410805167688895E-2</c:v>
                </c:pt>
              </c:numCache>
              <c:extLst/>
            </c:numRef>
          </c:val>
          <c:smooth val="0"/>
        </c:ser>
        <c:ser>
          <c:idx val="7"/>
          <c:order val="5"/>
          <c:tx>
            <c:strRef>
              <c:f>'Part D Trend 2008-2013'!$A$35</c:f>
              <c:strCache>
                <c:ptCount val="1"/>
                <c:pt idx="0">
                  <c:v>Anti-dementia</c:v>
                </c:pt>
              </c:strCache>
            </c:strRef>
          </c:tx>
          <c:spPr>
            <a:ln w="19050" cap="rnd" cmpd="sng">
              <a:solidFill>
                <a:schemeClr val="tx1"/>
              </a:solidFill>
              <a:prstDash val="solid"/>
              <a:round/>
            </a:ln>
            <a:effectLst/>
          </c:spPr>
          <c:marker>
            <c:symbol val="circle"/>
            <c:size val="4"/>
            <c:spPr>
              <a:solidFill>
                <a:schemeClr val="tx1"/>
              </a:solidFill>
              <a:ln w="9525" cap="rnd">
                <a:solidFill>
                  <a:schemeClr val="tx1"/>
                </a:solidFill>
              </a:ln>
              <a:effectLst/>
            </c:spPr>
          </c:marker>
          <c:cat>
            <c:numRef>
              <c:f>('Part D Trend 2008-2013'!$B$26,'Part D Trend 2008-2013'!$D$26,'Part D Trend 2008-2013'!$F$26,'Part D Trend 2008-2013'!$H$26,'Part D Trend 2008-2013'!$J$26,'Part D Trend 2008-2013'!$L$26)</c:f>
              <c:numCache>
                <c:formatCode>General</c:formatCode>
                <c:ptCount val="5"/>
                <c:pt idx="0">
                  <c:v>2008</c:v>
                </c:pt>
                <c:pt idx="1">
                  <c:v>2009</c:v>
                </c:pt>
                <c:pt idx="2">
                  <c:v>2010</c:v>
                </c:pt>
                <c:pt idx="3">
                  <c:v>2011</c:v>
                </c:pt>
                <c:pt idx="4">
                  <c:v>2012</c:v>
                </c:pt>
              </c:numCache>
              <c:extLst/>
            </c:numRef>
          </c:cat>
          <c:val>
            <c:numRef>
              <c:f>('Part D Trend 2008-2013'!$C$35,'Part D Trend 2008-2013'!$E$35,'Part D Trend 2008-2013'!$G$35,'Part D Trend 2008-2013'!$I$35,'Part D Trend 2008-2013'!$K$35,'Part D Trend 2008-2013'!$M$35)</c:f>
              <c:numCache>
                <c:formatCode>0.0%</c:formatCode>
                <c:ptCount val="5"/>
                <c:pt idx="0">
                  <c:v>2.6100065956845379E-2</c:v>
                </c:pt>
                <c:pt idx="1">
                  <c:v>2.5978711888868845E-2</c:v>
                </c:pt>
                <c:pt idx="2">
                  <c:v>2.8340440653873488E-2</c:v>
                </c:pt>
                <c:pt idx="3">
                  <c:v>2.7738390641616449E-2</c:v>
                </c:pt>
                <c:pt idx="4">
                  <c:v>2.192352864413415E-2</c:v>
                </c:pt>
              </c:numCache>
              <c:extLst/>
            </c:numRef>
          </c:val>
          <c:smooth val="0"/>
        </c:ser>
        <c:ser>
          <c:idx val="0"/>
          <c:order val="6"/>
          <c:tx>
            <c:strRef>
              <c:f>'Part D Trend 2008-2013'!$A$28</c:f>
              <c:strCache>
                <c:ptCount val="1"/>
                <c:pt idx="0">
                  <c:v>Antiplatelet</c:v>
                </c:pt>
              </c:strCache>
            </c:strRef>
          </c:tx>
          <c:spPr>
            <a:ln w="19050" cap="rnd">
              <a:solidFill>
                <a:schemeClr val="tx1"/>
              </a:solidFill>
              <a:prstDash val="lgDashDotDot"/>
              <a:round/>
            </a:ln>
            <a:effectLst/>
          </c:spPr>
          <c:marker>
            <c:symbol val="circle"/>
            <c:size val="4"/>
            <c:spPr>
              <a:solidFill>
                <a:schemeClr val="tx1"/>
              </a:solidFill>
              <a:ln w="9525">
                <a:solidFill>
                  <a:schemeClr val="tx1"/>
                </a:solidFill>
              </a:ln>
              <a:effectLst/>
            </c:spPr>
          </c:marker>
          <c:cat>
            <c:numRef>
              <c:f>('Part D Trend 2008-2013'!$B$26,'Part D Trend 2008-2013'!$D$26,'Part D Trend 2008-2013'!$F$26,'Part D Trend 2008-2013'!$H$26,'Part D Trend 2008-2013'!$J$26,'Part D Trend 2008-2013'!$L$26)</c:f>
              <c:numCache>
                <c:formatCode>General</c:formatCode>
                <c:ptCount val="5"/>
                <c:pt idx="0">
                  <c:v>2008</c:v>
                </c:pt>
                <c:pt idx="1">
                  <c:v>2009</c:v>
                </c:pt>
                <c:pt idx="2">
                  <c:v>2010</c:v>
                </c:pt>
                <c:pt idx="3">
                  <c:v>2011</c:v>
                </c:pt>
                <c:pt idx="4">
                  <c:v>2012</c:v>
                </c:pt>
              </c:numCache>
              <c:extLst/>
            </c:numRef>
          </c:cat>
          <c:val>
            <c:numRef>
              <c:f>('Part D Trend 2008-2013'!$C$28,'Part D Trend 2008-2013'!$E$28,'Part D Trend 2008-2013'!$G$28,'Part D Trend 2008-2013'!$I$28,'Part D Trend 2008-2013'!$K$28,'Part D Trend 2008-2013'!$M$28)</c:f>
              <c:numCache>
                <c:formatCode>0.0%</c:formatCode>
                <c:ptCount val="5"/>
                <c:pt idx="0">
                  <c:v>2.0917742391406764E-2</c:v>
                </c:pt>
                <c:pt idx="1">
                  <c:v>2.6970954356846474E-2</c:v>
                </c:pt>
                <c:pt idx="2">
                  <c:v>2.2921108742004266E-2</c:v>
                </c:pt>
                <c:pt idx="3">
                  <c:v>2.2243885147110953E-2</c:v>
                </c:pt>
                <c:pt idx="4">
                  <c:v>2.1140545478272217E-2</c:v>
                </c:pt>
              </c:numCache>
              <c:extLst/>
            </c:numRef>
          </c:val>
          <c:smooth val="0"/>
        </c:ser>
        <c:ser>
          <c:idx val="8"/>
          <c:order val="7"/>
          <c:tx>
            <c:strRef>
              <c:f>'Part D Trend 2008-2013'!$A$36</c:f>
              <c:strCache>
                <c:ptCount val="1"/>
                <c:pt idx="0">
                  <c:v>Anti-osteoporotic</c:v>
                </c:pt>
              </c:strCache>
            </c:strRef>
          </c:tx>
          <c:spPr>
            <a:ln w="19050" cap="rnd">
              <a:solidFill>
                <a:schemeClr val="tx1"/>
              </a:solidFill>
              <a:prstDash val="dash"/>
              <a:round/>
            </a:ln>
            <a:effectLst/>
          </c:spPr>
          <c:marker>
            <c:symbol val="circle"/>
            <c:size val="4"/>
            <c:spPr>
              <a:solidFill>
                <a:schemeClr val="tx1"/>
              </a:solidFill>
              <a:ln w="9525">
                <a:solidFill>
                  <a:schemeClr val="tx1"/>
                </a:solidFill>
              </a:ln>
              <a:effectLst/>
            </c:spPr>
          </c:marker>
          <c:cat>
            <c:numRef>
              <c:f>('Part D Trend 2008-2013'!$B$26,'Part D Trend 2008-2013'!$D$26,'Part D Trend 2008-2013'!$F$26,'Part D Trend 2008-2013'!$H$26,'Part D Trend 2008-2013'!$J$26,'Part D Trend 2008-2013'!$L$26)</c:f>
              <c:numCache>
                <c:formatCode>General</c:formatCode>
                <c:ptCount val="5"/>
                <c:pt idx="0">
                  <c:v>2008</c:v>
                </c:pt>
                <c:pt idx="1">
                  <c:v>2009</c:v>
                </c:pt>
                <c:pt idx="2">
                  <c:v>2010</c:v>
                </c:pt>
                <c:pt idx="3">
                  <c:v>2011</c:v>
                </c:pt>
                <c:pt idx="4">
                  <c:v>2012</c:v>
                </c:pt>
              </c:numCache>
              <c:extLst/>
            </c:numRef>
          </c:cat>
          <c:val>
            <c:numRef>
              <c:f>('Part D Trend 2008-2013'!$C$36,'Part D Trend 2008-2013'!$E$36,'Part D Trend 2008-2013'!$G$36,'Part D Trend 2008-2013'!$I$36,'Part D Trend 2008-2013'!$K$36,'Part D Trend 2008-2013'!$M$36)</c:f>
              <c:numCache>
                <c:formatCode>0.0%</c:formatCode>
                <c:ptCount val="5"/>
                <c:pt idx="0">
                  <c:v>1.0458871195703382E-2</c:v>
                </c:pt>
                <c:pt idx="1">
                  <c:v>9.6518130976005773E-3</c:v>
                </c:pt>
                <c:pt idx="2">
                  <c:v>9.4171997157071786E-3</c:v>
                </c:pt>
                <c:pt idx="3">
                  <c:v>7.6214108472172993E-3</c:v>
                </c:pt>
                <c:pt idx="4">
                  <c:v>6.263865326895472E-3</c:v>
                </c:pt>
              </c:numCache>
              <c:extLst/>
            </c:numRef>
          </c:val>
          <c:smooth val="0"/>
        </c:ser>
        <c:dLbls>
          <c:showLegendKey val="0"/>
          <c:showVal val="0"/>
          <c:showCatName val="0"/>
          <c:showSerName val="0"/>
          <c:showPercent val="0"/>
          <c:showBubbleSize val="0"/>
        </c:dLbls>
        <c:marker val="1"/>
        <c:smooth val="0"/>
        <c:axId val="407362072"/>
        <c:axId val="412239320"/>
        <c:extLst>
          <c:ext xmlns:c15="http://schemas.microsoft.com/office/drawing/2012/chart" uri="{02D57815-91ED-43cb-92C2-25804820EDAC}">
            <c15:filteredLineSeries>
              <c15:ser>
                <c:idx val="2"/>
                <c:order val="8"/>
                <c:tx>
                  <c:strRef>
                    <c:extLst>
                      <c:ext uri="{02D57815-91ED-43cb-92C2-25804820EDAC}">
                        <c15:formulaRef>
                          <c15:sqref>'Part D Trend 2008-2013'!$A$30</c15:sqref>
                        </c15:formulaRef>
                      </c:ext>
                    </c:extLst>
                    <c:strCache>
                      <c:ptCount val="1"/>
                      <c:pt idx="0">
                        <c:v>Benzodiazepine</c:v>
                      </c:pt>
                    </c:strCache>
                  </c:strRef>
                </c:tx>
                <c:spPr>
                  <a:ln w="12700" cap="rnd">
                    <a:solidFill>
                      <a:schemeClr val="accent3"/>
                    </a:solidFill>
                    <a:round/>
                  </a:ln>
                  <a:effectLst/>
                </c:spPr>
                <c:marker>
                  <c:symbol val="circle"/>
                  <c:size val="3"/>
                  <c:spPr>
                    <a:solidFill>
                      <a:schemeClr val="accent3"/>
                    </a:solidFill>
                    <a:ln w="9525">
                      <a:solidFill>
                        <a:schemeClr val="accent3"/>
                      </a:solidFill>
                    </a:ln>
                    <a:effectLst/>
                  </c:spPr>
                </c:marker>
                <c:cat>
                  <c:numRef>
                    <c:extLst>
                      <c:ext uri="{02D57815-91ED-43cb-92C2-25804820EDAC}">
                        <c15:formulaRef>
                          <c15:sqref>('Part D Trend 2008-2013'!$B$26,'Part D Trend 2008-2013'!$D$26,'Part D Trend 2008-2013'!$F$26,'Part D Trend 2008-2013'!$H$26,'Part D Trend 2008-2013'!$J$26,'Part D Trend 2008-2013'!$L$26)</c15:sqref>
                        </c15:formulaRef>
                      </c:ext>
                    </c:extLst>
                    <c:numCache>
                      <c:formatCode>General</c:formatCode>
                      <c:ptCount val="5"/>
                      <c:pt idx="0">
                        <c:v>2008</c:v>
                      </c:pt>
                      <c:pt idx="1">
                        <c:v>2009</c:v>
                      </c:pt>
                      <c:pt idx="2">
                        <c:v>2010</c:v>
                      </c:pt>
                      <c:pt idx="3">
                        <c:v>2011</c:v>
                      </c:pt>
                      <c:pt idx="4">
                        <c:v>2012</c:v>
                      </c:pt>
                    </c:numCache>
                  </c:numRef>
                </c:cat>
                <c:val>
                  <c:numRef>
                    <c:extLst>
                      <c:ext uri="{02D57815-91ED-43cb-92C2-25804820EDAC}">
                        <c15:formulaRef>
                          <c15:sqref>('Part D Trend 2008-2013'!$C$30,'Part D Trend 2008-2013'!$E$30,'Part D Trend 2008-2013'!$G$30,'Part D Trend 2008-2013'!$I$30,'Part D Trend 2008-2013'!$K$30,'Part D Trend 2008-2013'!$M$30)</c15:sqref>
                        </c15:formulaRef>
                      </c:ext>
                    </c:extLst>
                    <c:numCache>
                      <c:formatCode>0.0%</c:formatCode>
                      <c:ptCount val="5"/>
                      <c:pt idx="0">
                        <c:v>5.9361160840478659E-3</c:v>
                      </c:pt>
                      <c:pt idx="1">
                        <c:v>5.9534548078657764E-3</c:v>
                      </c:pt>
                      <c:pt idx="2">
                        <c:v>6.9296375266524523E-3</c:v>
                      </c:pt>
                      <c:pt idx="3">
                        <c:v>3.4562211981566822E-3</c:v>
                      </c:pt>
                      <c:pt idx="4">
                        <c:v>8.7433120187915964E-3</c:v>
                      </c:pt>
                    </c:numCache>
                  </c:numRef>
                </c:val>
                <c:smooth val="0"/>
              </c15:ser>
            </c15:filteredLineSeries>
          </c:ext>
        </c:extLst>
      </c:lineChart>
      <c:catAx>
        <c:axId val="4073620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Hospice Admission Year</a:t>
                </a:r>
              </a:p>
            </c:rich>
          </c:tx>
          <c:layout>
            <c:manualLayout>
              <c:xMode val="edge"/>
              <c:yMode val="edge"/>
              <c:x val="0.28238049711434615"/>
              <c:y val="0.9233954451345756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12239320"/>
        <c:crosses val="autoZero"/>
        <c:auto val="1"/>
        <c:lblAlgn val="ctr"/>
        <c:lblOffset val="100"/>
        <c:noMultiLvlLbl val="0"/>
      </c:catAx>
      <c:valAx>
        <c:axId val="412239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Prevalence</a:t>
                </a:r>
              </a:p>
            </c:rich>
          </c:tx>
          <c:layout>
            <c:manualLayout>
              <c:xMode val="edge"/>
              <c:yMode val="edge"/>
              <c:x val="9.5923346120196512E-3"/>
              <c:y val="0.323124757334327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out"/>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7362072"/>
        <c:crosses val="autoZero"/>
        <c:crossBetween val="between"/>
        <c:majorUnit val="3.0000000000000006E-2"/>
        <c:minorUnit val="1.0000000000000002E-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5"/>
          <c:order val="0"/>
          <c:tx>
            <c:strRef>
              <c:f>'Part D Trend 2008-2013'!$A$55</c:f>
              <c:strCache>
                <c:ptCount val="1"/>
                <c:pt idx="0">
                  <c:v>Antihypertensive</c:v>
                </c:pt>
              </c:strCache>
            </c:strRef>
          </c:tx>
          <c:spPr>
            <a:ln w="25400" cap="rnd">
              <a:solidFill>
                <a:schemeClr val="tx1"/>
              </a:solidFill>
              <a:prstDash val="lgDash"/>
              <a:round/>
            </a:ln>
            <a:effectLst/>
          </c:spPr>
          <c:marker>
            <c:symbol val="circle"/>
            <c:size val="4"/>
            <c:spPr>
              <a:solidFill>
                <a:schemeClr val="tx1"/>
              </a:solidFill>
              <a:ln w="3175">
                <a:solidFill>
                  <a:schemeClr val="tx1"/>
                </a:solidFill>
              </a:ln>
              <a:effectLst/>
            </c:spPr>
          </c:marker>
          <c:cat>
            <c:numRef>
              <c:f>('Part D Trend 2008-2013'!$B$48,'Part D Trend 2008-2013'!$D$48,'Part D Trend 2008-2013'!$F$48,'Part D Trend 2008-2013'!$H$48,'Part D Trend 2008-2013'!$J$48,'Part D Trend 2008-2013'!$L$48)</c:f>
              <c:numCache>
                <c:formatCode>General</c:formatCode>
                <c:ptCount val="5"/>
                <c:pt idx="0">
                  <c:v>2008</c:v>
                </c:pt>
                <c:pt idx="1">
                  <c:v>2009</c:v>
                </c:pt>
                <c:pt idx="2">
                  <c:v>2010</c:v>
                </c:pt>
                <c:pt idx="3">
                  <c:v>2011</c:v>
                </c:pt>
                <c:pt idx="4">
                  <c:v>2012</c:v>
                </c:pt>
              </c:numCache>
            </c:numRef>
          </c:cat>
          <c:val>
            <c:numRef>
              <c:f>('Part D Trend 2008-2013'!$C$55,'Part D Trend 2008-2013'!$E$55,'Part D Trend 2008-2013'!$G$55,'Part D Trend 2008-2013'!$I$55,'Part D Trend 2008-2013'!$K$55,'Part D Trend 2008-2013'!$M$55)</c:f>
              <c:numCache>
                <c:formatCode>0.0%</c:formatCode>
                <c:ptCount val="5"/>
                <c:pt idx="0">
                  <c:v>0.24994420888194599</c:v>
                </c:pt>
                <c:pt idx="1">
                  <c:v>0.2595779553370211</c:v>
                </c:pt>
                <c:pt idx="2">
                  <c:v>0.24752475247524752</c:v>
                </c:pt>
                <c:pt idx="3">
                  <c:v>0.23739672905075029</c:v>
                </c:pt>
                <c:pt idx="4">
                  <c:v>0.24284988999830767</c:v>
                </c:pt>
              </c:numCache>
            </c:numRef>
          </c:val>
          <c:smooth val="0"/>
        </c:ser>
        <c:ser>
          <c:idx val="3"/>
          <c:order val="1"/>
          <c:tx>
            <c:strRef>
              <c:f>'Part D Trend 2008-2013'!$A$53</c:f>
              <c:strCache>
                <c:ptCount val="1"/>
                <c:pt idx="0">
                  <c:v>Opioid Analgesic</c:v>
                </c:pt>
              </c:strCache>
            </c:strRef>
          </c:tx>
          <c:spPr>
            <a:ln w="19050" cap="rnd">
              <a:solidFill>
                <a:schemeClr val="tx1"/>
              </a:solidFill>
              <a:prstDash val="sysDash"/>
              <a:round/>
            </a:ln>
            <a:effectLst/>
          </c:spPr>
          <c:marker>
            <c:symbol val="circle"/>
            <c:size val="4"/>
            <c:spPr>
              <a:solidFill>
                <a:schemeClr val="tx1"/>
              </a:solidFill>
              <a:ln w="9525">
                <a:solidFill>
                  <a:schemeClr val="tx1"/>
                </a:solidFill>
              </a:ln>
              <a:effectLst/>
            </c:spPr>
          </c:marker>
          <c:cat>
            <c:numRef>
              <c:f>('Part D Trend 2008-2013'!$B$48,'Part D Trend 2008-2013'!$D$48,'Part D Trend 2008-2013'!$F$48,'Part D Trend 2008-2013'!$H$48,'Part D Trend 2008-2013'!$J$48,'Part D Trend 2008-2013'!$L$48)</c:f>
              <c:numCache>
                <c:formatCode>General</c:formatCode>
                <c:ptCount val="5"/>
                <c:pt idx="0">
                  <c:v>2008</c:v>
                </c:pt>
                <c:pt idx="1">
                  <c:v>2009</c:v>
                </c:pt>
                <c:pt idx="2">
                  <c:v>2010</c:v>
                </c:pt>
                <c:pt idx="3">
                  <c:v>2011</c:v>
                </c:pt>
                <c:pt idx="4">
                  <c:v>2012</c:v>
                </c:pt>
              </c:numCache>
            </c:numRef>
          </c:cat>
          <c:val>
            <c:numRef>
              <c:f>('Part D Trend 2008-2013'!$C$53,'Part D Trend 2008-2013'!$E$53,'Part D Trend 2008-2013'!$G$53,'Part D Trend 2008-2013'!$I$53,'Part D Trend 2008-2013'!$K$53,'Part D Trend 2008-2013'!$M$53)</c:f>
              <c:numCache>
                <c:formatCode>0.0%</c:formatCode>
                <c:ptCount val="5"/>
                <c:pt idx="0">
                  <c:v>0.22896674849363982</c:v>
                </c:pt>
                <c:pt idx="1">
                  <c:v>0.18602745339069862</c:v>
                </c:pt>
                <c:pt idx="2">
                  <c:v>0.16794320941528115</c:v>
                </c:pt>
                <c:pt idx="3">
                  <c:v>0.15477996965098634</c:v>
                </c:pt>
                <c:pt idx="4">
                  <c:v>0.13690979861228633</c:v>
                </c:pt>
              </c:numCache>
            </c:numRef>
          </c:val>
          <c:smooth val="0"/>
        </c:ser>
        <c:ser>
          <c:idx val="1"/>
          <c:order val="2"/>
          <c:tx>
            <c:strRef>
              <c:f>'Part D Trend 2008-2013'!$A$51</c:f>
              <c:strCache>
                <c:ptCount val="1"/>
                <c:pt idx="0">
                  <c:v>Proton Pump Inhibitor</c:v>
                </c:pt>
              </c:strCache>
            </c:strRef>
          </c:tx>
          <c:spPr>
            <a:ln w="25400" cap="rnd">
              <a:solidFill>
                <a:schemeClr val="tx1"/>
              </a:solidFill>
              <a:prstDash val="lgDashDot"/>
              <a:round/>
            </a:ln>
            <a:effectLst/>
          </c:spPr>
          <c:marker>
            <c:symbol val="circle"/>
            <c:size val="4"/>
            <c:spPr>
              <a:solidFill>
                <a:schemeClr val="tx1"/>
              </a:solidFill>
              <a:ln w="9525">
                <a:solidFill>
                  <a:schemeClr val="tx1"/>
                </a:solidFill>
              </a:ln>
              <a:effectLst/>
            </c:spPr>
          </c:marker>
          <c:cat>
            <c:numRef>
              <c:f>('Part D Trend 2008-2013'!$B$48,'Part D Trend 2008-2013'!$D$48,'Part D Trend 2008-2013'!$F$48,'Part D Trend 2008-2013'!$H$48,'Part D Trend 2008-2013'!$J$48,'Part D Trend 2008-2013'!$L$48)</c:f>
              <c:numCache>
                <c:formatCode>General</c:formatCode>
                <c:ptCount val="5"/>
                <c:pt idx="0">
                  <c:v>2008</c:v>
                </c:pt>
                <c:pt idx="1">
                  <c:v>2009</c:v>
                </c:pt>
                <c:pt idx="2">
                  <c:v>2010</c:v>
                </c:pt>
                <c:pt idx="3">
                  <c:v>2011</c:v>
                </c:pt>
                <c:pt idx="4">
                  <c:v>2012</c:v>
                </c:pt>
              </c:numCache>
            </c:numRef>
          </c:cat>
          <c:val>
            <c:numRef>
              <c:f>('Part D Trend 2008-2013'!$C$51,'Part D Trend 2008-2013'!$E$51,'Part D Trend 2008-2013'!$G$51,'Part D Trend 2008-2013'!$I$51,'Part D Trend 2008-2013'!$K$51,'Part D Trend 2008-2013'!$M$51)</c:f>
              <c:numCache>
                <c:formatCode>0.0%</c:formatCode>
                <c:ptCount val="5"/>
                <c:pt idx="0">
                  <c:v>0.12809640705199732</c:v>
                </c:pt>
                <c:pt idx="1">
                  <c:v>0.13234992829338249</c:v>
                </c:pt>
                <c:pt idx="2">
                  <c:v>0.11414160283952923</c:v>
                </c:pt>
                <c:pt idx="3">
                  <c:v>0.10588433653684033</c:v>
                </c:pt>
                <c:pt idx="4">
                  <c:v>0.11321712641732949</c:v>
                </c:pt>
              </c:numCache>
            </c:numRef>
          </c:val>
          <c:smooth val="0"/>
        </c:ser>
        <c:ser>
          <c:idx val="4"/>
          <c:order val="3"/>
          <c:tx>
            <c:strRef>
              <c:f>'Part D Trend 2008-2013'!$A$54</c:f>
              <c:strCache>
                <c:ptCount val="1"/>
                <c:pt idx="0">
                  <c:v>Anti-hyperlipidemic</c:v>
                </c:pt>
              </c:strCache>
            </c:strRef>
          </c:tx>
          <c:spPr>
            <a:ln w="19050" cap="rnd" cmpd="sng">
              <a:solidFill>
                <a:schemeClr val="tx1"/>
              </a:solidFill>
              <a:prstDash val="dashDot"/>
              <a:round/>
            </a:ln>
            <a:effectLst/>
          </c:spPr>
          <c:marker>
            <c:symbol val="circle"/>
            <c:size val="4"/>
            <c:spPr>
              <a:solidFill>
                <a:schemeClr val="tx1"/>
              </a:solidFill>
              <a:ln w="9525">
                <a:solidFill>
                  <a:schemeClr val="tx1"/>
                </a:solidFill>
              </a:ln>
              <a:effectLst/>
            </c:spPr>
          </c:marker>
          <c:cat>
            <c:numRef>
              <c:f>('Part D Trend 2008-2013'!$B$48,'Part D Trend 2008-2013'!$D$48,'Part D Trend 2008-2013'!$F$48,'Part D Trend 2008-2013'!$H$48,'Part D Trend 2008-2013'!$J$48,'Part D Trend 2008-2013'!$L$48)</c:f>
              <c:numCache>
                <c:formatCode>General</c:formatCode>
                <c:ptCount val="5"/>
                <c:pt idx="0">
                  <c:v>2008</c:v>
                </c:pt>
                <c:pt idx="1">
                  <c:v>2009</c:v>
                </c:pt>
                <c:pt idx="2">
                  <c:v>2010</c:v>
                </c:pt>
                <c:pt idx="3">
                  <c:v>2011</c:v>
                </c:pt>
                <c:pt idx="4">
                  <c:v>2012</c:v>
                </c:pt>
              </c:numCache>
            </c:numRef>
          </c:cat>
          <c:val>
            <c:numRef>
              <c:f>('Part D Trend 2008-2013'!$C$54,'Part D Trend 2008-2013'!$E$54,'Part D Trend 2008-2013'!$G$54,'Part D Trend 2008-2013'!$I$54,'Part D Trend 2008-2013'!$K$54,'Part D Trend 2008-2013'!$M$54)</c:f>
              <c:numCache>
                <c:formatCode>0.0%</c:formatCode>
                <c:ptCount val="5"/>
                <c:pt idx="0">
                  <c:v>6.5610354831510828E-2</c:v>
                </c:pt>
                <c:pt idx="1">
                  <c:v>7.7033394796148333E-2</c:v>
                </c:pt>
                <c:pt idx="2">
                  <c:v>7.9021109658135621E-2</c:v>
                </c:pt>
                <c:pt idx="3">
                  <c:v>7.7895801719777447E-2</c:v>
                </c:pt>
                <c:pt idx="4">
                  <c:v>7.5139617532577418E-2</c:v>
                </c:pt>
              </c:numCache>
            </c:numRef>
          </c:val>
          <c:smooth val="0"/>
        </c:ser>
        <c:ser>
          <c:idx val="6"/>
          <c:order val="4"/>
          <c:tx>
            <c:strRef>
              <c:f>'Part D Trend 2008-2013'!$A$57</c:f>
              <c:strCache>
                <c:ptCount val="1"/>
                <c:pt idx="0">
                  <c:v>Anti-dementia</c:v>
                </c:pt>
              </c:strCache>
            </c:strRef>
          </c:tx>
          <c:spPr>
            <a:ln w="19050" cap="rnd">
              <a:solidFill>
                <a:schemeClr val="tx1"/>
              </a:solidFill>
              <a:prstDash val="sysDot"/>
              <a:round/>
            </a:ln>
            <a:effectLst/>
          </c:spPr>
          <c:marker>
            <c:symbol val="circle"/>
            <c:size val="4"/>
            <c:spPr>
              <a:solidFill>
                <a:schemeClr val="tx1"/>
              </a:solidFill>
              <a:ln w="9525">
                <a:solidFill>
                  <a:schemeClr val="tx1"/>
                </a:solidFill>
              </a:ln>
              <a:effectLst/>
            </c:spPr>
          </c:marker>
          <c:cat>
            <c:numRef>
              <c:f>('Part D Trend 2008-2013'!$B$48,'Part D Trend 2008-2013'!$D$48,'Part D Trend 2008-2013'!$F$48,'Part D Trend 2008-2013'!$H$48,'Part D Trend 2008-2013'!$J$48,'Part D Trend 2008-2013'!$L$48)</c:f>
              <c:numCache>
                <c:formatCode>General</c:formatCode>
                <c:ptCount val="5"/>
                <c:pt idx="0">
                  <c:v>2008</c:v>
                </c:pt>
                <c:pt idx="1">
                  <c:v>2009</c:v>
                </c:pt>
                <c:pt idx="2">
                  <c:v>2010</c:v>
                </c:pt>
                <c:pt idx="3">
                  <c:v>2011</c:v>
                </c:pt>
                <c:pt idx="4">
                  <c:v>2012</c:v>
                </c:pt>
              </c:numCache>
            </c:numRef>
          </c:cat>
          <c:val>
            <c:numRef>
              <c:f>('Part D Trend 2008-2013'!$C$57,'Part D Trend 2008-2013'!$E$57,'Part D Trend 2008-2013'!$G$57,'Part D Trend 2008-2013'!$I$57,'Part D Trend 2008-2013'!$K$57,'Part D Trend 2008-2013'!$M$57)</c:f>
              <c:numCache>
                <c:formatCode>0.0%</c:formatCode>
                <c:ptCount val="5"/>
                <c:pt idx="0">
                  <c:v>7.9446552108904264E-2</c:v>
                </c:pt>
                <c:pt idx="1">
                  <c:v>8.6047940995697597E-2</c:v>
                </c:pt>
                <c:pt idx="2">
                  <c:v>8.0889220997571454E-2</c:v>
                </c:pt>
                <c:pt idx="3">
                  <c:v>7.4355083459787558E-2</c:v>
                </c:pt>
                <c:pt idx="4">
                  <c:v>7.4124217295650704E-2</c:v>
                </c:pt>
              </c:numCache>
            </c:numRef>
          </c:val>
          <c:smooth val="0"/>
        </c:ser>
        <c:ser>
          <c:idx val="7"/>
          <c:order val="5"/>
          <c:tx>
            <c:strRef>
              <c:f>'Part D Trend 2008-2013'!$A$56</c:f>
              <c:strCache>
                <c:ptCount val="1"/>
                <c:pt idx="0">
                  <c:v>Oral Antidiabetic</c:v>
                </c:pt>
              </c:strCache>
            </c:strRef>
          </c:tx>
          <c:spPr>
            <a:ln w="19050" cap="rnd">
              <a:solidFill>
                <a:schemeClr val="tx1"/>
              </a:solidFill>
              <a:round/>
            </a:ln>
            <a:effectLst/>
          </c:spPr>
          <c:marker>
            <c:symbol val="circle"/>
            <c:size val="4"/>
            <c:spPr>
              <a:solidFill>
                <a:schemeClr val="tx1"/>
              </a:solidFill>
              <a:ln w="9525">
                <a:solidFill>
                  <a:schemeClr val="tx1"/>
                </a:solidFill>
              </a:ln>
              <a:effectLst/>
            </c:spPr>
          </c:marker>
          <c:cat>
            <c:numRef>
              <c:f>('Part D Trend 2008-2013'!$B$48,'Part D Trend 2008-2013'!$D$48,'Part D Trend 2008-2013'!$F$48,'Part D Trend 2008-2013'!$H$48,'Part D Trend 2008-2013'!$J$48,'Part D Trend 2008-2013'!$L$48)</c:f>
              <c:numCache>
                <c:formatCode>General</c:formatCode>
                <c:ptCount val="5"/>
                <c:pt idx="0">
                  <c:v>2008</c:v>
                </c:pt>
                <c:pt idx="1">
                  <c:v>2009</c:v>
                </c:pt>
                <c:pt idx="2">
                  <c:v>2010</c:v>
                </c:pt>
                <c:pt idx="3">
                  <c:v>2011</c:v>
                </c:pt>
                <c:pt idx="4">
                  <c:v>2012</c:v>
                </c:pt>
              </c:numCache>
            </c:numRef>
          </c:cat>
          <c:val>
            <c:numRef>
              <c:f>('Part D Trend 2008-2013'!$C$56,'Part D Trend 2008-2013'!$E$56,'Part D Trend 2008-2013'!$G$56,'Part D Trend 2008-2013'!$I$56,'Part D Trend 2008-2013'!$K$56,'Part D Trend 2008-2013'!$M$56)</c:f>
              <c:numCache>
                <c:formatCode>0.0%</c:formatCode>
                <c:ptCount val="5"/>
                <c:pt idx="0">
                  <c:v>4.7087703637580899E-2</c:v>
                </c:pt>
                <c:pt idx="1">
                  <c:v>4.1999590247900023E-2</c:v>
                </c:pt>
                <c:pt idx="2">
                  <c:v>3.9977582663926772E-2</c:v>
                </c:pt>
                <c:pt idx="3">
                  <c:v>3.355252065418985E-2</c:v>
                </c:pt>
                <c:pt idx="4">
                  <c:v>3.7908275511930954E-2</c:v>
                </c:pt>
              </c:numCache>
            </c:numRef>
          </c:val>
          <c:smooth val="0"/>
        </c:ser>
        <c:ser>
          <c:idx val="0"/>
          <c:order val="6"/>
          <c:tx>
            <c:strRef>
              <c:f>'Part D Trend 2008-2013'!$A$50</c:f>
              <c:strCache>
                <c:ptCount val="1"/>
                <c:pt idx="0">
                  <c:v>Antiplatelet</c:v>
                </c:pt>
              </c:strCache>
            </c:strRef>
          </c:tx>
          <c:spPr>
            <a:ln w="19050" cap="rnd">
              <a:solidFill>
                <a:schemeClr val="tx1"/>
              </a:solidFill>
              <a:prstDash val="lgDashDotDot"/>
              <a:round/>
            </a:ln>
            <a:effectLst/>
          </c:spPr>
          <c:marker>
            <c:symbol val="circle"/>
            <c:size val="4"/>
            <c:spPr>
              <a:solidFill>
                <a:schemeClr val="tx1"/>
              </a:solidFill>
              <a:ln w="9525">
                <a:solidFill>
                  <a:schemeClr val="tx1"/>
                </a:solidFill>
              </a:ln>
              <a:effectLst/>
            </c:spPr>
          </c:marker>
          <c:cat>
            <c:numRef>
              <c:f>('Part D Trend 2008-2013'!$B$48,'Part D Trend 2008-2013'!$D$48,'Part D Trend 2008-2013'!$F$48,'Part D Trend 2008-2013'!$H$48,'Part D Trend 2008-2013'!$J$48,'Part D Trend 2008-2013'!$L$48)</c:f>
              <c:numCache>
                <c:formatCode>General</c:formatCode>
                <c:ptCount val="5"/>
                <c:pt idx="0">
                  <c:v>2008</c:v>
                </c:pt>
                <c:pt idx="1">
                  <c:v>2009</c:v>
                </c:pt>
                <c:pt idx="2">
                  <c:v>2010</c:v>
                </c:pt>
                <c:pt idx="3">
                  <c:v>2011</c:v>
                </c:pt>
                <c:pt idx="4">
                  <c:v>2012</c:v>
                </c:pt>
              </c:numCache>
            </c:numRef>
          </c:cat>
          <c:val>
            <c:numRef>
              <c:f>('Part D Trend 2008-2013'!$C$50,'Part D Trend 2008-2013'!$E$50,'Part D Trend 2008-2013'!$G$50,'Part D Trend 2008-2013'!$I$50,'Part D Trend 2008-2013'!$K$50,'Part D Trend 2008-2013'!$M$50)</c:f>
              <c:numCache>
                <c:formatCode>0.0%</c:formatCode>
                <c:ptCount val="5"/>
                <c:pt idx="0">
                  <c:v>3.5259986610131668E-2</c:v>
                </c:pt>
                <c:pt idx="1">
                  <c:v>3.9131325548043432E-2</c:v>
                </c:pt>
                <c:pt idx="2">
                  <c:v>4.0164393797870353E-2</c:v>
                </c:pt>
                <c:pt idx="3">
                  <c:v>3.4226943179902207E-2</c:v>
                </c:pt>
                <c:pt idx="4">
                  <c:v>3.4015907937045183E-2</c:v>
                </c:pt>
              </c:numCache>
            </c:numRef>
          </c:val>
          <c:smooth val="0"/>
        </c:ser>
        <c:ser>
          <c:idx val="8"/>
          <c:order val="7"/>
          <c:tx>
            <c:strRef>
              <c:f>'Part D Trend 2008-2013'!$A$58</c:f>
              <c:strCache>
                <c:ptCount val="1"/>
                <c:pt idx="0">
                  <c:v>Anti-osteoporotic</c:v>
                </c:pt>
              </c:strCache>
            </c:strRef>
          </c:tx>
          <c:spPr>
            <a:ln w="19050" cap="rnd">
              <a:solidFill>
                <a:schemeClr val="tx1"/>
              </a:solidFill>
              <a:prstDash val="dash"/>
              <a:round/>
            </a:ln>
            <a:effectLst/>
          </c:spPr>
          <c:marker>
            <c:symbol val="circle"/>
            <c:size val="4"/>
            <c:spPr>
              <a:solidFill>
                <a:schemeClr val="tx1"/>
              </a:solidFill>
              <a:ln w="9525">
                <a:solidFill>
                  <a:schemeClr val="tx1"/>
                </a:solidFill>
              </a:ln>
              <a:effectLst/>
            </c:spPr>
          </c:marker>
          <c:cat>
            <c:numRef>
              <c:f>('Part D Trend 2008-2013'!$B$48,'Part D Trend 2008-2013'!$D$48,'Part D Trend 2008-2013'!$F$48,'Part D Trend 2008-2013'!$H$48,'Part D Trend 2008-2013'!$J$48,'Part D Trend 2008-2013'!$L$48)</c:f>
              <c:numCache>
                <c:formatCode>General</c:formatCode>
                <c:ptCount val="5"/>
                <c:pt idx="0">
                  <c:v>2008</c:v>
                </c:pt>
                <c:pt idx="1">
                  <c:v>2009</c:v>
                </c:pt>
                <c:pt idx="2">
                  <c:v>2010</c:v>
                </c:pt>
                <c:pt idx="3">
                  <c:v>2011</c:v>
                </c:pt>
                <c:pt idx="4">
                  <c:v>2012</c:v>
                </c:pt>
              </c:numCache>
            </c:numRef>
          </c:cat>
          <c:val>
            <c:numRef>
              <c:f>('Part D Trend 2008-2013'!$C$58,'Part D Trend 2008-2013'!$E$58,'Part D Trend 2008-2013'!$G$58,'Part D Trend 2008-2013'!$I$58,'Part D Trend 2008-2013'!$K$58,'Part D Trend 2008-2013'!$M$58)</c:f>
              <c:numCache>
                <c:formatCode>0.0%</c:formatCode>
                <c:ptCount val="5"/>
                <c:pt idx="0">
                  <c:v>1.7853157777281858E-2</c:v>
                </c:pt>
                <c:pt idx="1">
                  <c:v>1.5365703749231715E-2</c:v>
                </c:pt>
                <c:pt idx="2">
                  <c:v>1.3824023911825144E-2</c:v>
                </c:pt>
                <c:pt idx="3">
                  <c:v>1.2308211094250548E-2</c:v>
                </c:pt>
                <c:pt idx="4">
                  <c:v>1.2354036215941784E-2</c:v>
                </c:pt>
              </c:numCache>
            </c:numRef>
          </c:val>
          <c:smooth val="0"/>
        </c:ser>
        <c:dLbls>
          <c:showLegendKey val="0"/>
          <c:showVal val="0"/>
          <c:showCatName val="0"/>
          <c:showSerName val="0"/>
          <c:showPercent val="0"/>
          <c:showBubbleSize val="0"/>
        </c:dLbls>
        <c:marker val="1"/>
        <c:smooth val="0"/>
        <c:axId val="211140600"/>
        <c:axId val="211140992"/>
        <c:extLst>
          <c:ext xmlns:c15="http://schemas.microsoft.com/office/drawing/2012/chart" uri="{02D57815-91ED-43cb-92C2-25804820EDAC}">
            <c15:filteredLineSeries>
              <c15:ser>
                <c:idx val="2"/>
                <c:order val="8"/>
                <c:tx>
                  <c:strRef>
                    <c:extLst>
                      <c:ext uri="{02D57815-91ED-43cb-92C2-25804820EDAC}">
                        <c15:formulaRef>
                          <c15:sqref>'Part D Trend 2008-2013'!$A$52</c15:sqref>
                        </c15:formulaRef>
                      </c:ext>
                    </c:extLst>
                    <c:strCache>
                      <c:ptCount val="1"/>
                      <c:pt idx="0">
                        <c:v>Benzodiazepine</c:v>
                      </c:pt>
                    </c:strCache>
                  </c:strRef>
                </c:tx>
                <c:spPr>
                  <a:ln w="12700" cap="rnd">
                    <a:solidFill>
                      <a:schemeClr val="accent3"/>
                    </a:solidFill>
                    <a:round/>
                  </a:ln>
                  <a:effectLst/>
                </c:spPr>
                <c:marker>
                  <c:symbol val="circle"/>
                  <c:size val="3"/>
                  <c:spPr>
                    <a:solidFill>
                      <a:schemeClr val="accent3"/>
                    </a:solidFill>
                    <a:ln w="9525">
                      <a:solidFill>
                        <a:schemeClr val="accent3"/>
                      </a:solidFill>
                    </a:ln>
                    <a:effectLst/>
                  </c:spPr>
                </c:marker>
                <c:cat>
                  <c:numRef>
                    <c:extLst>
                      <c:ext uri="{02D57815-91ED-43cb-92C2-25804820EDAC}">
                        <c15:formulaRef>
                          <c15:sqref>('Part D Trend 2008-2013'!$B$48,'Part D Trend 2008-2013'!$D$48,'Part D Trend 2008-2013'!$F$48,'Part D Trend 2008-2013'!$H$48,'Part D Trend 2008-2013'!$J$48,'Part D Trend 2008-2013'!$L$48)</c15:sqref>
                        </c15:formulaRef>
                      </c:ext>
                    </c:extLst>
                    <c:numCache>
                      <c:formatCode>General</c:formatCode>
                      <c:ptCount val="5"/>
                      <c:pt idx="0">
                        <c:v>2008</c:v>
                      </c:pt>
                      <c:pt idx="1">
                        <c:v>2009</c:v>
                      </c:pt>
                      <c:pt idx="2">
                        <c:v>2010</c:v>
                      </c:pt>
                      <c:pt idx="3">
                        <c:v>2011</c:v>
                      </c:pt>
                      <c:pt idx="4">
                        <c:v>2012</c:v>
                      </c:pt>
                    </c:numCache>
                  </c:numRef>
                </c:cat>
                <c:val>
                  <c:numRef>
                    <c:extLst>
                      <c:ext uri="{02D57815-91ED-43cb-92C2-25804820EDAC}">
                        <c15:formulaRef>
                          <c15:sqref>('Part D Trend 2008-2013'!$C$52,'Part D Trend 2008-2013'!$E$52,'Part D Trend 2008-2013'!$G$52,'Part D Trend 2008-2013'!$I$52,'Part D Trend 2008-2013'!$K$52,'Part D Trend 2008-2013'!$M$52)</c15:sqref>
                        </c15:formulaRef>
                      </c:ext>
                    </c:extLst>
                    <c:numCache>
                      <c:formatCode>0.0%</c:formatCode>
                      <c:ptCount val="5"/>
                      <c:pt idx="0">
                        <c:v>5.8022762776166036E-3</c:v>
                      </c:pt>
                      <c:pt idx="1">
                        <c:v>5.7365293997131738E-3</c:v>
                      </c:pt>
                      <c:pt idx="2">
                        <c:v>5.4175228843639078E-3</c:v>
                      </c:pt>
                      <c:pt idx="3">
                        <c:v>6.7442252571235876E-3</c:v>
                      </c:pt>
                      <c:pt idx="4">
                        <c:v>1.5569470299543069E-2</c:v>
                      </c:pt>
                    </c:numCache>
                  </c:numRef>
                </c:val>
                <c:smooth val="0"/>
              </c15:ser>
            </c15:filteredLineSeries>
          </c:ext>
        </c:extLst>
      </c:lineChart>
      <c:catAx>
        <c:axId val="211140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Hospice Admission Year</a:t>
                </a:r>
              </a:p>
            </c:rich>
          </c:tx>
          <c:layout>
            <c:manualLayout>
              <c:xMode val="edge"/>
              <c:yMode val="edge"/>
              <c:x val="0.27757612959670369"/>
              <c:y val="0.9231568016614745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1140992"/>
        <c:crosses val="autoZero"/>
        <c:auto val="1"/>
        <c:lblAlgn val="ctr"/>
        <c:lblOffset val="100"/>
        <c:noMultiLvlLbl val="0"/>
      </c:catAx>
      <c:valAx>
        <c:axId val="211140992"/>
        <c:scaling>
          <c:orientation val="minMax"/>
          <c:max val="0.2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a:t>Prevalence</a:t>
                </a:r>
              </a:p>
            </c:rich>
          </c:tx>
          <c:layout>
            <c:manualLayout>
              <c:xMode val="edge"/>
              <c:yMode val="edge"/>
              <c:x val="1.1494212261928797E-2"/>
              <c:y val="0.3293974158274726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out"/>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11140600"/>
        <c:crosses val="autoZero"/>
        <c:crossBetween val="between"/>
        <c:majorUnit val="3.0000000000000006E-2"/>
        <c:minorUnit val="1.0000000000000002E-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9870-2F56-4D69-B0D3-238FF44C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143101</Words>
  <Characters>815682</Characters>
  <Application>Microsoft Office Word</Application>
  <DocSecurity>0</DocSecurity>
  <Lines>6797</Lines>
  <Paragraphs>1913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3</cp:revision>
  <dcterms:created xsi:type="dcterms:W3CDTF">2018-03-18T17:45:00Z</dcterms:created>
  <dcterms:modified xsi:type="dcterms:W3CDTF">2018-03-18T17:45:00Z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zotero-version="5.0.37"&gt;&lt;session id="vAmMEGnE"/&gt;&lt;style id="http://www.zotero.org/styles/the-new-england-journal-of-medicine-no-et-al" hasBibliography="1" bibliographyStyleHasBeenSet="1"/&gt;&lt;prefs&gt;&lt;pref name="fieldType" value="Field"/&gt;</vt:lpwstr>
  </property>
  <property fmtid="{D5CDD505-2E9C-101B-9397-08002B2CF9AE}" pid="3" name="ZOTERO_PREF_2">
    <vt:lpwstr>&lt;pref name="automaticJournalAbbreviations" value="true"/&gt;&lt;pref name="dontAskDelayCitationUpdates" value="true"/&gt;&lt;/prefs&gt;&lt;/data&gt;</vt:lpwstr>
  </property>
</Properties>
</file>