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69D9D" w14:textId="77777777" w:rsidR="000C4204" w:rsidRDefault="000C4204" w:rsidP="000C4204">
      <w:pPr>
        <w:spacing w:line="480" w:lineRule="auto"/>
      </w:pPr>
      <w:r>
        <w:t>TITLE: Framing first-year writing course guides: a content analysis</w:t>
      </w:r>
    </w:p>
    <w:p w14:paraId="34CEC42D" w14:textId="65FE191F" w:rsidR="000C4204" w:rsidRDefault="000C4204" w:rsidP="000C4204">
      <w:pPr>
        <w:spacing w:line="480" w:lineRule="auto"/>
      </w:pPr>
      <w:r>
        <w:t>ABSTRACT</w:t>
      </w:r>
      <w:bookmarkStart w:id="0" w:name="_GoBack"/>
      <w:bookmarkEnd w:id="0"/>
    </w:p>
    <w:p w14:paraId="7B48C358" w14:textId="77777777" w:rsidR="000C4204" w:rsidRPr="00654605" w:rsidRDefault="000C4204" w:rsidP="000C4204">
      <w:pPr>
        <w:spacing w:line="480" w:lineRule="auto"/>
      </w:pPr>
      <w:r w:rsidRPr="000C4204">
        <w:rPr>
          <w:b/>
        </w:rPr>
        <w:t>Purpose</w:t>
      </w:r>
      <w:r>
        <w:t xml:space="preserve">: The purpose of this study is to </w:t>
      </w:r>
      <w:r w:rsidRPr="00654605">
        <w:rPr>
          <w:rFonts w:ascii="Calibri" w:eastAsia="Calibri" w:hAnsi="Calibri" w:cs="Times New Roman"/>
        </w:rPr>
        <w:t xml:space="preserve">determine the extent to which </w:t>
      </w:r>
      <w:r>
        <w:rPr>
          <w:rFonts w:ascii="Calibri" w:eastAsia="Calibri" w:hAnsi="Calibri" w:cs="Times New Roman"/>
        </w:rPr>
        <w:t xml:space="preserve">first-year writing course </w:t>
      </w:r>
      <w:r w:rsidRPr="00654605">
        <w:rPr>
          <w:rFonts w:ascii="Calibri" w:eastAsia="Calibri" w:hAnsi="Calibri" w:cs="Times New Roman"/>
        </w:rPr>
        <w:t>guides</w:t>
      </w:r>
      <w:r>
        <w:rPr>
          <w:rFonts w:ascii="Calibri" w:eastAsia="Calibri" w:hAnsi="Calibri" w:cs="Times New Roman"/>
        </w:rPr>
        <w:t xml:space="preserve"> contain instructional content and whether t</w:t>
      </w:r>
      <w:r w:rsidRPr="00654605">
        <w:rPr>
          <w:rFonts w:ascii="Calibri" w:eastAsia="Calibri" w:hAnsi="Calibri" w:cs="Times New Roman"/>
        </w:rPr>
        <w:t xml:space="preserve">he </w:t>
      </w:r>
      <w:r>
        <w:rPr>
          <w:rFonts w:ascii="Calibri" w:eastAsia="Calibri" w:hAnsi="Calibri" w:cs="Times New Roman"/>
        </w:rPr>
        <w:t xml:space="preserve">ACRL </w:t>
      </w:r>
      <w:r w:rsidRPr="00654605">
        <w:rPr>
          <w:rFonts w:ascii="Calibri" w:eastAsia="Calibri" w:hAnsi="Calibri" w:cs="Times New Roman"/>
          <w:i/>
        </w:rPr>
        <w:t xml:space="preserve">Framework </w:t>
      </w:r>
      <w:r>
        <w:rPr>
          <w:rFonts w:ascii="Calibri" w:eastAsia="Calibri" w:hAnsi="Calibri" w:cs="Times New Roman"/>
          <w:i/>
        </w:rPr>
        <w:t xml:space="preserve">for Information Literacy </w:t>
      </w:r>
      <w:r>
        <w:rPr>
          <w:rFonts w:ascii="Calibri" w:eastAsia="Calibri" w:hAnsi="Calibri" w:cs="Times New Roman"/>
        </w:rPr>
        <w:t>has been addressed in these guides.</w:t>
      </w:r>
    </w:p>
    <w:p w14:paraId="317AEE5F" w14:textId="77777777" w:rsidR="000C4204" w:rsidRPr="00D62C0C" w:rsidRDefault="000C4204" w:rsidP="000C4204">
      <w:pPr>
        <w:spacing w:line="480" w:lineRule="auto"/>
      </w:pPr>
      <w:r w:rsidRPr="000C4204">
        <w:rPr>
          <w:b/>
        </w:rPr>
        <w:t>Design/methodology</w:t>
      </w:r>
      <w:r>
        <w:t xml:space="preserve">: First-year writing course guides were identified from ARL library websites and examined for instructional elements. These elements were categorized using a rubric that mapped the </w:t>
      </w:r>
      <w:r>
        <w:rPr>
          <w:i/>
        </w:rPr>
        <w:t xml:space="preserve">Framework </w:t>
      </w:r>
      <w:r>
        <w:t>to instructional content. Qualtrics was used to organize and analyze the data.</w:t>
      </w:r>
    </w:p>
    <w:p w14:paraId="54177F76" w14:textId="75380D01" w:rsidR="000C4204" w:rsidRDefault="000C4204" w:rsidP="000C4204">
      <w:pPr>
        <w:spacing w:line="480" w:lineRule="auto"/>
      </w:pPr>
      <w:r w:rsidRPr="000C4204">
        <w:rPr>
          <w:b/>
        </w:rPr>
        <w:t>Findings</w:t>
      </w:r>
      <w:r>
        <w:t xml:space="preserve">: Most first-year writing course guides include instructional content, but less than half incorporate the </w:t>
      </w:r>
      <w:r w:rsidRPr="00D62C0C">
        <w:rPr>
          <w:i/>
        </w:rPr>
        <w:t>Framework</w:t>
      </w:r>
      <w:r>
        <w:t xml:space="preserve"> in some way. </w:t>
      </w:r>
      <w:r w:rsidR="002E0078">
        <w:t>G</w:t>
      </w:r>
      <w:r>
        <w:t xml:space="preserve">uides that do incorporate the </w:t>
      </w:r>
      <w:r w:rsidRPr="00D62C0C">
        <w:rPr>
          <w:i/>
        </w:rPr>
        <w:t>Framework</w:t>
      </w:r>
      <w:r>
        <w:t xml:space="preserve"> focus on “Searching as Strategic Exploration” and “Research as Inquiry”.</w:t>
      </w:r>
    </w:p>
    <w:p w14:paraId="2481C09D" w14:textId="71C37101" w:rsidR="000C4204" w:rsidRDefault="000C4204" w:rsidP="000C4204">
      <w:pPr>
        <w:spacing w:line="480" w:lineRule="auto"/>
      </w:pPr>
      <w:r w:rsidRPr="002E0078">
        <w:rPr>
          <w:b/>
        </w:rPr>
        <w:t>Practical implications</w:t>
      </w:r>
      <w:r>
        <w:t xml:space="preserve">: This paper provides librarians with practical information on first-year writing guides and includes examples of how the </w:t>
      </w:r>
      <w:r>
        <w:rPr>
          <w:i/>
        </w:rPr>
        <w:t xml:space="preserve">Framework </w:t>
      </w:r>
      <w:r>
        <w:t xml:space="preserve">might be addressed. </w:t>
      </w:r>
    </w:p>
    <w:p w14:paraId="20C70C59" w14:textId="2FFBA129" w:rsidR="000C4204" w:rsidRDefault="000C4204" w:rsidP="000C4204">
      <w:pPr>
        <w:spacing w:line="480" w:lineRule="auto"/>
      </w:pPr>
      <w:r w:rsidRPr="000C4204">
        <w:rPr>
          <w:b/>
        </w:rPr>
        <w:t>Originality</w:t>
      </w:r>
      <w:r>
        <w:t xml:space="preserve">: This study contributes to the literature on </w:t>
      </w:r>
      <w:r w:rsidR="00F33B91">
        <w:t>research</w:t>
      </w:r>
      <w:r>
        <w:t xml:space="preserve"> guide content and is the first to inventory first-year writing course guides.</w:t>
      </w:r>
    </w:p>
    <w:p w14:paraId="0F31667C" w14:textId="77777777" w:rsidR="000C4204" w:rsidRDefault="000C4204" w:rsidP="000C4204"/>
    <w:p w14:paraId="5D4F4F31" w14:textId="74F9C29D" w:rsidR="0028598A" w:rsidRDefault="00451EF9" w:rsidP="00E10904">
      <w:pPr>
        <w:spacing w:line="480" w:lineRule="auto"/>
      </w:pPr>
      <w:r>
        <w:t>INTRODUCTION</w:t>
      </w:r>
    </w:p>
    <w:p w14:paraId="09E324F7" w14:textId="0D1AACAF" w:rsidR="00DD7D64" w:rsidRDefault="00032555" w:rsidP="00E10904">
      <w:pPr>
        <w:spacing w:line="480" w:lineRule="auto"/>
      </w:pPr>
      <w:r>
        <w:t xml:space="preserve">Online research guides are a popular way for librarians to highlight information for users. </w:t>
      </w:r>
      <w:proofErr w:type="spellStart"/>
      <w:r w:rsidR="00DD7D64">
        <w:t>LibGuides</w:t>
      </w:r>
      <w:proofErr w:type="spellEnd"/>
      <w:r w:rsidR="00DD7D64">
        <w:t xml:space="preserve"> </w:t>
      </w:r>
      <w:r w:rsidR="00FA282F">
        <w:t xml:space="preserve">and other </w:t>
      </w:r>
      <w:r w:rsidR="00FC072F">
        <w:t xml:space="preserve">similar </w:t>
      </w:r>
      <w:r w:rsidR="00FA282F">
        <w:t xml:space="preserve">systems </w:t>
      </w:r>
      <w:r w:rsidR="00DD7D64">
        <w:t xml:space="preserve">are used as both subject and course guides, allowing librarians to add content in an online format without the need </w:t>
      </w:r>
      <w:r w:rsidR="00EC257F">
        <w:t>for</w:t>
      </w:r>
      <w:r w:rsidR="00DD7D64">
        <w:t xml:space="preserve"> coding skills</w:t>
      </w:r>
      <w:r>
        <w:t xml:space="preserve"> or special website permissions</w:t>
      </w:r>
      <w:r w:rsidR="00DD7D64">
        <w:t xml:space="preserve">. </w:t>
      </w:r>
      <w:r w:rsidR="00F26DCC">
        <w:t xml:space="preserve">Initially, </w:t>
      </w:r>
      <w:r>
        <w:t>research guides</w:t>
      </w:r>
      <w:r w:rsidR="00F26DCC">
        <w:t xml:space="preserve"> </w:t>
      </w:r>
      <w:r w:rsidR="006E0FA1">
        <w:t>acted</w:t>
      </w:r>
      <w:r w:rsidR="00F26DCC">
        <w:t xml:space="preserve"> as a rep</w:t>
      </w:r>
      <w:r w:rsidR="002B5445">
        <w:t xml:space="preserve">lacement for paper pathfinders </w:t>
      </w:r>
      <w:r w:rsidR="00620DF3" w:rsidRPr="00620DF3">
        <w:rPr>
          <w:rFonts w:ascii="Calibri" w:hAnsi="Calibri"/>
        </w:rPr>
        <w:t>(Baker, 2014)</w:t>
      </w:r>
      <w:r w:rsidR="00F26DCC">
        <w:t>, becoming an online</w:t>
      </w:r>
      <w:r w:rsidR="006E0FA1">
        <w:t xml:space="preserve"> list of disciplinary resources such as databases, books, and </w:t>
      </w:r>
      <w:r w:rsidR="006E0FA1">
        <w:lastRenderedPageBreak/>
        <w:t>more</w:t>
      </w:r>
      <w:r w:rsidR="00F26DCC">
        <w:t xml:space="preserve">. </w:t>
      </w:r>
      <w:r w:rsidR="00A33CCC">
        <w:t>I</w:t>
      </w:r>
      <w:r w:rsidR="00170723">
        <w:t xml:space="preserve">n recent years, there have been calls to make </w:t>
      </w:r>
      <w:r w:rsidR="00AC74E9">
        <w:t xml:space="preserve">greater use of </w:t>
      </w:r>
      <w:r>
        <w:t>these guides</w:t>
      </w:r>
      <w:r w:rsidR="00170723">
        <w:t xml:space="preserve"> </w:t>
      </w:r>
      <w:r w:rsidR="00AC74E9">
        <w:t xml:space="preserve">by </w:t>
      </w:r>
      <w:r w:rsidR="00DC2057">
        <w:t>conceiving of</w:t>
      </w:r>
      <w:r w:rsidR="00AC74E9">
        <w:t xml:space="preserve"> them as pedagogical tool</w:t>
      </w:r>
      <w:r>
        <w:t>s</w:t>
      </w:r>
      <w:r w:rsidR="00AC74E9">
        <w:t>, rather than just a list of content</w:t>
      </w:r>
      <w:r w:rsidR="00170723">
        <w:t xml:space="preserve"> </w:t>
      </w:r>
      <w:r w:rsidR="00620DF3" w:rsidRPr="00620DF3">
        <w:rPr>
          <w:rFonts w:ascii="Calibri" w:hAnsi="Calibri"/>
        </w:rPr>
        <w:t xml:space="preserve">(Baker, 2014; </w:t>
      </w:r>
      <w:proofErr w:type="spellStart"/>
      <w:r w:rsidR="00620DF3" w:rsidRPr="00620DF3">
        <w:rPr>
          <w:rFonts w:ascii="Calibri" w:hAnsi="Calibri"/>
        </w:rPr>
        <w:t>Brazzeal</w:t>
      </w:r>
      <w:proofErr w:type="spellEnd"/>
      <w:r w:rsidR="00620DF3" w:rsidRPr="00620DF3">
        <w:rPr>
          <w:rFonts w:ascii="Calibri" w:hAnsi="Calibri"/>
        </w:rPr>
        <w:t xml:space="preserve">, 2006; Hicks, 2015; </w:t>
      </w:r>
      <w:proofErr w:type="spellStart"/>
      <w:r w:rsidR="00620DF3" w:rsidRPr="00620DF3">
        <w:rPr>
          <w:rFonts w:ascii="Calibri" w:hAnsi="Calibri"/>
        </w:rPr>
        <w:t>Pendell</w:t>
      </w:r>
      <w:proofErr w:type="spellEnd"/>
      <w:r w:rsidR="00620DF3" w:rsidRPr="00620DF3">
        <w:rPr>
          <w:rFonts w:ascii="Calibri" w:hAnsi="Calibri"/>
        </w:rPr>
        <w:t xml:space="preserve"> and Armstrong, 2014)</w:t>
      </w:r>
      <w:r w:rsidR="00AC74E9">
        <w:t>.</w:t>
      </w:r>
      <w:r w:rsidR="006E0FA1">
        <w:t xml:space="preserve"> </w:t>
      </w:r>
      <w:r w:rsidR="00F122F3">
        <w:t>Librarians have embraced their growing role as educators</w:t>
      </w:r>
      <w:r w:rsidR="002D1462">
        <w:t xml:space="preserve">, shifting </w:t>
      </w:r>
      <w:r w:rsidR="00AC74E9">
        <w:t>to a style of teaching that encourages critical thinking skills</w:t>
      </w:r>
      <w:r w:rsidR="007603F2">
        <w:t>, a style</w:t>
      </w:r>
      <w:r w:rsidR="00F122F3">
        <w:t xml:space="preserve"> the ACRL </w:t>
      </w:r>
      <w:r w:rsidR="00F122F3" w:rsidRPr="00F122F3">
        <w:rPr>
          <w:i/>
        </w:rPr>
        <w:t>Framework</w:t>
      </w:r>
      <w:r w:rsidR="00F122F3">
        <w:t xml:space="preserve"> </w:t>
      </w:r>
      <w:r w:rsidR="00F122F3">
        <w:rPr>
          <w:i/>
        </w:rPr>
        <w:t xml:space="preserve">of Information Literacy </w:t>
      </w:r>
      <w:r w:rsidR="00CC7AB4" w:rsidRPr="00CC7AB4">
        <w:rPr>
          <w:rFonts w:ascii="Calibri" w:hAnsi="Calibri"/>
        </w:rPr>
        <w:t>(2015)</w:t>
      </w:r>
      <w:r w:rsidR="00C86E65">
        <w:t xml:space="preserve"> </w:t>
      </w:r>
      <w:r w:rsidR="00F122F3">
        <w:t xml:space="preserve">encourages. </w:t>
      </w:r>
      <w:r w:rsidR="004D1512">
        <w:t>To what extent h</w:t>
      </w:r>
      <w:r w:rsidR="00CB3654">
        <w:t xml:space="preserve">ave these ideas permeated library </w:t>
      </w:r>
      <w:r>
        <w:t>research guides</w:t>
      </w:r>
      <w:r w:rsidR="00CB3654">
        <w:t>?</w:t>
      </w:r>
    </w:p>
    <w:p w14:paraId="3B51BA10" w14:textId="77777777" w:rsidR="00B84093" w:rsidRDefault="00B84093" w:rsidP="00E10904">
      <w:pPr>
        <w:spacing w:line="480" w:lineRule="auto"/>
      </w:pPr>
    </w:p>
    <w:p w14:paraId="015F8144" w14:textId="4CF1231C" w:rsidR="00DD7D64" w:rsidRDefault="00BE2181" w:rsidP="00E10904">
      <w:pPr>
        <w:spacing w:line="480" w:lineRule="auto"/>
      </w:pPr>
      <w:r>
        <w:t>Although librarians have not explicitly answered this question,</w:t>
      </w:r>
      <w:r w:rsidR="009A2479">
        <w:t xml:space="preserve"> Alison Hicks</w:t>
      </w:r>
      <w:r>
        <w:t xml:space="preserve"> </w:t>
      </w:r>
      <w:r w:rsidR="00620DF3" w:rsidRPr="00620DF3">
        <w:rPr>
          <w:rFonts w:ascii="Calibri" w:hAnsi="Calibri"/>
        </w:rPr>
        <w:t>(2015)</w:t>
      </w:r>
      <w:r w:rsidR="009A2479">
        <w:t xml:space="preserve"> </w:t>
      </w:r>
      <w:r>
        <w:t>comes close</w:t>
      </w:r>
      <w:r w:rsidR="005F74CB">
        <w:t xml:space="preserve"> in her article</w:t>
      </w:r>
      <w:r w:rsidR="00824555">
        <w:t>,</w:t>
      </w:r>
      <w:r w:rsidR="005F74CB">
        <w:t xml:space="preserve"> </w:t>
      </w:r>
      <w:proofErr w:type="spellStart"/>
      <w:r w:rsidR="005F74CB">
        <w:rPr>
          <w:i/>
        </w:rPr>
        <w:t>Libguides</w:t>
      </w:r>
      <w:proofErr w:type="spellEnd"/>
      <w:r w:rsidR="005F74CB">
        <w:rPr>
          <w:i/>
        </w:rPr>
        <w:t>: Pedagogy to Oppress</w:t>
      </w:r>
      <w:r>
        <w:t xml:space="preserve">. </w:t>
      </w:r>
      <w:r w:rsidR="00FE740B">
        <w:t>S</w:t>
      </w:r>
      <w:r>
        <w:t xml:space="preserve">he argues that </w:t>
      </w:r>
      <w:proofErr w:type="spellStart"/>
      <w:r>
        <w:t>LibGuides</w:t>
      </w:r>
      <w:proofErr w:type="spellEnd"/>
      <w:r>
        <w:t xml:space="preserve"> </w:t>
      </w:r>
      <w:r w:rsidR="00ED52EF">
        <w:t>are a prime example of Paulo Freire’s banking concept of education</w:t>
      </w:r>
      <w:r w:rsidR="00FD4864">
        <w:t xml:space="preserve"> </w:t>
      </w:r>
      <w:r w:rsidR="00FD4864" w:rsidRPr="00FD4864">
        <w:rPr>
          <w:rFonts w:ascii="Calibri" w:hAnsi="Calibri"/>
        </w:rPr>
        <w:t>(1986)</w:t>
      </w:r>
      <w:r w:rsidR="00154009">
        <w:t>,</w:t>
      </w:r>
      <w:r w:rsidR="00ED52EF">
        <w:t xml:space="preserve"> </w:t>
      </w:r>
      <w:r w:rsidR="008F1E99">
        <w:t>as they perpetuate</w:t>
      </w:r>
      <w:r w:rsidR="00ED52EF">
        <w:t xml:space="preserve"> </w:t>
      </w:r>
      <w:r>
        <w:t>educ</w:t>
      </w:r>
      <w:r w:rsidR="008E1F62">
        <w:t>ational oppression</w:t>
      </w:r>
      <w:r w:rsidR="00032555">
        <w:t xml:space="preserve"> by simplifying the research process and providing students with a ready-made list of tools</w:t>
      </w:r>
      <w:r w:rsidR="008E1F62">
        <w:t xml:space="preserve">. </w:t>
      </w:r>
      <w:r w:rsidR="00ED52EF">
        <w:t xml:space="preserve">As </w:t>
      </w:r>
      <w:r w:rsidR="00E408B4">
        <w:t>with</w:t>
      </w:r>
      <w:r w:rsidR="00ED52EF">
        <w:t xml:space="preserve"> Freire’s theory, students have no agency when using a </w:t>
      </w:r>
      <w:proofErr w:type="spellStart"/>
      <w:r w:rsidR="00ED52EF">
        <w:t>Libguide</w:t>
      </w:r>
      <w:proofErr w:type="spellEnd"/>
      <w:r w:rsidR="00ED52EF">
        <w:t xml:space="preserve"> comprised of database</w:t>
      </w:r>
      <w:r w:rsidR="002B1E00">
        <w:t xml:space="preserve"> lists</w:t>
      </w:r>
      <w:r w:rsidR="00154009">
        <w:t>;</w:t>
      </w:r>
      <w:r w:rsidR="00ED52EF">
        <w:t xml:space="preserve"> they are simply consuming librarian-defined notions of authority.</w:t>
      </w:r>
      <w:r w:rsidR="008E1F62">
        <w:t xml:space="preserve"> </w:t>
      </w:r>
      <w:r w:rsidR="00FE740B">
        <w:t>She further argues that these</w:t>
      </w:r>
      <w:r w:rsidR="004C04E8">
        <w:t xml:space="preserve"> </w:t>
      </w:r>
      <w:r w:rsidR="00032555">
        <w:t>l</w:t>
      </w:r>
      <w:r w:rsidR="005F211F">
        <w:t>ist</w:t>
      </w:r>
      <w:r w:rsidR="004C04E8">
        <w:t>s</w:t>
      </w:r>
      <w:r w:rsidR="005F211F">
        <w:t xml:space="preserve"> </w:t>
      </w:r>
      <w:r w:rsidR="008E1F62">
        <w:t>of resources</w:t>
      </w:r>
      <w:r w:rsidR="00032555">
        <w:t xml:space="preserve"> decontextualiz</w:t>
      </w:r>
      <w:r w:rsidR="00FE740B">
        <w:t>e</w:t>
      </w:r>
      <w:r w:rsidR="008E1F62">
        <w:t xml:space="preserve"> the research process and </w:t>
      </w:r>
      <w:r w:rsidR="00032555">
        <w:t>privileg</w:t>
      </w:r>
      <w:r w:rsidR="00FE740B">
        <w:t>e</w:t>
      </w:r>
      <w:r w:rsidR="008E1F62">
        <w:t xml:space="preserve"> </w:t>
      </w:r>
      <w:r w:rsidR="00032555">
        <w:t>academic sources</w:t>
      </w:r>
      <w:r w:rsidR="00FE740B">
        <w:t xml:space="preserve">, </w:t>
      </w:r>
      <w:r w:rsidR="00032555">
        <w:t xml:space="preserve">ideas which </w:t>
      </w:r>
      <w:r w:rsidR="005C4765">
        <w:t xml:space="preserve">run </w:t>
      </w:r>
      <w:r>
        <w:t xml:space="preserve">counter </w:t>
      </w:r>
      <w:r w:rsidR="005C4765">
        <w:t xml:space="preserve">to </w:t>
      </w:r>
      <w:r>
        <w:t xml:space="preserve">what the ACRL </w:t>
      </w:r>
      <w:r w:rsidRPr="00965402">
        <w:rPr>
          <w:i/>
        </w:rPr>
        <w:t>Framework</w:t>
      </w:r>
      <w:r>
        <w:t xml:space="preserve"> outlines.</w:t>
      </w:r>
      <w:r w:rsidR="00C746C3">
        <w:t xml:space="preserve"> </w:t>
      </w:r>
      <w:r w:rsidR="005A021B">
        <w:t xml:space="preserve">The first frame itself, “Authority is </w:t>
      </w:r>
      <w:r w:rsidR="00D33300">
        <w:t xml:space="preserve">constructed and </w:t>
      </w:r>
      <w:r w:rsidR="005A021B">
        <w:t>contextual”</w:t>
      </w:r>
      <w:r w:rsidR="00D33300">
        <w:t xml:space="preserve"> </w:t>
      </w:r>
      <w:r w:rsidR="007F7DB6">
        <w:t>proposes</w:t>
      </w:r>
      <w:r w:rsidR="00D33300">
        <w:t xml:space="preserve"> a much more nuanced approach</w:t>
      </w:r>
      <w:r w:rsidR="00FD4864">
        <w:t>, as do the other frames</w:t>
      </w:r>
      <w:r w:rsidR="00A12B42">
        <w:t xml:space="preserve">. “Research as Inquiry” for example, emphasizes the iterative nature of research, a </w:t>
      </w:r>
      <w:r w:rsidR="007603F2">
        <w:t>key idea</w:t>
      </w:r>
      <w:r w:rsidR="00A12B42">
        <w:t xml:space="preserve"> that research guides comprised of resource lists do not. </w:t>
      </w:r>
      <w:r w:rsidR="008F1E99">
        <w:t xml:space="preserve">Hicks (2015) recommends that librarians “engage critically with new technologies such as </w:t>
      </w:r>
      <w:proofErr w:type="spellStart"/>
      <w:r w:rsidR="008F1E99">
        <w:t>LibGuides</w:t>
      </w:r>
      <w:proofErr w:type="spellEnd"/>
      <w:r w:rsidR="008F1E99">
        <w:t xml:space="preserve">,” but creating guides composed of resource lists does not do so. Instead, she suggests creating guides organized around research processes, such as those </w:t>
      </w:r>
      <w:r w:rsidR="00072D39">
        <w:t xml:space="preserve">advocated </w:t>
      </w:r>
      <w:r w:rsidR="008F1E99">
        <w:t xml:space="preserve">by </w:t>
      </w:r>
      <w:proofErr w:type="spellStart"/>
      <w:r w:rsidR="008F1E99">
        <w:t>Pendell</w:t>
      </w:r>
      <w:proofErr w:type="spellEnd"/>
      <w:r w:rsidR="008F1E99">
        <w:t xml:space="preserve"> and Armstrong (2014</w:t>
      </w:r>
      <w:r w:rsidR="00072D39">
        <w:t xml:space="preserve">). </w:t>
      </w:r>
      <w:r w:rsidR="008F1E99">
        <w:t xml:space="preserve">The </w:t>
      </w:r>
      <w:r w:rsidR="008F1E99">
        <w:lastRenderedPageBreak/>
        <w:t xml:space="preserve">application of the </w:t>
      </w:r>
      <w:r w:rsidR="008F1E99">
        <w:rPr>
          <w:i/>
        </w:rPr>
        <w:t>Framework</w:t>
      </w:r>
      <w:r w:rsidR="008F1E99">
        <w:t xml:space="preserve"> could be instrumental to helping librarians develop guides that promote a more complex notion of research.</w:t>
      </w:r>
    </w:p>
    <w:p w14:paraId="2EBCE172" w14:textId="77777777" w:rsidR="004C04E8" w:rsidRDefault="004C04E8" w:rsidP="00E10904">
      <w:pPr>
        <w:spacing w:line="480" w:lineRule="auto"/>
      </w:pPr>
    </w:p>
    <w:p w14:paraId="1F21952D" w14:textId="2936CC41" w:rsidR="004C04E8" w:rsidRDefault="008F1E99" w:rsidP="00E10904">
      <w:pPr>
        <w:spacing w:line="480" w:lineRule="auto"/>
        <w:rPr>
          <w:i/>
        </w:rPr>
      </w:pPr>
      <w:r>
        <w:t xml:space="preserve">In addition to the </w:t>
      </w:r>
      <w:r>
        <w:rPr>
          <w:i/>
        </w:rPr>
        <w:t xml:space="preserve">Framework, </w:t>
      </w:r>
      <w:r w:rsidR="004C04E8">
        <w:t xml:space="preserve">ACRL </w:t>
      </w:r>
      <w:r>
        <w:t xml:space="preserve">recently updated another </w:t>
      </w:r>
      <w:r w:rsidR="003D30A0">
        <w:t xml:space="preserve">guiding </w:t>
      </w:r>
      <w:r w:rsidR="004C04E8">
        <w:t xml:space="preserve">document, the “Roles and Strengths of Teaching Librarians” </w:t>
      </w:r>
      <w:r w:rsidR="00620DF3" w:rsidRPr="00620DF3">
        <w:rPr>
          <w:rFonts w:ascii="Calibri" w:hAnsi="Calibri"/>
        </w:rPr>
        <w:t>(2017)</w:t>
      </w:r>
      <w:r>
        <w:rPr>
          <w:rFonts w:ascii="Calibri" w:hAnsi="Calibri"/>
        </w:rPr>
        <w:t>, which</w:t>
      </w:r>
      <w:r w:rsidR="00FC072F">
        <w:t xml:space="preserve"> </w:t>
      </w:r>
      <w:r w:rsidR="004C04E8">
        <w:t xml:space="preserve">describes </w:t>
      </w:r>
      <w:r>
        <w:t xml:space="preserve">the </w:t>
      </w:r>
      <w:r w:rsidR="004C04E8">
        <w:t xml:space="preserve">strengths that </w:t>
      </w:r>
      <w:r>
        <w:t xml:space="preserve">a proficient teaching </w:t>
      </w:r>
      <w:r w:rsidR="004C04E8">
        <w:t>librarian should have</w:t>
      </w:r>
      <w:r>
        <w:t xml:space="preserve"> and outlines seven</w:t>
      </w:r>
      <w:r w:rsidR="004C04E8">
        <w:t xml:space="preserve"> roles</w:t>
      </w:r>
      <w:r>
        <w:t xml:space="preserve"> that teaching librarians often </w:t>
      </w:r>
      <w:r w:rsidR="00F11001">
        <w:t>perform</w:t>
      </w:r>
      <w:r w:rsidR="004C04E8">
        <w:t xml:space="preserve">. For the role of “teacher,” the document suggests librarians should “adapt concepts from professional documents and guidelines such as the </w:t>
      </w:r>
      <w:r w:rsidR="004C04E8" w:rsidRPr="00FA007C">
        <w:rPr>
          <w:i/>
        </w:rPr>
        <w:t>Framework</w:t>
      </w:r>
      <w:r w:rsidR="004C04E8">
        <w:t xml:space="preserve"> in design and content of instructional situations.” </w:t>
      </w:r>
      <w:r>
        <w:t xml:space="preserve">For the role of “instructional designer,” the document outlines how teaching librarians should create “educational experiences through designing instructional materials […] and learning objects across diverse learning environments,” some of which are online environments. </w:t>
      </w:r>
      <w:r w:rsidR="004C04E8">
        <w:t>Th</w:t>
      </w:r>
      <w:r>
        <w:t>e</w:t>
      </w:r>
      <w:r w:rsidR="004C04E8">
        <w:t>s</w:t>
      </w:r>
      <w:r>
        <w:t>e</w:t>
      </w:r>
      <w:r w:rsidR="004C04E8">
        <w:t xml:space="preserve"> recommendation</w:t>
      </w:r>
      <w:r>
        <w:t>s</w:t>
      </w:r>
      <w:r w:rsidR="004C04E8">
        <w:t xml:space="preserve"> </w:t>
      </w:r>
      <w:r>
        <w:t>give</w:t>
      </w:r>
      <w:r w:rsidR="004C04E8">
        <w:t xml:space="preserve"> librarians </w:t>
      </w:r>
      <w:r>
        <w:t xml:space="preserve">good reason </w:t>
      </w:r>
      <w:r w:rsidR="004C04E8">
        <w:t xml:space="preserve">to incorporate elements of the </w:t>
      </w:r>
      <w:r w:rsidR="004C04E8">
        <w:rPr>
          <w:i/>
        </w:rPr>
        <w:t xml:space="preserve">Framework </w:t>
      </w:r>
      <w:r w:rsidR="004C04E8">
        <w:t>into their library course guides</w:t>
      </w:r>
      <w:r w:rsidR="004C04E8">
        <w:rPr>
          <w:i/>
        </w:rPr>
        <w:t>.</w:t>
      </w:r>
    </w:p>
    <w:p w14:paraId="5F870C7C" w14:textId="77777777" w:rsidR="008F1E99" w:rsidRDefault="008F1E99" w:rsidP="00E10904">
      <w:pPr>
        <w:spacing w:line="480" w:lineRule="auto"/>
      </w:pPr>
    </w:p>
    <w:p w14:paraId="41DAF8F4" w14:textId="0D7EABBF" w:rsidR="00557543" w:rsidRPr="00F06A8A" w:rsidRDefault="00C226B3" w:rsidP="00E10904">
      <w:pPr>
        <w:spacing w:line="480" w:lineRule="auto"/>
      </w:pPr>
      <w:r>
        <w:t xml:space="preserve">First-year writing courses are a common space for information literacy instruction, making first-year writing course guides an ideal object of study. </w:t>
      </w:r>
      <w:r w:rsidR="00557543">
        <w:t xml:space="preserve">This study </w:t>
      </w:r>
      <w:r w:rsidR="00B208FE">
        <w:t xml:space="preserve">is the first to </w:t>
      </w:r>
      <w:r w:rsidR="00557543">
        <w:t xml:space="preserve">undertake a content analysis of first-year writing </w:t>
      </w:r>
      <w:r w:rsidR="00FC072F">
        <w:t xml:space="preserve">course </w:t>
      </w:r>
      <w:r w:rsidR="00557543">
        <w:t>guides</w:t>
      </w:r>
      <w:r w:rsidR="001A5255">
        <w:t>; i</w:t>
      </w:r>
      <w:r w:rsidR="00FD4864">
        <w:t xml:space="preserve">t </w:t>
      </w:r>
      <w:r w:rsidR="004D1512">
        <w:t>seeks</w:t>
      </w:r>
      <w:r w:rsidR="00557543">
        <w:t xml:space="preserve"> to determine </w:t>
      </w:r>
      <w:r w:rsidR="00FD4864">
        <w:t>the</w:t>
      </w:r>
      <w:r w:rsidR="00ED52EF">
        <w:t xml:space="preserve"> extent</w:t>
      </w:r>
      <w:r w:rsidR="00557543">
        <w:t xml:space="preserve"> </w:t>
      </w:r>
      <w:r w:rsidR="00FD4864">
        <w:t xml:space="preserve">to which </w:t>
      </w:r>
      <w:r w:rsidR="00B208FE">
        <w:t xml:space="preserve">librarians include </w:t>
      </w:r>
      <w:r w:rsidR="00FD4864">
        <w:t xml:space="preserve">instructional </w:t>
      </w:r>
      <w:r w:rsidR="00C96C3C">
        <w:t>material</w:t>
      </w:r>
      <w:r w:rsidR="00FD4864">
        <w:t xml:space="preserve"> on these guides</w:t>
      </w:r>
      <w:r w:rsidR="00F06A8A">
        <w:t>, what kind of instructional material is included,</w:t>
      </w:r>
      <w:r w:rsidR="00FD4864">
        <w:t xml:space="preserve"> and whether </w:t>
      </w:r>
      <w:r w:rsidR="00F06A8A">
        <w:t>librarians</w:t>
      </w:r>
      <w:r w:rsidR="00FD4864">
        <w:t xml:space="preserve"> incorporate ideas from the</w:t>
      </w:r>
      <w:r w:rsidR="00557543">
        <w:t xml:space="preserve"> </w:t>
      </w:r>
      <w:r w:rsidR="00557543" w:rsidRPr="00482928">
        <w:rPr>
          <w:i/>
        </w:rPr>
        <w:t>Framework</w:t>
      </w:r>
      <w:r w:rsidR="00FD4864">
        <w:rPr>
          <w:i/>
        </w:rPr>
        <w:t xml:space="preserve"> </w:t>
      </w:r>
      <w:r w:rsidR="00FD4864">
        <w:t xml:space="preserve">into any of their instructional content. </w:t>
      </w:r>
      <w:r w:rsidR="00F06A8A">
        <w:t xml:space="preserve">This analysis provides one measure of how librarians are utilizing the </w:t>
      </w:r>
      <w:r w:rsidR="00F06A8A">
        <w:rPr>
          <w:i/>
        </w:rPr>
        <w:t xml:space="preserve">Framework </w:t>
      </w:r>
      <w:r w:rsidR="00F06A8A">
        <w:t xml:space="preserve">and </w:t>
      </w:r>
      <w:r w:rsidR="007603F2">
        <w:t>provide</w:t>
      </w:r>
      <w:r w:rsidR="00824555">
        <w:t>s</w:t>
      </w:r>
      <w:r w:rsidR="007603F2">
        <w:t xml:space="preserve"> practical insights </w:t>
      </w:r>
      <w:r w:rsidR="00A56994">
        <w:t>for</w:t>
      </w:r>
      <w:r w:rsidR="007603F2">
        <w:t xml:space="preserve"> librarians </w:t>
      </w:r>
      <w:r w:rsidR="00A56994">
        <w:t>to consider as they</w:t>
      </w:r>
      <w:r w:rsidR="007603F2">
        <w:t xml:space="preserve"> </w:t>
      </w:r>
      <w:r w:rsidR="00A56994">
        <w:t>work to improve their</w:t>
      </w:r>
      <w:r w:rsidR="007603F2">
        <w:t xml:space="preserve"> course guides.</w:t>
      </w:r>
    </w:p>
    <w:p w14:paraId="2248B120" w14:textId="68A8CC92" w:rsidR="009F0A75" w:rsidRDefault="00DC2057" w:rsidP="00E10904">
      <w:pPr>
        <w:spacing w:line="480" w:lineRule="auto"/>
      </w:pPr>
      <w:r>
        <w:lastRenderedPageBreak/>
        <w:t xml:space="preserve"> </w:t>
      </w:r>
    </w:p>
    <w:p w14:paraId="5EA792ED" w14:textId="41D1DDA2" w:rsidR="00304149" w:rsidRDefault="00451EF9" w:rsidP="00E10904">
      <w:pPr>
        <w:spacing w:line="480" w:lineRule="auto"/>
      </w:pPr>
      <w:r>
        <w:t>LITERATURE REVIEW</w:t>
      </w:r>
    </w:p>
    <w:p w14:paraId="74505A09" w14:textId="148269BB" w:rsidR="00B21356" w:rsidRDefault="00B21356" w:rsidP="00E10904">
      <w:pPr>
        <w:spacing w:line="480" w:lineRule="auto"/>
      </w:pPr>
      <w:r>
        <w:t xml:space="preserve">Before the </w:t>
      </w:r>
      <w:r>
        <w:rPr>
          <w:i/>
        </w:rPr>
        <w:t xml:space="preserve">ACRL’s Framework for Information Literacy </w:t>
      </w:r>
      <w:r>
        <w:t xml:space="preserve">was officially adopted, ACRL made drafts available for comment, </w:t>
      </w:r>
      <w:proofErr w:type="gramStart"/>
      <w:r>
        <w:t>in an effort to</w:t>
      </w:r>
      <w:proofErr w:type="gramEnd"/>
      <w:r>
        <w:t xml:space="preserve"> solicit feedback and make the process of developing the </w:t>
      </w:r>
      <w:r>
        <w:rPr>
          <w:i/>
        </w:rPr>
        <w:t xml:space="preserve">Framework </w:t>
      </w:r>
      <w:r>
        <w:t>more transparent (A</w:t>
      </w:r>
      <w:r w:rsidR="00004B30">
        <w:t xml:space="preserve">ssociation </w:t>
      </w:r>
      <w:r w:rsidR="008D0BA4">
        <w:t>of College and Research Libraries</w:t>
      </w:r>
      <w:r>
        <w:t>, 2015). These drafts sparked spirited discussion online, at conferences, and elsewhere (A</w:t>
      </w:r>
      <w:r w:rsidR="008D0BA4">
        <w:t xml:space="preserve">ssociation of </w:t>
      </w:r>
      <w:r>
        <w:t>C</w:t>
      </w:r>
      <w:r w:rsidR="008D0BA4">
        <w:t xml:space="preserve">ollege and </w:t>
      </w:r>
      <w:r>
        <w:t>R</w:t>
      </w:r>
      <w:r w:rsidR="008D0BA4">
        <w:t xml:space="preserve">esearch </w:t>
      </w:r>
      <w:r>
        <w:t>L</w:t>
      </w:r>
      <w:r w:rsidR="008D0BA4">
        <w:t>ibraries</w:t>
      </w:r>
      <w:r>
        <w:t xml:space="preserve">, 2015; </w:t>
      </w:r>
      <w:proofErr w:type="spellStart"/>
      <w:r>
        <w:t>Saracevic</w:t>
      </w:r>
      <w:proofErr w:type="spellEnd"/>
      <w:r>
        <w:t xml:space="preserve">, 2014; Wilkinson, 2014, 2015), and once the </w:t>
      </w:r>
      <w:r w:rsidRPr="00455023">
        <w:rPr>
          <w:i/>
        </w:rPr>
        <w:t xml:space="preserve">Framework </w:t>
      </w:r>
      <w:r>
        <w:t xml:space="preserve">was officially adopted, </w:t>
      </w:r>
      <w:r w:rsidRPr="00702077">
        <w:t>these</w:t>
      </w:r>
      <w:r>
        <w:t xml:space="preserve"> conversations showed little signs of waning (Berg</w:t>
      </w:r>
      <w:r w:rsidR="008D0BA4">
        <w:t xml:space="preserve"> et. al.</w:t>
      </w:r>
      <w:r>
        <w:t xml:space="preserve">, 2015; </w:t>
      </w:r>
      <w:proofErr w:type="spellStart"/>
      <w:r>
        <w:t>Bombaro</w:t>
      </w:r>
      <w:proofErr w:type="spellEnd"/>
      <w:r>
        <w:t xml:space="preserve">, 2016). For a helpful summation of many of these arguments, see </w:t>
      </w:r>
      <w:proofErr w:type="spellStart"/>
      <w:r>
        <w:t>Tefko</w:t>
      </w:r>
      <w:proofErr w:type="spellEnd"/>
      <w:r>
        <w:t xml:space="preserve"> </w:t>
      </w:r>
      <w:proofErr w:type="spellStart"/>
      <w:r>
        <w:t>Saracevic’s</w:t>
      </w:r>
      <w:proofErr w:type="spellEnd"/>
      <w:r>
        <w:t xml:space="preserve"> (2014) article, “Information Literacy in the United States: Contemporary Transformations and Controversies” which outlines some of the main criticisms. In brief, a number of librarians argued that threshold concepts, the </w:t>
      </w:r>
      <w:r>
        <w:rPr>
          <w:i/>
        </w:rPr>
        <w:t>Framework</w:t>
      </w:r>
      <w:r>
        <w:t>’s central organizing principle could not be faithfully applied to information literacy (</w:t>
      </w:r>
      <w:proofErr w:type="spellStart"/>
      <w:r>
        <w:t>Bombaro</w:t>
      </w:r>
      <w:proofErr w:type="spellEnd"/>
      <w:r>
        <w:t xml:space="preserve">, 2016; Wilkinson, 2015; </w:t>
      </w:r>
      <w:proofErr w:type="spellStart"/>
      <w:r>
        <w:t>Saracevic</w:t>
      </w:r>
      <w:proofErr w:type="spellEnd"/>
      <w:r>
        <w:t>, 2014). Additional criticisms included the lack of designated learning outcomes and assessment options, the preponderance of jargon, and the assertion that it was “elitist” (Berg</w:t>
      </w:r>
      <w:r w:rsidR="008D0BA4">
        <w:t xml:space="preserve"> </w:t>
      </w:r>
      <w:r w:rsidRPr="008D0BA4">
        <w:t xml:space="preserve">et. al., </w:t>
      </w:r>
      <w:r>
        <w:t xml:space="preserve">2015; </w:t>
      </w:r>
      <w:proofErr w:type="spellStart"/>
      <w:r>
        <w:t>Bombaro</w:t>
      </w:r>
      <w:proofErr w:type="spellEnd"/>
      <w:r>
        <w:t xml:space="preserve">, 2016; </w:t>
      </w:r>
      <w:proofErr w:type="spellStart"/>
      <w:r>
        <w:t>Saracevic</w:t>
      </w:r>
      <w:proofErr w:type="spellEnd"/>
      <w:r>
        <w:t>, 2014).</w:t>
      </w:r>
    </w:p>
    <w:p w14:paraId="58064177" w14:textId="77777777" w:rsidR="00B21356" w:rsidRDefault="00B21356" w:rsidP="00E10904">
      <w:pPr>
        <w:spacing w:line="480" w:lineRule="auto"/>
      </w:pPr>
    </w:p>
    <w:p w14:paraId="24C4A425" w14:textId="2ACDB1E9" w:rsidR="00B21356" w:rsidRPr="0044163C" w:rsidRDefault="00B21356" w:rsidP="00B21356">
      <w:pPr>
        <w:spacing w:line="480" w:lineRule="auto"/>
      </w:pPr>
      <w:r>
        <w:t xml:space="preserve">Despite these reservations, other librarians argued that the </w:t>
      </w:r>
      <w:r>
        <w:rPr>
          <w:i/>
        </w:rPr>
        <w:t xml:space="preserve">Framework, </w:t>
      </w:r>
      <w:r>
        <w:t>and threshold concepts themselves (</w:t>
      </w:r>
      <w:r w:rsidRPr="00734122">
        <w:rPr>
          <w:rFonts w:ascii="Calibri" w:eastAsia="Calibri" w:hAnsi="Calibri" w:cs="Times New Roman"/>
        </w:rPr>
        <w:t>Townsend</w:t>
      </w:r>
      <w:r w:rsidR="008D0BA4">
        <w:rPr>
          <w:rFonts w:ascii="Calibri" w:eastAsia="Calibri" w:hAnsi="Calibri" w:cs="Times New Roman"/>
        </w:rPr>
        <w:t xml:space="preserve"> </w:t>
      </w:r>
      <w:r w:rsidRPr="008D0BA4">
        <w:rPr>
          <w:rFonts w:ascii="Calibri" w:eastAsia="Calibri" w:hAnsi="Calibri" w:cs="Times New Roman"/>
        </w:rPr>
        <w:t>et. al.,</w:t>
      </w:r>
      <w:r w:rsidRPr="00734122">
        <w:rPr>
          <w:rFonts w:ascii="Calibri" w:eastAsia="Calibri" w:hAnsi="Calibri" w:cs="Times New Roman"/>
          <w:i/>
        </w:rPr>
        <w:t xml:space="preserve"> </w:t>
      </w:r>
      <w:r w:rsidRPr="00734122">
        <w:rPr>
          <w:rFonts w:ascii="Calibri" w:eastAsia="Calibri" w:hAnsi="Calibri" w:cs="Times New Roman"/>
        </w:rPr>
        <w:t>2011</w:t>
      </w:r>
      <w:r>
        <w:t xml:space="preserve">), were a welcome move away from the prescriptive </w:t>
      </w:r>
      <w:r w:rsidRPr="00A915F9">
        <w:rPr>
          <w:i/>
        </w:rPr>
        <w:t>Standards</w:t>
      </w:r>
      <w:r>
        <w:rPr>
          <w:i/>
        </w:rPr>
        <w:t xml:space="preserve"> </w:t>
      </w:r>
      <w:r>
        <w:t xml:space="preserve">(Farkas, 2016; </w:t>
      </w:r>
      <w:proofErr w:type="spellStart"/>
      <w:r>
        <w:t>Foasberg</w:t>
      </w:r>
      <w:proofErr w:type="spellEnd"/>
      <w:r>
        <w:t xml:space="preserve">, 2015; Jacobson and Gibson, 2015; </w:t>
      </w:r>
      <w:proofErr w:type="spellStart"/>
      <w:r>
        <w:t>Seeber</w:t>
      </w:r>
      <w:proofErr w:type="spellEnd"/>
      <w:r>
        <w:t>, 2015)</w:t>
      </w:r>
      <w:r>
        <w:rPr>
          <w:i/>
        </w:rPr>
        <w:t xml:space="preserve">. </w:t>
      </w:r>
      <w:proofErr w:type="spellStart"/>
      <w:r>
        <w:t>Foasberg</w:t>
      </w:r>
      <w:proofErr w:type="spellEnd"/>
      <w:r>
        <w:t xml:space="preserve"> (2015) argued that “the </w:t>
      </w:r>
      <w:r>
        <w:rPr>
          <w:i/>
        </w:rPr>
        <w:t xml:space="preserve">Framework’s </w:t>
      </w:r>
      <w:r>
        <w:t xml:space="preserve">embrace of a social constructivist philosophy—which holds that knowledge is constructed and reconstructed through social interactions—makes it </w:t>
      </w:r>
      <w:r>
        <w:lastRenderedPageBreak/>
        <w:t xml:space="preserve">less reductive and more inclusive than the Standard’s positivist approach” (p. 702). Gibson and Jacobson (2014) appreciated the potential for the </w:t>
      </w:r>
      <w:r>
        <w:rPr>
          <w:i/>
        </w:rPr>
        <w:t xml:space="preserve">Framework </w:t>
      </w:r>
      <w:r>
        <w:t xml:space="preserve">to help librarians illicit “revelatory ‘aha’ moments” in their students and saw it as a vehicle to help students understand the ‘why’ not just the ‘how’” of research (p. 250). </w:t>
      </w:r>
    </w:p>
    <w:p w14:paraId="57E016C4" w14:textId="77777777" w:rsidR="002F0AAB" w:rsidRDefault="002F0AAB" w:rsidP="00E10904">
      <w:pPr>
        <w:spacing w:line="480" w:lineRule="auto"/>
      </w:pPr>
    </w:p>
    <w:p w14:paraId="17EDF5F4" w14:textId="1F2DC92F" w:rsidR="00455023" w:rsidRPr="00455023" w:rsidRDefault="002F0AAB" w:rsidP="00E10904">
      <w:pPr>
        <w:spacing w:line="480" w:lineRule="auto"/>
      </w:pPr>
      <w:r>
        <w:t>Regardless of the controversies, t</w:t>
      </w:r>
      <w:r w:rsidR="00455023" w:rsidRPr="00455023">
        <w:t xml:space="preserve">he adoption of </w:t>
      </w:r>
      <w:r>
        <w:t xml:space="preserve">the </w:t>
      </w:r>
      <w:r w:rsidR="00455023" w:rsidRPr="00455023">
        <w:rPr>
          <w:i/>
        </w:rPr>
        <w:t xml:space="preserve">Framework </w:t>
      </w:r>
      <w:r w:rsidR="004D1512">
        <w:t>prompted many</w:t>
      </w:r>
      <w:r w:rsidR="00455023" w:rsidRPr="00455023">
        <w:t xml:space="preserve"> instruction librarians to reflect on their pedagogy and to experiment with new ideas in the classroom</w:t>
      </w:r>
      <w:r>
        <w:t>, such as</w:t>
      </w:r>
      <w:r w:rsidR="00455023" w:rsidRPr="00455023">
        <w:t xml:space="preserve"> </w:t>
      </w:r>
      <w:r>
        <w:t>organizing one-shot instruction around one or two threshold concepts and using flipped instruction (Porter, 2014) and developing semester-long community engagement assignments for undergraduate capstone courses (Mays, 2016). These s</w:t>
      </w:r>
      <w:r w:rsidR="00455023" w:rsidRPr="00455023">
        <w:t xml:space="preserve">tudies </w:t>
      </w:r>
      <w:r>
        <w:t xml:space="preserve">and others investigating </w:t>
      </w:r>
      <w:r w:rsidR="00455023" w:rsidRPr="00455023">
        <w:t xml:space="preserve">how librarians are using the </w:t>
      </w:r>
      <w:r w:rsidR="00455023" w:rsidRPr="00455023">
        <w:rPr>
          <w:i/>
        </w:rPr>
        <w:t xml:space="preserve">Framework </w:t>
      </w:r>
      <w:r w:rsidR="00455023" w:rsidRPr="00455023">
        <w:t>in their teaching</w:t>
      </w:r>
      <w:r w:rsidR="00681FA2">
        <w:t xml:space="preserve"> </w:t>
      </w:r>
      <w:r>
        <w:fldChar w:fldCharType="begin"/>
      </w:r>
      <w:r>
        <w:instrText>ADDIN RW.CITE{{doc:5a0b34b0e4b02bad79fd8926 Christensen,MeaganK 2015; doc:5a0b34b0e4b02bad79fd8935 Houtman,Eveline1 2015; doc:5a0b7468e4b0e70d304dff5a Jacobson,TrudiE 2015; doc:5a0b34b0e4b02bad79fd893e Hurley,DavidA 2017}}</w:instrText>
      </w:r>
      <w:r>
        <w:fldChar w:fldCharType="separate"/>
      </w:r>
      <w:r w:rsidRPr="00340F35">
        <w:rPr>
          <w:rFonts w:ascii="Calibri" w:hAnsi="Calibri"/>
        </w:rPr>
        <w:t>(</w:t>
      </w:r>
      <w:r>
        <w:rPr>
          <w:rFonts w:ascii="Calibri" w:hAnsi="Calibri"/>
        </w:rPr>
        <w:t xml:space="preserve">Bauder and Rod, 2016; </w:t>
      </w:r>
      <w:r w:rsidRPr="00340F35">
        <w:rPr>
          <w:rFonts w:ascii="Calibri" w:hAnsi="Calibri"/>
        </w:rPr>
        <w:t xml:space="preserve">Christensen, 2015; Houtman, 2015; Hurley </w:t>
      </w:r>
      <w:r w:rsidR="008D0BA4">
        <w:rPr>
          <w:rFonts w:ascii="Calibri" w:hAnsi="Calibri"/>
        </w:rPr>
        <w:t>and</w:t>
      </w:r>
      <w:r w:rsidRPr="00340F35">
        <w:rPr>
          <w:rFonts w:ascii="Calibri" w:hAnsi="Calibri"/>
        </w:rPr>
        <w:t xml:space="preserve"> Potter, 2017; Jacobson </w:t>
      </w:r>
      <w:r w:rsidR="008D0BA4">
        <w:rPr>
          <w:rFonts w:ascii="Calibri" w:hAnsi="Calibri"/>
        </w:rPr>
        <w:t>and</w:t>
      </w:r>
      <w:r w:rsidRPr="00340F35">
        <w:rPr>
          <w:rFonts w:ascii="Calibri" w:hAnsi="Calibri"/>
        </w:rPr>
        <w:t xml:space="preserve"> Gibson, 2015)</w:t>
      </w:r>
      <w:r>
        <w:fldChar w:fldCharType="end"/>
      </w:r>
      <w:r w:rsidRPr="00455023">
        <w:t xml:space="preserve"> </w:t>
      </w:r>
      <w:r w:rsidR="00681FA2">
        <w:t>are</w:t>
      </w:r>
      <w:r w:rsidR="00455023" w:rsidRPr="00455023">
        <w:t xml:space="preserve"> </w:t>
      </w:r>
      <w:r w:rsidR="000A7A09">
        <w:t>lay</w:t>
      </w:r>
      <w:r>
        <w:t>ing</w:t>
      </w:r>
      <w:r w:rsidR="00455023" w:rsidRPr="00455023">
        <w:t xml:space="preserve"> the groundwork for </w:t>
      </w:r>
      <w:r w:rsidR="007403E2">
        <w:t>best practices</w:t>
      </w:r>
      <w:r>
        <w:t>.</w:t>
      </w:r>
      <w:r w:rsidR="001D6CA1">
        <w:t xml:space="preserve"> </w:t>
      </w:r>
    </w:p>
    <w:p w14:paraId="4EDE88DB" w14:textId="77777777" w:rsidR="00455023" w:rsidRDefault="00455023" w:rsidP="00E10904">
      <w:pPr>
        <w:spacing w:line="480" w:lineRule="auto"/>
      </w:pPr>
    </w:p>
    <w:p w14:paraId="47107125" w14:textId="7B57A5B6" w:rsidR="00325026" w:rsidRDefault="008E1F62" w:rsidP="00E10904">
      <w:pPr>
        <w:spacing w:line="480" w:lineRule="auto"/>
      </w:pPr>
      <w:r>
        <w:t xml:space="preserve">Given </w:t>
      </w:r>
      <w:r w:rsidR="00032555">
        <w:t xml:space="preserve">the </w:t>
      </w:r>
      <w:r>
        <w:t xml:space="preserve">popularity </w:t>
      </w:r>
      <w:r w:rsidR="00032555">
        <w:t xml:space="preserve">of </w:t>
      </w:r>
      <w:r w:rsidR="0012529B">
        <w:t xml:space="preserve">online </w:t>
      </w:r>
      <w:r w:rsidR="00032555">
        <w:t>research guides</w:t>
      </w:r>
      <w:r>
        <w:t xml:space="preserve">, </w:t>
      </w:r>
      <w:r w:rsidR="00D41C83">
        <w:t>the number of studies in the library literature is not surprising</w:t>
      </w:r>
      <w:r>
        <w:t xml:space="preserve">. </w:t>
      </w:r>
      <w:r w:rsidR="002F0AAB">
        <w:t>Despite the time and effort many librarians put into creating subject guides, however, s</w:t>
      </w:r>
      <w:r w:rsidR="00B74417">
        <w:t xml:space="preserve">everal researchers have found that students tend not to use subject guides or do so only as a last resort </w:t>
      </w:r>
      <w:r w:rsidR="00620DF3" w:rsidRPr="00620DF3">
        <w:rPr>
          <w:rFonts w:ascii="Calibri" w:hAnsi="Calibri"/>
        </w:rPr>
        <w:t xml:space="preserve">(Ouellette, 2011; </w:t>
      </w:r>
      <w:proofErr w:type="spellStart"/>
      <w:r w:rsidR="00620DF3" w:rsidRPr="00620DF3">
        <w:rPr>
          <w:rFonts w:ascii="Calibri" w:hAnsi="Calibri"/>
        </w:rPr>
        <w:t>Reeb</w:t>
      </w:r>
      <w:proofErr w:type="spellEnd"/>
      <w:r w:rsidR="00620DF3" w:rsidRPr="00620DF3">
        <w:rPr>
          <w:rFonts w:ascii="Calibri" w:hAnsi="Calibri"/>
        </w:rPr>
        <w:t xml:space="preserve"> and Gibbons, 2004; Staley, 2007)</w:t>
      </w:r>
      <w:r w:rsidR="00B74417">
        <w:t xml:space="preserve">. Reasons vary; Ouellette </w:t>
      </w:r>
      <w:r w:rsidR="00620DF3" w:rsidRPr="00620DF3">
        <w:rPr>
          <w:rFonts w:ascii="Calibri" w:hAnsi="Calibri"/>
        </w:rPr>
        <w:t>(2011)</w:t>
      </w:r>
      <w:r w:rsidR="00FC072F">
        <w:t xml:space="preserve"> </w:t>
      </w:r>
      <w:r w:rsidR="00B74417">
        <w:t xml:space="preserve">found that students </w:t>
      </w:r>
      <w:r w:rsidR="00F25489">
        <w:t>were unaware of the guides</w:t>
      </w:r>
      <w:r w:rsidR="00B74417">
        <w:t xml:space="preserve">, </w:t>
      </w:r>
      <w:r w:rsidR="00656F6F">
        <w:t>preferred</w:t>
      </w:r>
      <w:r w:rsidR="00B74417">
        <w:t xml:space="preserve"> </w:t>
      </w:r>
      <w:r w:rsidR="00F2075C">
        <w:t>re</w:t>
      </w:r>
      <w:r w:rsidR="00B74417">
        <w:t>searching on the in</w:t>
      </w:r>
      <w:r w:rsidR="00E150A8">
        <w:t>ternet, or felt</w:t>
      </w:r>
      <w:r w:rsidR="00BD50E7">
        <w:t xml:space="preserve"> that they </w:t>
      </w:r>
      <w:r w:rsidR="00E150A8">
        <w:t>did</w:t>
      </w:r>
      <w:r w:rsidR="00BD50E7">
        <w:t xml:space="preserve"> not </w:t>
      </w:r>
      <w:r w:rsidR="00B74417">
        <w:t xml:space="preserve">need a subject guide. </w:t>
      </w:r>
      <w:proofErr w:type="spellStart"/>
      <w:r w:rsidR="0033656F">
        <w:t>Reeb</w:t>
      </w:r>
      <w:proofErr w:type="spellEnd"/>
      <w:r w:rsidR="0033656F">
        <w:t xml:space="preserve"> and Gibbons </w:t>
      </w:r>
      <w:r w:rsidR="00620DF3" w:rsidRPr="00620DF3">
        <w:rPr>
          <w:rFonts w:ascii="Calibri" w:hAnsi="Calibri"/>
        </w:rPr>
        <w:t>(2004)</w:t>
      </w:r>
      <w:r w:rsidR="00F2075C">
        <w:t xml:space="preserve"> </w:t>
      </w:r>
      <w:r w:rsidR="0033656F">
        <w:t xml:space="preserve">found that undergraduate students in particular </w:t>
      </w:r>
      <w:r w:rsidR="00325026">
        <w:t>did</w:t>
      </w:r>
      <w:r w:rsidR="004172DC">
        <w:t xml:space="preserve"> no</w:t>
      </w:r>
      <w:r w:rsidR="00325026">
        <w:t>t use subject guides</w:t>
      </w:r>
      <w:r w:rsidR="0033656F">
        <w:t xml:space="preserve"> because they </w:t>
      </w:r>
      <w:r w:rsidR="00325026">
        <w:t xml:space="preserve">lacked an </w:t>
      </w:r>
      <w:r w:rsidR="00325026">
        <w:lastRenderedPageBreak/>
        <w:t xml:space="preserve">understanding of </w:t>
      </w:r>
      <w:r w:rsidR="0033656F">
        <w:t>scholarly disciplines</w:t>
      </w:r>
      <w:r w:rsidR="007603F2">
        <w:t xml:space="preserve"> and </w:t>
      </w:r>
      <w:r w:rsidR="004172DC">
        <w:t>could not determine which</w:t>
      </w:r>
      <w:r w:rsidR="007603F2">
        <w:t xml:space="preserve"> subject guide would be most appropriate for their research needs</w:t>
      </w:r>
      <w:r w:rsidR="0033656F">
        <w:t xml:space="preserve">. </w:t>
      </w:r>
    </w:p>
    <w:p w14:paraId="6B9574C1" w14:textId="77777777" w:rsidR="00325026" w:rsidRDefault="00325026" w:rsidP="00E10904">
      <w:pPr>
        <w:spacing w:line="480" w:lineRule="auto"/>
      </w:pPr>
    </w:p>
    <w:p w14:paraId="182129FC" w14:textId="0E104286" w:rsidR="00B74417" w:rsidRDefault="00F2075C" w:rsidP="00E10904">
      <w:pPr>
        <w:spacing w:line="480" w:lineRule="auto"/>
      </w:pPr>
      <w:r>
        <w:t>S</w:t>
      </w:r>
      <w:r w:rsidR="00325026">
        <w:t>tudents do</w:t>
      </w:r>
      <w:r>
        <w:t>, however,</w:t>
      </w:r>
      <w:r w:rsidR="00325026">
        <w:t xml:space="preserve"> turn to subject guides under </w:t>
      </w:r>
      <w:r w:rsidR="000A7A09">
        <w:t>a few</w:t>
      </w:r>
      <w:r w:rsidR="004172DC">
        <w:t xml:space="preserve">, specific </w:t>
      </w:r>
      <w:r w:rsidR="00325026">
        <w:t>circumstances. S</w:t>
      </w:r>
      <w:r w:rsidR="00BD50E7">
        <w:t xml:space="preserve">tudents will use </w:t>
      </w:r>
      <w:r w:rsidR="00F25489">
        <w:t xml:space="preserve">subject </w:t>
      </w:r>
      <w:r w:rsidR="00BD50E7">
        <w:t xml:space="preserve">guides </w:t>
      </w:r>
      <w:r w:rsidR="006A5123">
        <w:t>if they are</w:t>
      </w:r>
      <w:r w:rsidR="002F0AAB">
        <w:t xml:space="preserve"> confused and their attempts to use other resources haven’t been effective; if they are researching a new discipline; </w:t>
      </w:r>
      <w:r w:rsidR="00BD50E7">
        <w:t xml:space="preserve">or if their instructor </w:t>
      </w:r>
      <w:r w:rsidR="00325026">
        <w:t xml:space="preserve">suggests they do so </w:t>
      </w:r>
      <w:r w:rsidR="00620DF3" w:rsidRPr="00620DF3">
        <w:rPr>
          <w:rFonts w:ascii="Calibri" w:hAnsi="Calibri"/>
        </w:rPr>
        <w:t>(Ouellette, 2011)</w:t>
      </w:r>
      <w:r w:rsidR="00BD50E7">
        <w:t xml:space="preserve">. </w:t>
      </w:r>
      <w:r w:rsidR="005C4765">
        <w:t xml:space="preserve">Librarian advice also plays a role; </w:t>
      </w:r>
      <w:r w:rsidR="00BD50E7">
        <w:t xml:space="preserve">Staley </w:t>
      </w:r>
      <w:r w:rsidR="00620DF3" w:rsidRPr="00620DF3">
        <w:rPr>
          <w:rFonts w:ascii="Calibri" w:hAnsi="Calibri"/>
        </w:rPr>
        <w:t>(2007)</w:t>
      </w:r>
      <w:r w:rsidR="00BD50E7">
        <w:t xml:space="preserve"> found </w:t>
      </w:r>
      <w:r w:rsidR="005C4765">
        <w:t>a correlation between students who had library instruction and subject guide use.</w:t>
      </w:r>
      <w:r w:rsidR="002F3979">
        <w:t xml:space="preserve"> </w:t>
      </w:r>
    </w:p>
    <w:p w14:paraId="71BFC683" w14:textId="77777777" w:rsidR="001D6D48" w:rsidRDefault="001D6D48" w:rsidP="00E10904">
      <w:pPr>
        <w:spacing w:line="480" w:lineRule="auto"/>
      </w:pPr>
    </w:p>
    <w:p w14:paraId="652F7378" w14:textId="56080F6C" w:rsidR="001D6D48" w:rsidRDefault="001D6D48" w:rsidP="00E10904">
      <w:pPr>
        <w:spacing w:line="480" w:lineRule="auto"/>
      </w:pPr>
      <w:r>
        <w:t>Hintz</w:t>
      </w:r>
      <w:r w:rsidR="0080076D">
        <w:t xml:space="preserve"> </w:t>
      </w:r>
      <w:r>
        <w:t xml:space="preserve">et. al. </w:t>
      </w:r>
      <w:r w:rsidR="00620DF3" w:rsidRPr="00620DF3">
        <w:rPr>
          <w:rFonts w:ascii="Calibri" w:hAnsi="Calibri"/>
        </w:rPr>
        <w:t>(2010)</w:t>
      </w:r>
      <w:r>
        <w:t xml:space="preserve"> also looked at student preferences and found that students </w:t>
      </w:r>
      <w:r w:rsidR="00B817E8">
        <w:t xml:space="preserve">favored clean, </w:t>
      </w:r>
      <w:r>
        <w:t>simple layouts. Students disliked guides that had “too many words” (p. 45)</w:t>
      </w:r>
      <w:r w:rsidR="00F2075C">
        <w:t xml:space="preserve"> or were messy and cluttered,</w:t>
      </w:r>
      <w:r>
        <w:t xml:space="preserve"> and preferred </w:t>
      </w:r>
      <w:r w:rsidR="00325026">
        <w:t xml:space="preserve">guides that kept </w:t>
      </w:r>
      <w:r>
        <w:t xml:space="preserve">scrolling to a minimum. </w:t>
      </w:r>
      <w:r w:rsidR="004D1512">
        <w:t xml:space="preserve">Students </w:t>
      </w:r>
      <w:r w:rsidR="004172DC">
        <w:t xml:space="preserve">in their study </w:t>
      </w:r>
      <w:r w:rsidR="004D1512">
        <w:t>valued v</w:t>
      </w:r>
      <w:r w:rsidR="00B817E8">
        <w:t xml:space="preserve">isual design </w:t>
      </w:r>
      <w:r w:rsidR="004D1512">
        <w:t>so much</w:t>
      </w:r>
      <w:r w:rsidR="00B817E8">
        <w:t xml:space="preserve"> that guides rated highest in that category were chosen as </w:t>
      </w:r>
      <w:r w:rsidR="008F3EA7">
        <w:t>student</w:t>
      </w:r>
      <w:r w:rsidR="00B817E8">
        <w:t xml:space="preserve"> favorites</w:t>
      </w:r>
      <w:r w:rsidR="00C96C3C">
        <w:t>,</w:t>
      </w:r>
      <w:r w:rsidR="00B817E8">
        <w:t xml:space="preserve"> despite other guides scoring higher on content and </w:t>
      </w:r>
      <w:r w:rsidR="007603F2">
        <w:t xml:space="preserve">student </w:t>
      </w:r>
      <w:r w:rsidR="00B817E8">
        <w:t>comprehension.</w:t>
      </w:r>
    </w:p>
    <w:p w14:paraId="0B9B45F7" w14:textId="77777777" w:rsidR="00F2075C" w:rsidRDefault="00F2075C" w:rsidP="00E10904">
      <w:pPr>
        <w:spacing w:line="480" w:lineRule="auto"/>
      </w:pPr>
    </w:p>
    <w:p w14:paraId="772DE8E3" w14:textId="2B7096EF" w:rsidR="00FC404D" w:rsidRDefault="00325026" w:rsidP="00E10904">
      <w:pPr>
        <w:spacing w:line="480" w:lineRule="auto"/>
      </w:pPr>
      <w:r>
        <w:t>Many</w:t>
      </w:r>
      <w:r w:rsidR="00BD50E7">
        <w:t xml:space="preserve"> </w:t>
      </w:r>
      <w:r>
        <w:t>librarians</w:t>
      </w:r>
      <w:r w:rsidR="00BD50E7">
        <w:t xml:space="preserve"> have found </w:t>
      </w:r>
      <w:r>
        <w:t xml:space="preserve">innovative ways </w:t>
      </w:r>
      <w:r w:rsidR="00BD50E7">
        <w:t xml:space="preserve">to improve subject and research guides. </w:t>
      </w:r>
      <w:proofErr w:type="spellStart"/>
      <w:r w:rsidR="002F3979">
        <w:t>Reeb</w:t>
      </w:r>
      <w:proofErr w:type="spellEnd"/>
      <w:r w:rsidR="002F3979">
        <w:t xml:space="preserve"> </w:t>
      </w:r>
      <w:r w:rsidR="008D0BA4">
        <w:t>and</w:t>
      </w:r>
      <w:r w:rsidR="002F3979">
        <w:t xml:space="preserve"> Gibbons </w:t>
      </w:r>
      <w:r w:rsidR="00620DF3" w:rsidRPr="00620DF3">
        <w:rPr>
          <w:rFonts w:ascii="Calibri" w:hAnsi="Calibri"/>
        </w:rPr>
        <w:t>(2004)</w:t>
      </w:r>
      <w:r w:rsidR="002F3979">
        <w:t xml:space="preserve"> suggest that guides be organized by students’ cognitive processes, rather than by source format, a finding corroborated by </w:t>
      </w:r>
      <w:r w:rsidR="00BD50E7">
        <w:t xml:space="preserve">Staley </w:t>
      </w:r>
      <w:r w:rsidR="00620DF3" w:rsidRPr="00620DF3">
        <w:rPr>
          <w:rFonts w:ascii="Calibri" w:hAnsi="Calibri"/>
        </w:rPr>
        <w:t>(2007)</w:t>
      </w:r>
      <w:r w:rsidR="002F3979">
        <w:t xml:space="preserve">, </w:t>
      </w:r>
      <w:proofErr w:type="spellStart"/>
      <w:r w:rsidR="002F3979">
        <w:t>Sinkinson</w:t>
      </w:r>
      <w:proofErr w:type="spellEnd"/>
      <w:r w:rsidR="002F3979">
        <w:t xml:space="preserve"> et. al. </w:t>
      </w:r>
      <w:r w:rsidR="00620DF3" w:rsidRPr="00620DF3">
        <w:rPr>
          <w:rFonts w:ascii="Calibri" w:hAnsi="Calibri"/>
        </w:rPr>
        <w:t>(2012)</w:t>
      </w:r>
      <w:r w:rsidR="002F3979">
        <w:t xml:space="preserve">, and </w:t>
      </w:r>
      <w:proofErr w:type="spellStart"/>
      <w:r w:rsidR="002F3979">
        <w:t>Alverson</w:t>
      </w:r>
      <w:proofErr w:type="spellEnd"/>
      <w:r w:rsidR="002F3979">
        <w:t xml:space="preserve"> et. al. </w:t>
      </w:r>
      <w:r w:rsidR="00620DF3" w:rsidRPr="00620DF3">
        <w:rPr>
          <w:rFonts w:ascii="Calibri" w:hAnsi="Calibri"/>
        </w:rPr>
        <w:t>(2015)</w:t>
      </w:r>
      <w:r w:rsidR="002F3979">
        <w:t xml:space="preserve">. </w:t>
      </w:r>
      <w:proofErr w:type="spellStart"/>
      <w:r w:rsidR="002F0AAB">
        <w:t>Reeb</w:t>
      </w:r>
      <w:proofErr w:type="spellEnd"/>
      <w:r w:rsidR="002F0AAB">
        <w:t xml:space="preserve"> and Gibbons (2004) argue that “guides that are organized or delivered at the course level appear to be more in lie with how students approach library research” (p. 128). </w:t>
      </w:r>
      <w:r>
        <w:t>Course guides in and of themselves are not enough, however</w:t>
      </w:r>
      <w:r w:rsidR="001C501E">
        <w:t xml:space="preserve">; they need to be designed in a pedagogically sound manner </w:t>
      </w:r>
      <w:r w:rsidR="001C501E" w:rsidRPr="00620DF3">
        <w:rPr>
          <w:rFonts w:ascii="Calibri" w:hAnsi="Calibri"/>
        </w:rPr>
        <w:t>(German, 2017; Lee et al., 2017)</w:t>
      </w:r>
      <w:r>
        <w:t xml:space="preserve">. </w:t>
      </w:r>
      <w:proofErr w:type="gramStart"/>
      <w:r w:rsidR="001C501E">
        <w:t>Despite the fact that</w:t>
      </w:r>
      <w:proofErr w:type="gramEnd"/>
      <w:r w:rsidR="001C501E">
        <w:t xml:space="preserve"> </w:t>
      </w:r>
      <w:r w:rsidR="00676FC4">
        <w:t>m</w:t>
      </w:r>
      <w:r w:rsidR="00FC404D">
        <w:t>any</w:t>
      </w:r>
      <w:r w:rsidR="000F36B7">
        <w:t xml:space="preserve"> </w:t>
      </w:r>
      <w:r w:rsidR="000F36B7">
        <w:lastRenderedPageBreak/>
        <w:t xml:space="preserve">librarians </w:t>
      </w:r>
      <w:r w:rsidR="00676FC4">
        <w:t xml:space="preserve">have come to see </w:t>
      </w:r>
      <w:r w:rsidR="001C501E">
        <w:t xml:space="preserve">research guides </w:t>
      </w:r>
      <w:r w:rsidR="00676FC4">
        <w:t xml:space="preserve">as </w:t>
      </w:r>
      <w:r w:rsidR="000F36B7">
        <w:t>pedagogical tool</w:t>
      </w:r>
      <w:r w:rsidR="00676FC4">
        <w:t>s</w:t>
      </w:r>
      <w:r w:rsidR="000F36B7">
        <w:t xml:space="preserve"> </w:t>
      </w:r>
      <w:r w:rsidR="00620DF3" w:rsidRPr="00620DF3">
        <w:rPr>
          <w:rFonts w:ascii="Calibri" w:hAnsi="Calibri"/>
        </w:rPr>
        <w:t>(</w:t>
      </w:r>
      <w:proofErr w:type="spellStart"/>
      <w:r w:rsidR="00620DF3" w:rsidRPr="00620DF3">
        <w:rPr>
          <w:rFonts w:ascii="Calibri" w:hAnsi="Calibri"/>
        </w:rPr>
        <w:t>Brazzeal</w:t>
      </w:r>
      <w:proofErr w:type="spellEnd"/>
      <w:r w:rsidR="00620DF3" w:rsidRPr="00620DF3">
        <w:rPr>
          <w:rFonts w:ascii="Calibri" w:hAnsi="Calibri"/>
        </w:rPr>
        <w:t>, 2006; Castro Gessner et al., 2015; German, 2017; Little, 2010)</w:t>
      </w:r>
      <w:r w:rsidR="001C501E">
        <w:rPr>
          <w:rFonts w:ascii="Calibri" w:hAnsi="Calibri"/>
        </w:rPr>
        <w:t>,</w:t>
      </w:r>
      <w:r w:rsidR="001C501E">
        <w:t xml:space="preserve"> </w:t>
      </w:r>
      <w:proofErr w:type="spellStart"/>
      <w:r w:rsidR="000F36B7">
        <w:t>Pendell</w:t>
      </w:r>
      <w:proofErr w:type="spellEnd"/>
      <w:r w:rsidR="000F36B7">
        <w:t xml:space="preserve"> and Armstrong</w:t>
      </w:r>
      <w:r w:rsidR="00FC404D">
        <w:t xml:space="preserve">’s </w:t>
      </w:r>
      <w:r w:rsidR="00FC7D9B">
        <w:t xml:space="preserve">(2014) </w:t>
      </w:r>
      <w:r w:rsidR="00FC404D">
        <w:t xml:space="preserve">study of psychology subject guides found little instructional content on </w:t>
      </w:r>
      <w:r w:rsidR="00EF7EF4">
        <w:t>these</w:t>
      </w:r>
      <w:r w:rsidR="00FC404D">
        <w:t xml:space="preserve"> guides. Their study did not look at course guides, however, and they </w:t>
      </w:r>
      <w:r w:rsidR="001677D6">
        <w:t>acknowledge</w:t>
      </w:r>
      <w:r w:rsidR="004172DC">
        <w:t>d</w:t>
      </w:r>
      <w:r w:rsidR="00FC404D">
        <w:t xml:space="preserve"> the possibility that course guides </w:t>
      </w:r>
      <w:r w:rsidR="00C96C3C">
        <w:t>could</w:t>
      </w:r>
      <w:r w:rsidR="00FC404D">
        <w:t xml:space="preserve"> contain more instructional content than subject guides. </w:t>
      </w:r>
    </w:p>
    <w:p w14:paraId="05260DDF" w14:textId="77777777" w:rsidR="00FC404D" w:rsidRDefault="00FC404D" w:rsidP="00E10904">
      <w:pPr>
        <w:spacing w:line="480" w:lineRule="auto"/>
      </w:pPr>
    </w:p>
    <w:p w14:paraId="548A126F" w14:textId="41B5BCC5" w:rsidR="001C501E" w:rsidRPr="003F3FF6" w:rsidRDefault="00676FC4" w:rsidP="001C501E">
      <w:pPr>
        <w:spacing w:line="480" w:lineRule="auto"/>
        <w:rPr>
          <w:i/>
        </w:rPr>
      </w:pPr>
      <w:r>
        <w:t xml:space="preserve">Ruth Baker </w:t>
      </w:r>
      <w:r w:rsidR="00620DF3" w:rsidRPr="00620DF3">
        <w:rPr>
          <w:rFonts w:ascii="Calibri" w:hAnsi="Calibri"/>
        </w:rPr>
        <w:t>(2014)</w:t>
      </w:r>
      <w:r w:rsidR="001677D6">
        <w:t xml:space="preserve"> </w:t>
      </w:r>
      <w:r w:rsidR="00EF7EF4">
        <w:t>advocates</w:t>
      </w:r>
      <w:r>
        <w:t xml:space="preserve"> for tutorial-type guides that can help students at the point of need. These guides rely on learning theories to influence design, for example by “chunking</w:t>
      </w:r>
      <w:r w:rsidR="007723D3">
        <w:t>”</w:t>
      </w:r>
      <w:r>
        <w:t xml:space="preserve"> infor</w:t>
      </w:r>
      <w:r w:rsidR="00A66C45">
        <w:t>mation to reduce cognitive load, by</w:t>
      </w:r>
      <w:r>
        <w:t xml:space="preserve"> including scaffolding to build </w:t>
      </w:r>
      <w:r w:rsidR="007723D3">
        <w:t>skills</w:t>
      </w:r>
      <w:r w:rsidR="00A66C45">
        <w:t>, and by engaging students through metacognition</w:t>
      </w:r>
      <w:r w:rsidR="005C3D8F">
        <w:t xml:space="preserve"> (</w:t>
      </w:r>
      <w:r w:rsidR="000A7A09">
        <w:t xml:space="preserve">i.e. by </w:t>
      </w:r>
      <w:r w:rsidR="005265F1">
        <w:t>embedding</w:t>
      </w:r>
      <w:r w:rsidR="005C3D8F">
        <w:t xml:space="preserve"> reflective journals or other writing assignments)</w:t>
      </w:r>
      <w:r>
        <w:t xml:space="preserve"> </w:t>
      </w:r>
      <w:r w:rsidR="00620DF3" w:rsidRPr="00620DF3">
        <w:rPr>
          <w:rFonts w:ascii="Calibri" w:hAnsi="Calibri"/>
        </w:rPr>
        <w:t>(Baker, 2014; German and Graves, 2016; Little, 2010)</w:t>
      </w:r>
      <w:r>
        <w:t xml:space="preserve">. When asked to complete an assignment using either a pathfinder-type or tutorial-type research guide, students </w:t>
      </w:r>
      <w:r w:rsidR="00A66C45">
        <w:t xml:space="preserve">in Baker’s study </w:t>
      </w:r>
      <w:r>
        <w:t>reported favoring the tutorial-type guide and having an overall better learning experience</w:t>
      </w:r>
      <w:r w:rsidR="00EF7EF4">
        <w:t xml:space="preserve"> with it</w:t>
      </w:r>
      <w:r w:rsidR="004172DC">
        <w:t>, a finding confirmed by Lee et al. (2017)</w:t>
      </w:r>
      <w:r>
        <w:t xml:space="preserve">. </w:t>
      </w:r>
      <w:r w:rsidR="001C501E">
        <w:t xml:space="preserve">Some researchers even found that instruction through </w:t>
      </w:r>
      <w:proofErr w:type="spellStart"/>
      <w:r w:rsidR="001C501E">
        <w:t>LibGuides</w:t>
      </w:r>
      <w:proofErr w:type="spellEnd"/>
      <w:r w:rsidR="001C501E">
        <w:t xml:space="preserve"> can be more effective than in-person or blended instruction (Archambault, 2011). Archambault’s study is of particular interest, as it tested library instruction using first-year writing course guides. Archambault mapped the ACRL </w:t>
      </w:r>
      <w:r w:rsidR="001C501E">
        <w:rPr>
          <w:i/>
        </w:rPr>
        <w:t xml:space="preserve">Standards </w:t>
      </w:r>
      <w:r w:rsidR="001C501E">
        <w:t xml:space="preserve">onto her course guide, providing a justification for investigating whether librarians are now doing the same with the </w:t>
      </w:r>
      <w:r w:rsidR="001C501E">
        <w:rPr>
          <w:i/>
        </w:rPr>
        <w:t xml:space="preserve">Framework. </w:t>
      </w:r>
    </w:p>
    <w:p w14:paraId="7B2D63CF" w14:textId="77777777" w:rsidR="00957164" w:rsidRDefault="00957164" w:rsidP="00E10904">
      <w:pPr>
        <w:spacing w:line="480" w:lineRule="auto"/>
      </w:pPr>
    </w:p>
    <w:p w14:paraId="3E1174F8" w14:textId="61900F7E" w:rsidR="001C501E" w:rsidRDefault="001C501E" w:rsidP="001C501E">
      <w:pPr>
        <w:spacing w:line="480" w:lineRule="auto"/>
      </w:pPr>
      <w:r>
        <w:t xml:space="preserve">In addition to considering learning theories regarding cognitive load, scaffolding of skills, and metacognition, as advocated by Baker (2014), German and Graves (2016), and Little (2010), </w:t>
      </w:r>
      <w:r>
        <w:lastRenderedPageBreak/>
        <w:t xml:space="preserve">another </w:t>
      </w:r>
      <w:r w:rsidR="00936EFC">
        <w:t>important learning theory that could help shape course guides is the</w:t>
      </w:r>
      <w:r w:rsidR="00FF2712">
        <w:t xml:space="preserve"> theory of </w:t>
      </w:r>
      <w:r w:rsidR="009005F3">
        <w:t>Universal Design for Learning (UDL). UDL is a framework which emphasizes accessibility principles in teaching and learning</w:t>
      </w:r>
      <w:r w:rsidR="001E031F">
        <w:t xml:space="preserve"> and advocates for </w:t>
      </w:r>
      <w:r w:rsidR="00A56AF3">
        <w:t xml:space="preserve">designing curriculum </w:t>
      </w:r>
      <w:r w:rsidR="00A3384C">
        <w:t>and</w:t>
      </w:r>
      <w:r w:rsidR="00A56AF3">
        <w:t xml:space="preserve"> learning objects that cater to students of all learning styles</w:t>
      </w:r>
      <w:r w:rsidR="009005F3">
        <w:t xml:space="preserve"> </w:t>
      </w:r>
      <w:r w:rsidR="00A56AF3">
        <w:fldChar w:fldCharType="begin"/>
      </w:r>
      <w:r w:rsidR="00A56AF3">
        <w:instrText>ADDIN RW.CITE{{doc:5a0f58e1e4b08380cc52db2d Rose,DavidH 2002}}</w:instrText>
      </w:r>
      <w:r w:rsidR="00A56AF3">
        <w:fldChar w:fldCharType="separate"/>
      </w:r>
      <w:r w:rsidR="00340F35" w:rsidRPr="00340F35">
        <w:rPr>
          <w:rFonts w:ascii="Calibri" w:hAnsi="Calibri"/>
        </w:rPr>
        <w:t xml:space="preserve">(Rose </w:t>
      </w:r>
      <w:r w:rsidR="008D0BA4">
        <w:rPr>
          <w:rFonts w:ascii="Calibri" w:hAnsi="Calibri"/>
        </w:rPr>
        <w:t xml:space="preserve">and </w:t>
      </w:r>
      <w:r w:rsidR="00340F35" w:rsidRPr="00340F35">
        <w:rPr>
          <w:rFonts w:ascii="Calibri" w:hAnsi="Calibri"/>
        </w:rPr>
        <w:t>Meyer, 2002)</w:t>
      </w:r>
      <w:r w:rsidR="00A56AF3">
        <w:fldChar w:fldCharType="end"/>
      </w:r>
      <w:r w:rsidR="00A56AF3">
        <w:t xml:space="preserve">. </w:t>
      </w:r>
      <w:r>
        <w:t xml:space="preserve">It is especially relevant to online learning objects (German and Graves, 2016), and is being used by librarians to design tutorials and even face-to-face instruction (Webb and Hoover, 2015). </w:t>
      </w:r>
    </w:p>
    <w:p w14:paraId="135F4AEA" w14:textId="77777777" w:rsidR="001C501E" w:rsidRDefault="001C501E" w:rsidP="00E10904">
      <w:pPr>
        <w:spacing w:line="480" w:lineRule="auto"/>
      </w:pPr>
    </w:p>
    <w:p w14:paraId="09DA9B48" w14:textId="1683535D" w:rsidR="001677D6" w:rsidRDefault="0044741A" w:rsidP="00E10904">
      <w:pPr>
        <w:spacing w:line="480" w:lineRule="auto"/>
      </w:pPr>
      <w:r>
        <w:t>UDL has three main principles</w:t>
      </w:r>
      <w:r w:rsidR="00A3384C">
        <w:t>:</w:t>
      </w:r>
      <w:r>
        <w:t xml:space="preserve"> “multiple modes of representation, multiple means of expression, and multiple means of engagement” </w:t>
      </w:r>
      <w:r>
        <w:fldChar w:fldCharType="begin"/>
      </w:r>
      <w:r>
        <w:instrText>ADDIN RW.CITE{{doc:5a0f5f2de4b0373bf38bfd57 Hall,TraceyE 2012}}</w:instrText>
      </w:r>
      <w:r>
        <w:fldChar w:fldCharType="separate"/>
      </w:r>
      <w:r w:rsidR="00340F35" w:rsidRPr="00340F35">
        <w:rPr>
          <w:rFonts w:ascii="Calibri" w:hAnsi="Calibri"/>
        </w:rPr>
        <w:t>(Hall</w:t>
      </w:r>
      <w:r w:rsidR="008D0BA4">
        <w:rPr>
          <w:rFonts w:ascii="Calibri" w:hAnsi="Calibri"/>
        </w:rPr>
        <w:t xml:space="preserve"> et. al., </w:t>
      </w:r>
      <w:r w:rsidR="00340F35" w:rsidRPr="00340F35">
        <w:rPr>
          <w:rFonts w:ascii="Calibri" w:hAnsi="Calibri"/>
        </w:rPr>
        <w:t>2012)</w:t>
      </w:r>
      <w:r>
        <w:fldChar w:fldCharType="end"/>
      </w:r>
      <w:r w:rsidR="00374605">
        <w:t xml:space="preserve">. </w:t>
      </w:r>
      <w:r w:rsidR="00862AE2">
        <w:t xml:space="preserve">Multiple modes of representation </w:t>
      </w:r>
      <w:proofErr w:type="gramStart"/>
      <w:r w:rsidR="00862AE2">
        <w:t>means</w:t>
      </w:r>
      <w:proofErr w:type="gramEnd"/>
      <w:r w:rsidR="00862AE2">
        <w:t xml:space="preserve"> providing content in various types of media; multiple means of expression involves allowing students various options to display their knowledge; and multiple means of engagement entails developing different activities to engage different types of students. The main idea behind UDL is to provide a diverse learning experience, so that all students benefit.</w:t>
      </w:r>
    </w:p>
    <w:p w14:paraId="3528D635" w14:textId="77777777" w:rsidR="001677D6" w:rsidRDefault="001677D6" w:rsidP="00E10904">
      <w:pPr>
        <w:spacing w:line="480" w:lineRule="auto"/>
      </w:pPr>
    </w:p>
    <w:p w14:paraId="0CDC12C1" w14:textId="6D4E8EC3" w:rsidR="00676FC4" w:rsidRDefault="0044741A" w:rsidP="00E10904">
      <w:pPr>
        <w:spacing w:line="480" w:lineRule="auto"/>
      </w:pPr>
      <w:proofErr w:type="spellStart"/>
      <w:r>
        <w:t>Shotick</w:t>
      </w:r>
      <w:proofErr w:type="spellEnd"/>
      <w:r>
        <w:t xml:space="preserve"> </w:t>
      </w:r>
      <w:r w:rsidR="00340F35">
        <w:fldChar w:fldCharType="begin"/>
      </w:r>
      <w:r w:rsidR="00340F35">
        <w:instrText>ADDIN RW.CITE{{doc:5a0f0f4fe4b0373bf38bea4d Shotick,Kimberly 2016 /a}}</w:instrText>
      </w:r>
      <w:r w:rsidR="00340F35">
        <w:fldChar w:fldCharType="separate"/>
      </w:r>
      <w:r w:rsidR="00340F35" w:rsidRPr="00340F35">
        <w:rPr>
          <w:rFonts w:ascii="Calibri" w:hAnsi="Calibri"/>
        </w:rPr>
        <w:t>(2016)</w:t>
      </w:r>
      <w:r w:rsidR="00340F35">
        <w:fldChar w:fldCharType="end"/>
      </w:r>
      <w:r w:rsidR="00340F35">
        <w:t xml:space="preserve"> </w:t>
      </w:r>
      <w:r>
        <w:t xml:space="preserve">describes how </w:t>
      </w:r>
      <w:proofErr w:type="spellStart"/>
      <w:r>
        <w:t>LibGuides</w:t>
      </w:r>
      <w:proofErr w:type="spellEnd"/>
      <w:r>
        <w:t xml:space="preserve"> can be designed to follow these principles</w:t>
      </w:r>
      <w:r w:rsidR="00340F35">
        <w:t xml:space="preserve">, but cautions </w:t>
      </w:r>
      <w:r w:rsidR="00A01122">
        <w:t xml:space="preserve">against </w:t>
      </w:r>
      <w:r w:rsidR="00D54111">
        <w:t xml:space="preserve">creating so much content that students experience </w:t>
      </w:r>
      <w:r w:rsidR="00A01122">
        <w:t xml:space="preserve">information overload. She suggests limiting each page of the guide to a single lesson with just a few learning outcomes. </w:t>
      </w:r>
    </w:p>
    <w:p w14:paraId="202202C2" w14:textId="53D0A0FF" w:rsidR="00455023" w:rsidRDefault="00455023" w:rsidP="00E10904">
      <w:pPr>
        <w:spacing w:line="480" w:lineRule="auto"/>
      </w:pPr>
    </w:p>
    <w:p w14:paraId="2ED1C67C" w14:textId="1C2677BC" w:rsidR="00C04BBF" w:rsidRDefault="00CB3654" w:rsidP="00E10904">
      <w:pPr>
        <w:spacing w:line="480" w:lineRule="auto"/>
      </w:pPr>
      <w:r>
        <w:t>METHODOLOGY</w:t>
      </w:r>
    </w:p>
    <w:p w14:paraId="482C65E0" w14:textId="588CD17A" w:rsidR="00284B9F" w:rsidRDefault="00BE2181" w:rsidP="00E10904">
      <w:pPr>
        <w:spacing w:line="480" w:lineRule="auto"/>
      </w:pPr>
      <w:r>
        <w:t xml:space="preserve">The sample for this study consists of guides from </w:t>
      </w:r>
      <w:r w:rsidR="00833E95">
        <w:t xml:space="preserve">American Research Libraries (ARL) </w:t>
      </w:r>
      <w:r>
        <w:t xml:space="preserve">as of </w:t>
      </w:r>
      <w:r w:rsidR="001B0F73">
        <w:t xml:space="preserve">June 2017. </w:t>
      </w:r>
      <w:r w:rsidR="007603F2">
        <w:t>The study only examined course guides</w:t>
      </w:r>
      <w:r w:rsidR="001B0F73">
        <w:t xml:space="preserve">, </w:t>
      </w:r>
      <w:r w:rsidR="007603F2">
        <w:t xml:space="preserve">so </w:t>
      </w:r>
      <w:r w:rsidR="00284B9F">
        <w:t xml:space="preserve">libraries </w:t>
      </w:r>
      <w:r w:rsidR="001B0F73">
        <w:t xml:space="preserve">not belonging to an academic </w:t>
      </w:r>
      <w:r w:rsidR="001B0F73">
        <w:lastRenderedPageBreak/>
        <w:t xml:space="preserve">institution, </w:t>
      </w:r>
      <w:r w:rsidR="00284B9F">
        <w:t>such as the New York Public Library or the Library of Congress</w:t>
      </w:r>
      <w:r w:rsidR="001B0F73">
        <w:t xml:space="preserve">, were eliminated from the list, </w:t>
      </w:r>
      <w:r w:rsidR="00284B9F">
        <w:t xml:space="preserve">leaving a </w:t>
      </w:r>
      <w:r w:rsidR="00215E1F">
        <w:t>total of 11</w:t>
      </w:r>
      <w:r w:rsidR="00DA22BB">
        <w:t>3</w:t>
      </w:r>
      <w:r w:rsidR="001B0F73">
        <w:t xml:space="preserve"> libraries in the sample</w:t>
      </w:r>
      <w:r w:rsidR="00284B9F">
        <w:t xml:space="preserve">. </w:t>
      </w:r>
      <w:r w:rsidR="005265F1">
        <w:t>To prevent bias, t</w:t>
      </w:r>
      <w:r w:rsidR="00DA22BB">
        <w:t>he researcher also eliminated their own institution</w:t>
      </w:r>
      <w:r w:rsidR="003650B5">
        <w:t>,</w:t>
      </w:r>
      <w:r w:rsidR="00DA22BB">
        <w:t xml:space="preserve"> bringing the total number of libraries </w:t>
      </w:r>
      <w:r w:rsidR="003650B5">
        <w:t>in the study to 112.</w:t>
      </w:r>
      <w:r w:rsidR="00DA22BB">
        <w:t xml:space="preserve"> </w:t>
      </w:r>
      <w:r w:rsidR="00032555">
        <w:t>To det</w:t>
      </w:r>
      <w:r w:rsidR="00965402">
        <w:t>ermine whether a library had a first-year w</w:t>
      </w:r>
      <w:r w:rsidR="00032555">
        <w:t xml:space="preserve">riting course guide, </w:t>
      </w:r>
      <w:r w:rsidR="003F2170">
        <w:t xml:space="preserve">the </w:t>
      </w:r>
      <w:r w:rsidR="00032555">
        <w:t xml:space="preserve">library’s </w:t>
      </w:r>
      <w:r w:rsidR="003F2170">
        <w:t>web</w:t>
      </w:r>
      <w:r w:rsidR="00032555">
        <w:t xml:space="preserve">site </w:t>
      </w:r>
      <w:r w:rsidR="003F2170">
        <w:t xml:space="preserve">was searched </w:t>
      </w:r>
      <w:r w:rsidR="00032555">
        <w:t xml:space="preserve">for course guides with </w:t>
      </w:r>
      <w:r>
        <w:t>ter</w:t>
      </w:r>
      <w:r w:rsidR="00EF7EF4">
        <w:t>ms such as first-year writing, rhetoric, composition, English, or w</w:t>
      </w:r>
      <w:r>
        <w:t xml:space="preserve">riting. </w:t>
      </w:r>
      <w:r w:rsidR="00284B9F">
        <w:t xml:space="preserve">If no guide was found, the university website’s first-year writing web page </w:t>
      </w:r>
      <w:r w:rsidR="003F2170">
        <w:t xml:space="preserve">was consulted </w:t>
      </w:r>
      <w:r w:rsidR="00284B9F">
        <w:t xml:space="preserve">to </w:t>
      </w:r>
      <w:r w:rsidR="00C54705">
        <w:t>determine</w:t>
      </w:r>
      <w:r w:rsidR="00284B9F">
        <w:t xml:space="preserve"> if </w:t>
      </w:r>
      <w:r w:rsidR="00447F56">
        <w:t>these</w:t>
      </w:r>
      <w:r w:rsidR="00284B9F">
        <w:t xml:space="preserve"> courses used another </w:t>
      </w:r>
      <w:r w:rsidR="00F122F3">
        <w:t xml:space="preserve">term, and the library website was </w:t>
      </w:r>
      <w:r w:rsidR="004D2A36">
        <w:t xml:space="preserve">then </w:t>
      </w:r>
      <w:r w:rsidR="00F122F3">
        <w:t xml:space="preserve">searched </w:t>
      </w:r>
      <w:r w:rsidR="001E031F">
        <w:t xml:space="preserve">again </w:t>
      </w:r>
      <w:r w:rsidR="00F122F3">
        <w:t>using this term</w:t>
      </w:r>
      <w:r w:rsidR="00284B9F">
        <w:t xml:space="preserve">. </w:t>
      </w:r>
    </w:p>
    <w:p w14:paraId="2A4906C7" w14:textId="77777777" w:rsidR="00284B9F" w:rsidRDefault="00284B9F" w:rsidP="00E10904">
      <w:pPr>
        <w:spacing w:line="480" w:lineRule="auto"/>
      </w:pPr>
    </w:p>
    <w:p w14:paraId="470D8469" w14:textId="3946E383" w:rsidR="000A20BD" w:rsidRDefault="00BE2181" w:rsidP="00E10904">
      <w:pPr>
        <w:spacing w:line="480" w:lineRule="auto"/>
      </w:pPr>
      <w:r>
        <w:t xml:space="preserve">Many libraries had first-year writing guides for the same </w:t>
      </w:r>
      <w:r w:rsidR="00FC072F">
        <w:t>course</w:t>
      </w:r>
      <w:r>
        <w:t xml:space="preserve"> but different instructors; when this was the case, the guide with the most views was used. </w:t>
      </w:r>
      <w:r w:rsidR="00F122F3">
        <w:t>(</w:t>
      </w:r>
      <w:proofErr w:type="spellStart"/>
      <w:r w:rsidR="00F122F3">
        <w:t>Springshare</w:t>
      </w:r>
      <w:proofErr w:type="spellEnd"/>
      <w:r w:rsidR="00F122F3">
        <w:t xml:space="preserve"> allows guide editors to </w:t>
      </w:r>
      <w:r w:rsidR="005265F1">
        <w:t xml:space="preserve">include the guide’s usage data under an information icon; </w:t>
      </w:r>
      <w:r w:rsidR="00FD446F">
        <w:t>h</w:t>
      </w:r>
      <w:r w:rsidR="004D1512">
        <w:t>owever</w:t>
      </w:r>
      <w:r w:rsidR="00FD446F">
        <w:t>,</w:t>
      </w:r>
      <w:r w:rsidR="004D1512">
        <w:t xml:space="preserve"> </w:t>
      </w:r>
      <w:r w:rsidR="00F122F3">
        <w:t>guide editor</w:t>
      </w:r>
      <w:r w:rsidR="005265F1">
        <w:t>s can</w:t>
      </w:r>
      <w:r w:rsidR="00F122F3">
        <w:t xml:space="preserve"> </w:t>
      </w:r>
      <w:r w:rsidR="005265F1">
        <w:t xml:space="preserve">decide not to include </w:t>
      </w:r>
      <w:r w:rsidR="00A3384C">
        <w:t>this</w:t>
      </w:r>
      <w:r w:rsidR="005265F1">
        <w:t xml:space="preserve"> data</w:t>
      </w:r>
      <w:r w:rsidR="00F122F3">
        <w:t>.</w:t>
      </w:r>
      <w:r w:rsidR="004D2A36">
        <w:t>)</w:t>
      </w:r>
      <w:r w:rsidR="00F122F3">
        <w:t xml:space="preserve"> </w:t>
      </w:r>
      <w:r>
        <w:t xml:space="preserve">If </w:t>
      </w:r>
      <w:r w:rsidR="00FC072F">
        <w:t>page views were</w:t>
      </w:r>
      <w:r w:rsidR="00F122F3">
        <w:t xml:space="preserve"> </w:t>
      </w:r>
      <w:r>
        <w:t>not</w:t>
      </w:r>
      <w:r w:rsidR="004D2A36">
        <w:t xml:space="preserve"> available</w:t>
      </w:r>
      <w:r>
        <w:t xml:space="preserve">, a guide was chosen at random. </w:t>
      </w:r>
      <w:r w:rsidR="000A20BD">
        <w:t xml:space="preserve">It is possible that another guide might have differed significantly, but </w:t>
      </w:r>
      <w:r w:rsidR="003D6F73">
        <w:t>for</w:t>
      </w:r>
      <w:r w:rsidR="000A20BD">
        <w:t xml:space="preserve"> an exploratory study, one guide per library </w:t>
      </w:r>
      <w:r w:rsidR="00447F56">
        <w:t>was sufficient</w:t>
      </w:r>
      <w:r w:rsidR="000A20BD">
        <w:t xml:space="preserve">. </w:t>
      </w:r>
      <w:r w:rsidR="00FD446F">
        <w:t>Any guide that was marked “private” or “unpublished” at the time of analysis would not have been viewable</w:t>
      </w:r>
      <w:r w:rsidR="000A20BD">
        <w:t>.</w:t>
      </w:r>
    </w:p>
    <w:p w14:paraId="36C2F7A0" w14:textId="77777777" w:rsidR="00BE2181" w:rsidRDefault="00BE2181" w:rsidP="00E10904">
      <w:pPr>
        <w:spacing w:line="480" w:lineRule="auto"/>
      </w:pPr>
    </w:p>
    <w:p w14:paraId="70A273FD" w14:textId="0EBE0FDA" w:rsidR="00BE2181" w:rsidRDefault="00BE2181" w:rsidP="00E10904">
      <w:pPr>
        <w:spacing w:line="480" w:lineRule="auto"/>
      </w:pPr>
      <w:r>
        <w:t>The survey instrument used to analyze the guides</w:t>
      </w:r>
      <w:r w:rsidR="009D7F12">
        <w:t xml:space="preserve"> was a modified version of </w:t>
      </w:r>
      <w:proofErr w:type="spellStart"/>
      <w:r w:rsidR="009D7F12">
        <w:t>Pende</w:t>
      </w:r>
      <w:r>
        <w:t>ll</w:t>
      </w:r>
      <w:proofErr w:type="spellEnd"/>
      <w:r>
        <w:t xml:space="preserve"> </w:t>
      </w:r>
      <w:r w:rsidR="008D0BA4">
        <w:t>and</w:t>
      </w:r>
      <w:r>
        <w:t xml:space="preserve"> Armstrong’s </w:t>
      </w:r>
      <w:r w:rsidR="00620DF3" w:rsidRPr="00620DF3">
        <w:rPr>
          <w:rFonts w:ascii="Calibri" w:hAnsi="Calibri"/>
        </w:rPr>
        <w:t>(2014)</w:t>
      </w:r>
      <w:r>
        <w:t xml:space="preserve">, as their study focused on research guides </w:t>
      </w:r>
      <w:r w:rsidR="001E031F">
        <w:t>and</w:t>
      </w:r>
      <w:r>
        <w:t xml:space="preserve"> instructional content. </w:t>
      </w:r>
      <w:r w:rsidR="00F55C8D">
        <w:t xml:space="preserve">The first-year writing guides were analyzed for instructional </w:t>
      </w:r>
      <w:r w:rsidR="001E031F">
        <w:t>material</w:t>
      </w:r>
      <w:r w:rsidR="00F55C8D">
        <w:t xml:space="preserve"> and organizational elements</w:t>
      </w:r>
      <w:r w:rsidR="001E031F">
        <w:t>,</w:t>
      </w:r>
      <w:r w:rsidR="00215E1F">
        <w:t xml:space="preserve"> such as how </w:t>
      </w:r>
      <w:r w:rsidR="008A4970">
        <w:t>many pages were inclu</w:t>
      </w:r>
      <w:r w:rsidR="003C1B32">
        <w:t>ded</w:t>
      </w:r>
      <w:r w:rsidR="008A4970">
        <w:t xml:space="preserve"> and how </w:t>
      </w:r>
      <w:r w:rsidR="00DC4D45">
        <w:t>the pages</w:t>
      </w:r>
      <w:r w:rsidR="008A4970">
        <w:t xml:space="preserve"> were organized</w:t>
      </w:r>
      <w:r w:rsidR="00F55C8D">
        <w:t xml:space="preserve">. </w:t>
      </w:r>
      <w:r w:rsidR="00EF7EF4">
        <w:t>Qualtrics was used to record and analyze the data.</w:t>
      </w:r>
      <w:r w:rsidR="00F122F3">
        <w:t xml:space="preserve"> </w:t>
      </w:r>
    </w:p>
    <w:p w14:paraId="66497319" w14:textId="77777777" w:rsidR="004D2A36" w:rsidRDefault="004D2A36" w:rsidP="00E10904">
      <w:pPr>
        <w:spacing w:line="480" w:lineRule="auto"/>
      </w:pPr>
    </w:p>
    <w:p w14:paraId="2AD17A13" w14:textId="64A33C52" w:rsidR="004D2A36" w:rsidRDefault="004D2A36" w:rsidP="00E10904">
      <w:pPr>
        <w:spacing w:line="480" w:lineRule="auto"/>
      </w:pPr>
      <w:r>
        <w:t xml:space="preserve">Mapping parameters were also </w:t>
      </w:r>
      <w:r w:rsidR="00016E9A">
        <w:t>developed</w:t>
      </w:r>
      <w:r>
        <w:t xml:space="preserve"> to </w:t>
      </w:r>
      <w:r w:rsidR="00FC68EB">
        <w:t xml:space="preserve">help determine </w:t>
      </w:r>
      <w:r>
        <w:t xml:space="preserve">what material addressed a particular frame. After </w:t>
      </w:r>
      <w:r w:rsidR="003C1B32">
        <w:t>consulting</w:t>
      </w:r>
      <w:r>
        <w:t xml:space="preserve"> the </w:t>
      </w:r>
      <w:r>
        <w:rPr>
          <w:i/>
        </w:rPr>
        <w:t>Framework</w:t>
      </w:r>
      <w:r>
        <w:t xml:space="preserve">, including the </w:t>
      </w:r>
      <w:r w:rsidR="00FC68EB">
        <w:t xml:space="preserve">knowledge practices and dispositions, the researcher established a crosswalk of minimum requirements needed to establish that </w:t>
      </w:r>
      <w:r w:rsidR="00E87BAB">
        <w:t>a guide</w:t>
      </w:r>
      <w:r w:rsidR="00FC68EB">
        <w:t xml:space="preserve"> addressed a frame (see Table 1). </w:t>
      </w:r>
    </w:p>
    <w:p w14:paraId="347CD2A5" w14:textId="77777777" w:rsidR="00FC68EB" w:rsidRDefault="00FC68EB" w:rsidP="00E10904">
      <w:pPr>
        <w:spacing w:line="480" w:lineRule="auto"/>
      </w:pPr>
    </w:p>
    <w:p w14:paraId="33A9C2A8" w14:textId="3EA905E4" w:rsidR="00FC68EB" w:rsidRDefault="00E10904" w:rsidP="00E10904">
      <w:pPr>
        <w:spacing w:line="480" w:lineRule="auto"/>
      </w:pPr>
      <w:r>
        <w:t>INSERT TABLE 1 HERE</w:t>
      </w:r>
    </w:p>
    <w:p w14:paraId="7553D2E4" w14:textId="77777777" w:rsidR="00E10904" w:rsidRDefault="00E10904" w:rsidP="00E10904">
      <w:pPr>
        <w:spacing w:line="480" w:lineRule="auto"/>
      </w:pPr>
    </w:p>
    <w:p w14:paraId="3E85D3A1" w14:textId="3DEC5E3F" w:rsidR="00215E1F" w:rsidRDefault="00215E1F" w:rsidP="00E10904">
      <w:pPr>
        <w:spacing w:line="480" w:lineRule="auto"/>
      </w:pPr>
      <w:r>
        <w:t xml:space="preserve">Guides were categorized rather liberally; any guide that touched on the frames in even a small way was considered </w:t>
      </w:r>
      <w:r w:rsidR="007603F2">
        <w:t>to have</w:t>
      </w:r>
      <w:r>
        <w:t xml:space="preserve"> addressed the frame. For example, a guide that included instruction on Boolean operators and keywords was categorized as addressing “</w:t>
      </w:r>
      <w:r w:rsidRPr="006A590B">
        <w:t>Searching as Strategic Exploration</w:t>
      </w:r>
      <w:r>
        <w:t>” because one of the knowledge practices is to “use different types of searching language (e.g. controlled vocabulary, keywords, natural language) appropriately”</w:t>
      </w:r>
      <w:r w:rsidR="00EF1BE8">
        <w:t xml:space="preserve"> </w:t>
      </w:r>
      <w:r w:rsidR="00CC7AB4" w:rsidRPr="00CC7AB4">
        <w:rPr>
          <w:rFonts w:ascii="Calibri" w:hAnsi="Calibri"/>
        </w:rPr>
        <w:t>(Association of College and Research Libraries, 2015</w:t>
      </w:r>
      <w:r w:rsidR="00C22013">
        <w:rPr>
          <w:rFonts w:ascii="Calibri" w:hAnsi="Calibri"/>
        </w:rPr>
        <w:t>, p. 9</w:t>
      </w:r>
      <w:r w:rsidR="00CC7AB4" w:rsidRPr="00CC7AB4">
        <w:rPr>
          <w:rFonts w:ascii="Calibri" w:hAnsi="Calibri"/>
        </w:rPr>
        <w:t>)</w:t>
      </w:r>
      <w:r w:rsidR="00EF1BE8">
        <w:t>.</w:t>
      </w:r>
      <w:r>
        <w:t xml:space="preserve"> </w:t>
      </w:r>
      <w:r w:rsidR="00EF1BE8">
        <w:t xml:space="preserve">A </w:t>
      </w:r>
      <w:r>
        <w:t>guide addressing research questions would be categorized as addressing “Research as Inquiry” because of the knowledge practice that states that learners, “formulate questions for research based on information gaps or on reexamination of existing, possibly conflicting, information”</w:t>
      </w:r>
      <w:r w:rsidR="00EF1BE8">
        <w:t xml:space="preserve"> </w:t>
      </w:r>
      <w:r w:rsidR="00CC7AB4" w:rsidRPr="00CC7AB4">
        <w:rPr>
          <w:rFonts w:ascii="Calibri" w:hAnsi="Calibri"/>
        </w:rPr>
        <w:t>(Association of College and Research Libraries, 2015</w:t>
      </w:r>
      <w:r w:rsidR="00C22013">
        <w:rPr>
          <w:rFonts w:ascii="Calibri" w:hAnsi="Calibri"/>
        </w:rPr>
        <w:t>, p. 7</w:t>
      </w:r>
      <w:r w:rsidR="00CC7AB4" w:rsidRPr="00CC7AB4">
        <w:rPr>
          <w:rFonts w:ascii="Calibri" w:hAnsi="Calibri"/>
        </w:rPr>
        <w:t>)</w:t>
      </w:r>
      <w:r w:rsidR="00EF1BE8">
        <w:t>.</w:t>
      </w:r>
    </w:p>
    <w:p w14:paraId="0D3BF3D8" w14:textId="77777777" w:rsidR="00A41F40" w:rsidRDefault="00A41F40" w:rsidP="00E10904">
      <w:pPr>
        <w:spacing w:line="480" w:lineRule="auto"/>
      </w:pPr>
    </w:p>
    <w:p w14:paraId="1071BA7D" w14:textId="38F50CD4" w:rsidR="00284B9F" w:rsidRDefault="00284B9F" w:rsidP="00E10904">
      <w:pPr>
        <w:spacing w:line="480" w:lineRule="auto"/>
      </w:pPr>
      <w:r>
        <w:t>FINDINGS</w:t>
      </w:r>
    </w:p>
    <w:p w14:paraId="0AD90585" w14:textId="4123978E" w:rsidR="00384CB7" w:rsidRDefault="00D51A80" w:rsidP="00E10904">
      <w:pPr>
        <w:spacing w:line="480" w:lineRule="auto"/>
      </w:pPr>
      <w:r>
        <w:t>Out of 112</w:t>
      </w:r>
      <w:r w:rsidR="00384CB7">
        <w:t xml:space="preserve"> ARL libraries, </w:t>
      </w:r>
      <w:r w:rsidR="001141FB">
        <w:t>76</w:t>
      </w:r>
      <w:r w:rsidR="00C54705">
        <w:t xml:space="preserve"> libraries (</w:t>
      </w:r>
      <w:r w:rsidR="00384CB7">
        <w:t xml:space="preserve">or </w:t>
      </w:r>
      <w:r w:rsidR="001141FB">
        <w:t>67.3</w:t>
      </w:r>
      <w:r w:rsidR="00C54705">
        <w:t>%)</w:t>
      </w:r>
      <w:r w:rsidR="00284B9F">
        <w:t xml:space="preserve"> </w:t>
      </w:r>
      <w:r w:rsidR="00384CB7">
        <w:t>had a course guide</w:t>
      </w:r>
      <w:r w:rsidR="00284B9F">
        <w:t xml:space="preserve"> for first-year writing. </w:t>
      </w:r>
      <w:r w:rsidR="001141FB">
        <w:t>Out of those 76</w:t>
      </w:r>
      <w:r w:rsidR="002108C4">
        <w:t xml:space="preserve"> libraries, </w:t>
      </w:r>
      <w:r w:rsidR="002108C4" w:rsidRPr="00A024A0">
        <w:t xml:space="preserve">35 had more than one guide </w:t>
      </w:r>
      <w:r w:rsidR="00A024A0" w:rsidRPr="00A024A0">
        <w:t>for first-year writing, while 41</w:t>
      </w:r>
      <w:r w:rsidR="002108C4" w:rsidRPr="00A024A0">
        <w:t xml:space="preserve"> had one guide</w:t>
      </w:r>
      <w:r w:rsidR="002108C4">
        <w:t>. Of</w:t>
      </w:r>
      <w:r w:rsidR="00C54705">
        <w:t xml:space="preserve"> </w:t>
      </w:r>
      <w:r w:rsidR="001141FB">
        <w:lastRenderedPageBreak/>
        <w:t>the 76</w:t>
      </w:r>
      <w:r w:rsidR="002108C4">
        <w:t xml:space="preserve"> course guides sampled</w:t>
      </w:r>
      <w:r w:rsidR="00C54705">
        <w:t xml:space="preserve">, </w:t>
      </w:r>
      <w:r w:rsidR="001141FB">
        <w:t>90.8</w:t>
      </w:r>
      <w:r w:rsidR="00384CB7">
        <w:t xml:space="preserve">% </w:t>
      </w:r>
      <w:r w:rsidR="00C54705">
        <w:t>included instructional material</w:t>
      </w:r>
      <w:r w:rsidR="00384CB7">
        <w:t xml:space="preserve"> of some kind</w:t>
      </w:r>
      <w:r w:rsidR="00C54705">
        <w:t xml:space="preserve">. </w:t>
      </w:r>
      <w:r w:rsidR="00384CB7">
        <w:t xml:space="preserve">The most popular form for instructional material was text, </w:t>
      </w:r>
      <w:r w:rsidR="00B76412">
        <w:t>i.e.</w:t>
      </w:r>
      <w:r w:rsidR="00384CB7">
        <w:t xml:space="preserve"> </w:t>
      </w:r>
      <w:r w:rsidR="007A38EC">
        <w:t>explanatory passages</w:t>
      </w:r>
      <w:r w:rsidR="00384CB7">
        <w:t xml:space="preserve"> written on the guide, followed by </w:t>
      </w:r>
      <w:r w:rsidR="00A22D0F">
        <w:t>links to other web pages</w:t>
      </w:r>
      <w:r w:rsidR="00A024A0">
        <w:t xml:space="preserve"> and embedded videos</w:t>
      </w:r>
      <w:r w:rsidR="003D6F73">
        <w:t xml:space="preserve">. Infographics and images were the most frequent form of content categorized as “other” </w:t>
      </w:r>
      <w:r w:rsidR="00384CB7">
        <w:t xml:space="preserve">(see </w:t>
      </w:r>
      <w:r w:rsidR="007C660E">
        <w:t>Table</w:t>
      </w:r>
      <w:r w:rsidR="00016E9A">
        <w:t xml:space="preserve"> 2</w:t>
      </w:r>
      <w:r w:rsidR="00384CB7">
        <w:t xml:space="preserve">). </w:t>
      </w:r>
    </w:p>
    <w:p w14:paraId="3897334A" w14:textId="77777777" w:rsidR="003C47E5" w:rsidRDefault="003C47E5" w:rsidP="00E10904">
      <w:pPr>
        <w:spacing w:line="480" w:lineRule="auto"/>
      </w:pPr>
    </w:p>
    <w:p w14:paraId="56A4A45F" w14:textId="1D9E6B60" w:rsidR="009925F7" w:rsidRDefault="00E10904" w:rsidP="00E10904">
      <w:pPr>
        <w:spacing w:line="480" w:lineRule="auto"/>
      </w:pPr>
      <w:r>
        <w:t>INSERT TABLE 2 HERE</w:t>
      </w:r>
    </w:p>
    <w:p w14:paraId="54116477" w14:textId="77777777" w:rsidR="00384CB7" w:rsidRDefault="00384CB7" w:rsidP="00E10904">
      <w:pPr>
        <w:spacing w:line="480" w:lineRule="auto"/>
      </w:pPr>
    </w:p>
    <w:p w14:paraId="3A4811D5" w14:textId="1E9E7CB9" w:rsidR="00384CB7" w:rsidRDefault="00311710" w:rsidP="00E10904">
      <w:pPr>
        <w:spacing w:line="480" w:lineRule="auto"/>
      </w:pPr>
      <w:r>
        <w:t>The</w:t>
      </w:r>
      <w:r w:rsidR="00384CB7">
        <w:t xml:space="preserve"> course guides covered a range of skills and competencies, with search strategies being the most frequently included (</w:t>
      </w:r>
      <w:r w:rsidR="00651B1B">
        <w:t>7</w:t>
      </w:r>
      <w:r w:rsidR="004C14F9">
        <w:t>5.4</w:t>
      </w:r>
      <w:r w:rsidR="00384CB7">
        <w:t>% of guides included instruction on search strategies). The next frequent was citing sou</w:t>
      </w:r>
      <w:r w:rsidR="009A3482">
        <w:t xml:space="preserve">rces, at </w:t>
      </w:r>
      <w:r w:rsidR="0040789C">
        <w:t>7</w:t>
      </w:r>
      <w:r w:rsidR="00C958B9">
        <w:t>2.5</w:t>
      </w:r>
      <w:r w:rsidR="007A38EC">
        <w:t xml:space="preserve">%, </w:t>
      </w:r>
      <w:r w:rsidR="00384CB7">
        <w:t xml:space="preserve">and then </w:t>
      </w:r>
      <w:r w:rsidR="00A22D0F">
        <w:t>evaluating sources</w:t>
      </w:r>
      <w:r w:rsidR="004C14F9">
        <w:t xml:space="preserve"> and recognizing scholarly articles</w:t>
      </w:r>
      <w:r w:rsidR="00A22D0F">
        <w:t xml:space="preserve">, at </w:t>
      </w:r>
      <w:r w:rsidR="0040789C">
        <w:t>62.3</w:t>
      </w:r>
      <w:r w:rsidR="007A38EC">
        <w:t xml:space="preserve">% </w:t>
      </w:r>
      <w:r w:rsidR="004C14F9">
        <w:t>each</w:t>
      </w:r>
      <w:r w:rsidR="003D6F73">
        <w:t xml:space="preserve">. The most common skills in the “other” category included the differences between primary and secondary sources, the information life cycle, and how to read a call number and find books in the stacks </w:t>
      </w:r>
      <w:r w:rsidR="007A38EC">
        <w:t xml:space="preserve">(see Table </w:t>
      </w:r>
      <w:r w:rsidR="00016E9A">
        <w:t>3</w:t>
      </w:r>
      <w:r w:rsidR="007A38EC">
        <w:t>)</w:t>
      </w:r>
      <w:r w:rsidR="00384CB7">
        <w:t xml:space="preserve">. </w:t>
      </w:r>
    </w:p>
    <w:p w14:paraId="66E70E06" w14:textId="77777777" w:rsidR="003C47E5" w:rsidRDefault="003C47E5" w:rsidP="00E10904">
      <w:pPr>
        <w:spacing w:line="480" w:lineRule="auto"/>
        <w:rPr>
          <w:rFonts w:ascii="Calibri" w:eastAsia="Times New Roman" w:hAnsi="Calibri" w:cs="Times New Roman"/>
          <w:color w:val="000000"/>
          <w:sz w:val="22"/>
          <w:szCs w:val="22"/>
        </w:rPr>
      </w:pPr>
    </w:p>
    <w:p w14:paraId="29F97035" w14:textId="211DA43F" w:rsidR="0004421F" w:rsidRDefault="00E10904" w:rsidP="00E10904">
      <w:pPr>
        <w:spacing w:line="480" w:lineRule="auto"/>
      </w:pPr>
      <w:r>
        <w:t>INSERT TABLE 3 HERE</w:t>
      </w:r>
    </w:p>
    <w:p w14:paraId="0932B884" w14:textId="77777777" w:rsidR="00E10904" w:rsidRDefault="00E10904" w:rsidP="00E10904">
      <w:pPr>
        <w:spacing w:line="480" w:lineRule="auto"/>
      </w:pPr>
    </w:p>
    <w:p w14:paraId="7045C612" w14:textId="22EF0E94" w:rsidR="007A38EC" w:rsidRDefault="00707E8F" w:rsidP="00E10904">
      <w:pPr>
        <w:spacing w:line="480" w:lineRule="auto"/>
      </w:pPr>
      <w:r>
        <w:t xml:space="preserve">Guide organization varied. </w:t>
      </w:r>
      <w:r w:rsidR="00FC072F">
        <w:t>Eighteen</w:t>
      </w:r>
      <w:r w:rsidR="00B36B54">
        <w:t xml:space="preserve"> guides were organized by research task, as p</w:t>
      </w:r>
      <w:r w:rsidR="005163B1">
        <w:t xml:space="preserve">er best practices </w:t>
      </w:r>
      <w:r w:rsidR="00620DF3" w:rsidRPr="00620DF3">
        <w:rPr>
          <w:rFonts w:ascii="Calibri" w:hAnsi="Calibri"/>
        </w:rPr>
        <w:t>(</w:t>
      </w:r>
      <w:proofErr w:type="spellStart"/>
      <w:r w:rsidR="00620DF3" w:rsidRPr="00620DF3">
        <w:rPr>
          <w:rFonts w:ascii="Calibri" w:hAnsi="Calibri"/>
        </w:rPr>
        <w:t>Reeb</w:t>
      </w:r>
      <w:proofErr w:type="spellEnd"/>
      <w:r w:rsidR="00620DF3" w:rsidRPr="00620DF3">
        <w:rPr>
          <w:rFonts w:ascii="Calibri" w:hAnsi="Calibri"/>
        </w:rPr>
        <w:t xml:space="preserve"> and Gibbons, 2004; </w:t>
      </w:r>
      <w:proofErr w:type="spellStart"/>
      <w:r w:rsidR="00620DF3" w:rsidRPr="00620DF3">
        <w:rPr>
          <w:rFonts w:ascii="Calibri" w:hAnsi="Calibri"/>
        </w:rPr>
        <w:t>Sinkinson</w:t>
      </w:r>
      <w:proofErr w:type="spellEnd"/>
      <w:r w:rsidR="00620DF3" w:rsidRPr="00620DF3">
        <w:rPr>
          <w:rFonts w:ascii="Calibri" w:hAnsi="Calibri"/>
        </w:rPr>
        <w:t xml:space="preserve"> et al., 2012; Staley, 2007)</w:t>
      </w:r>
      <w:r w:rsidR="005163B1">
        <w:t xml:space="preserve">. </w:t>
      </w:r>
      <w:r w:rsidR="00A75DD7">
        <w:t>Twelve</w:t>
      </w:r>
      <w:r w:rsidR="00B36B54">
        <w:t xml:space="preserve"> guides were organized by format, i.e. “Books</w:t>
      </w:r>
      <w:r w:rsidR="009A3A0A">
        <w:t>,</w:t>
      </w:r>
      <w:r w:rsidR="00B36B54">
        <w:t>” “Articles</w:t>
      </w:r>
      <w:r w:rsidR="009A3A0A">
        <w:t>,</w:t>
      </w:r>
      <w:r w:rsidR="00B36B54">
        <w:t>” etc., while most guides (</w:t>
      </w:r>
      <w:r w:rsidR="00A75DD7">
        <w:t>27</w:t>
      </w:r>
      <w:r w:rsidR="005163B1">
        <w:t>) were organized by a combination of the two. Less frequent organization included a more general organization, i.e. “Start here</w:t>
      </w:r>
      <w:r w:rsidR="009A3A0A">
        <w:t>,”</w:t>
      </w:r>
      <w:r w:rsidR="005163B1">
        <w:t xml:space="preserve"> “About the </w:t>
      </w:r>
      <w:r w:rsidR="00A75DD7">
        <w:t>Library</w:t>
      </w:r>
      <w:r w:rsidR="009A3A0A">
        <w:t xml:space="preserve">,” </w:t>
      </w:r>
      <w:r w:rsidR="00A75DD7">
        <w:t>“Search Tips</w:t>
      </w:r>
      <w:r w:rsidR="009A3A0A">
        <w:t>,”</w:t>
      </w:r>
      <w:r w:rsidR="00A75DD7">
        <w:t xml:space="preserve"> etc. (6</w:t>
      </w:r>
      <w:r w:rsidR="005163B1">
        <w:t xml:space="preserve"> guides), </w:t>
      </w:r>
      <w:r w:rsidR="00A75DD7">
        <w:t>course section and/or assignment (2 guides)</w:t>
      </w:r>
      <w:r w:rsidR="005163B1">
        <w:t xml:space="preserve">, and one guide was organized by Joseph </w:t>
      </w:r>
      <w:proofErr w:type="spellStart"/>
      <w:r w:rsidR="005163B1">
        <w:t>Bizup’s</w:t>
      </w:r>
      <w:proofErr w:type="spellEnd"/>
      <w:r w:rsidR="005163B1">
        <w:t xml:space="preserve"> BEAM method</w:t>
      </w:r>
      <w:r w:rsidR="00EF1BE8">
        <w:t xml:space="preserve"> for </w:t>
      </w:r>
      <w:r w:rsidR="00EF1BE8">
        <w:lastRenderedPageBreak/>
        <w:t>determining source use</w:t>
      </w:r>
      <w:r w:rsidR="00F55C8D">
        <w:t xml:space="preserve"> </w:t>
      </w:r>
      <w:r w:rsidR="00620DF3" w:rsidRPr="00620DF3">
        <w:rPr>
          <w:rFonts w:ascii="Calibri" w:hAnsi="Calibri"/>
        </w:rPr>
        <w:t>(</w:t>
      </w:r>
      <w:proofErr w:type="spellStart"/>
      <w:r w:rsidR="00620DF3" w:rsidRPr="00620DF3">
        <w:rPr>
          <w:rFonts w:ascii="Calibri" w:hAnsi="Calibri"/>
        </w:rPr>
        <w:t>Bizup</w:t>
      </w:r>
      <w:proofErr w:type="spellEnd"/>
      <w:r w:rsidR="00620DF3" w:rsidRPr="00620DF3">
        <w:rPr>
          <w:rFonts w:ascii="Calibri" w:hAnsi="Calibri"/>
        </w:rPr>
        <w:t>, 2008)</w:t>
      </w:r>
      <w:r w:rsidR="005163B1">
        <w:t xml:space="preserve">. Ten guides consisted of a single page, therefore organizational tabs were unnecessary. The </w:t>
      </w:r>
      <w:r w:rsidR="00191D8D">
        <w:t>most frequent number of tabs per guide was 7.</w:t>
      </w:r>
    </w:p>
    <w:p w14:paraId="13F31915" w14:textId="77777777" w:rsidR="00E86C54" w:rsidRDefault="00E86C54" w:rsidP="00E10904">
      <w:pPr>
        <w:spacing w:line="480" w:lineRule="auto"/>
      </w:pPr>
    </w:p>
    <w:p w14:paraId="3FCC8BE9" w14:textId="60EB8B74" w:rsidR="007A38EC" w:rsidRDefault="007A38EC" w:rsidP="00E10904">
      <w:pPr>
        <w:spacing w:line="480" w:lineRule="auto"/>
      </w:pPr>
      <w:r>
        <w:t xml:space="preserve">Although </w:t>
      </w:r>
      <w:r w:rsidR="006514CF">
        <w:t>many</w:t>
      </w:r>
      <w:r>
        <w:t xml:space="preserve"> guides included instructional material, </w:t>
      </w:r>
      <w:r w:rsidR="00F42991">
        <w:t>fewer</w:t>
      </w:r>
      <w:r>
        <w:t xml:space="preserve"> addressed the ACRL </w:t>
      </w:r>
      <w:r>
        <w:rPr>
          <w:i/>
        </w:rPr>
        <w:t>Framework</w:t>
      </w:r>
      <w:r w:rsidR="00F42991">
        <w:rPr>
          <w:i/>
        </w:rPr>
        <w:t xml:space="preserve"> </w:t>
      </w:r>
      <w:r w:rsidR="00F42991">
        <w:t>in some way</w:t>
      </w:r>
      <w:r w:rsidR="00F42991">
        <w:rPr>
          <w:i/>
        </w:rPr>
        <w:t xml:space="preserve"> </w:t>
      </w:r>
      <w:r w:rsidR="003E77F7">
        <w:t>(3</w:t>
      </w:r>
      <w:r w:rsidR="004C14F9">
        <w:t>2</w:t>
      </w:r>
      <w:r w:rsidR="00F42991">
        <w:t xml:space="preserve"> out of 69 guides)</w:t>
      </w:r>
      <w:r>
        <w:rPr>
          <w:i/>
        </w:rPr>
        <w:t xml:space="preserve">. </w:t>
      </w:r>
      <w:r>
        <w:t>The most p</w:t>
      </w:r>
      <w:r w:rsidR="003E77F7">
        <w:t>opular frame addressed in the 3</w:t>
      </w:r>
      <w:r w:rsidR="004C14F9">
        <w:t>2</w:t>
      </w:r>
      <w:r>
        <w:t xml:space="preserve"> guides that addressed the </w:t>
      </w:r>
      <w:r>
        <w:rPr>
          <w:i/>
        </w:rPr>
        <w:t xml:space="preserve">Framework </w:t>
      </w:r>
      <w:r w:rsidR="006A590B">
        <w:t>was “Searching as Strategic E</w:t>
      </w:r>
      <w:r>
        <w:t>xploration” followed by “Re</w:t>
      </w:r>
      <w:r w:rsidR="006A590B">
        <w:t>search as I</w:t>
      </w:r>
      <w:r w:rsidR="0053774C">
        <w:t>nquiry” (see Figure 1</w:t>
      </w:r>
      <w:r>
        <w:t xml:space="preserve">). </w:t>
      </w:r>
    </w:p>
    <w:p w14:paraId="6EDE00C3" w14:textId="77777777" w:rsidR="009A3482" w:rsidRDefault="009A3482" w:rsidP="00E10904">
      <w:pPr>
        <w:spacing w:line="480" w:lineRule="auto"/>
      </w:pPr>
    </w:p>
    <w:p w14:paraId="191CA028" w14:textId="410C14E0" w:rsidR="007C660E" w:rsidRDefault="00E10904" w:rsidP="00E10904">
      <w:pPr>
        <w:spacing w:line="480" w:lineRule="auto"/>
      </w:pPr>
      <w:r>
        <w:t>INSERT FIGURE 1 HERE</w:t>
      </w:r>
    </w:p>
    <w:p w14:paraId="3A8C32CD" w14:textId="77777777" w:rsidR="009956F4" w:rsidRDefault="009956F4" w:rsidP="00E10904">
      <w:pPr>
        <w:spacing w:line="480" w:lineRule="auto"/>
      </w:pPr>
    </w:p>
    <w:p w14:paraId="47879F3F" w14:textId="390BF56F" w:rsidR="00284B9F" w:rsidRDefault="009956F4" w:rsidP="00E10904">
      <w:pPr>
        <w:spacing w:line="480" w:lineRule="auto"/>
      </w:pPr>
      <w:r>
        <w:t>DISCUSSION</w:t>
      </w:r>
    </w:p>
    <w:p w14:paraId="0D5062DE" w14:textId="039A9B97" w:rsidR="000A50DC" w:rsidRDefault="00C232AE" w:rsidP="00E10904">
      <w:pPr>
        <w:spacing w:line="480" w:lineRule="auto"/>
      </w:pPr>
      <w:r>
        <w:t>M</w:t>
      </w:r>
      <w:r w:rsidR="000A50DC">
        <w:t xml:space="preserve">ost first-year writing guides in this sample did contain instructional content. Although many librarians use research guides because </w:t>
      </w:r>
      <w:r w:rsidR="005C1175">
        <w:t>they are easy to create</w:t>
      </w:r>
      <w:r w:rsidR="000A50DC">
        <w:t xml:space="preserve">, </w:t>
      </w:r>
      <w:r w:rsidR="00681FA2">
        <w:t xml:space="preserve">evidence </w:t>
      </w:r>
      <w:r w:rsidR="0051710F">
        <w:t xml:space="preserve">from this study </w:t>
      </w:r>
      <w:r w:rsidR="00681FA2">
        <w:t xml:space="preserve">demonstrates that many librarians are using </w:t>
      </w:r>
      <w:r w:rsidR="0051710F">
        <w:t>research guides as</w:t>
      </w:r>
      <w:r w:rsidR="000A50DC">
        <w:t xml:space="preserve"> instructional design tools</w:t>
      </w:r>
      <w:r w:rsidR="001E031F">
        <w:t>,</w:t>
      </w:r>
      <w:r w:rsidR="000A50DC">
        <w:t xml:space="preserve"> rather than </w:t>
      </w:r>
      <w:r w:rsidR="00C96C3C">
        <w:t>simply</w:t>
      </w:r>
      <w:r w:rsidR="000A50DC">
        <w:t xml:space="preserve"> a </w:t>
      </w:r>
      <w:r w:rsidR="00C77801">
        <w:t xml:space="preserve">place to </w:t>
      </w:r>
      <w:r w:rsidR="000A50DC">
        <w:t>list databases.</w:t>
      </w:r>
      <w:r w:rsidR="0051710F">
        <w:t xml:space="preserve"> Some librarians</w:t>
      </w:r>
      <w:r w:rsidR="0051710F" w:rsidRPr="0051710F">
        <w:t xml:space="preserve"> are taking advantage of the guides by including content such as in-class activities </w:t>
      </w:r>
      <w:r w:rsidR="00F571CC">
        <w:t>and</w:t>
      </w:r>
      <w:r w:rsidR="0051710F" w:rsidRPr="0051710F">
        <w:t xml:space="preserve"> </w:t>
      </w:r>
      <w:r w:rsidR="005265F1">
        <w:t>handouts</w:t>
      </w:r>
      <w:r w:rsidR="0051710F" w:rsidRPr="0051710F">
        <w:t xml:space="preserve"> they might not have time for in class</w:t>
      </w:r>
      <w:r w:rsidR="00F571CC">
        <w:t>. This content</w:t>
      </w:r>
      <w:r w:rsidR="0051710F" w:rsidRPr="0051710F">
        <w:t xml:space="preserve"> could be used either in a flipped classroom scenario or for just-in-time instruction.</w:t>
      </w:r>
    </w:p>
    <w:p w14:paraId="0029989E" w14:textId="77777777" w:rsidR="000A50DC" w:rsidRDefault="000A50DC" w:rsidP="00E10904">
      <w:pPr>
        <w:spacing w:line="480" w:lineRule="auto"/>
      </w:pPr>
    </w:p>
    <w:p w14:paraId="75C061CF" w14:textId="56E3AED5" w:rsidR="00BF49AF" w:rsidRDefault="00BF49AF" w:rsidP="00E10904">
      <w:pPr>
        <w:spacing w:line="480" w:lineRule="auto"/>
      </w:pPr>
      <w:r>
        <w:t xml:space="preserve">Text </w:t>
      </w:r>
      <w:r w:rsidR="00D824B0">
        <w:t>was</w:t>
      </w:r>
      <w:r>
        <w:t xml:space="preserve"> the most frequent type of instructional content included. </w:t>
      </w:r>
      <w:r w:rsidR="004651D6">
        <w:t>Instructional material was considered text if it stood alone or introduced</w:t>
      </w:r>
      <w:r w:rsidR="00C77801">
        <w:t xml:space="preserve"> or </w:t>
      </w:r>
      <w:r w:rsidR="004651D6">
        <w:t xml:space="preserve">explained other content such as a video, link, or handout. (For example, an infographic has text on it, but this text would not be categorized </w:t>
      </w:r>
      <w:r w:rsidR="004651D6">
        <w:lastRenderedPageBreak/>
        <w:t xml:space="preserve">as text </w:t>
      </w:r>
      <w:r w:rsidR="00CD22C2">
        <w:t>in the findings</w:t>
      </w:r>
      <w:r w:rsidR="004651D6">
        <w:t xml:space="preserve">.) </w:t>
      </w:r>
      <w:r>
        <w:t xml:space="preserve">Perhaps utilizing text does </w:t>
      </w:r>
      <w:r w:rsidR="00972E6C">
        <w:t xml:space="preserve">not take advantage of all that </w:t>
      </w:r>
      <w:proofErr w:type="spellStart"/>
      <w:r w:rsidR="00972E6C">
        <w:t>L</w:t>
      </w:r>
      <w:r>
        <w:t>ibguides</w:t>
      </w:r>
      <w:proofErr w:type="spellEnd"/>
      <w:r>
        <w:t xml:space="preserve"> can offer in terms of functionality</w:t>
      </w:r>
      <w:r w:rsidR="009A5656">
        <w:t>, but text, especially in combination with other forms of instructional content, can be highly effective</w:t>
      </w:r>
      <w:r w:rsidR="00A3384C">
        <w:t xml:space="preserve"> for facilitating student learning</w:t>
      </w:r>
      <w:r w:rsidR="009A5656">
        <w:t xml:space="preserve"> </w:t>
      </w:r>
      <w:r w:rsidR="00620DF3" w:rsidRPr="00620DF3">
        <w:rPr>
          <w:rFonts w:ascii="Calibri" w:hAnsi="Calibri"/>
        </w:rPr>
        <w:t>(Mestre, 2012; Turner et al., 2015)</w:t>
      </w:r>
      <w:r w:rsidR="00DE5AD5">
        <w:t>.</w:t>
      </w:r>
      <w:r w:rsidR="003D6F73">
        <w:t xml:space="preserve"> </w:t>
      </w:r>
      <w:r w:rsidR="00244A04">
        <w:t xml:space="preserve">Adding </w:t>
      </w:r>
      <w:r w:rsidR="003D6F73">
        <w:t xml:space="preserve">too much text, </w:t>
      </w:r>
      <w:r w:rsidR="00244A04">
        <w:t xml:space="preserve">however, is detrimental, </w:t>
      </w:r>
      <w:r w:rsidR="003D6F73">
        <w:t xml:space="preserve">as students have complained about guides </w:t>
      </w:r>
      <w:r w:rsidR="00F571CC">
        <w:t>with</w:t>
      </w:r>
      <w:r w:rsidR="003D6F73">
        <w:t xml:space="preserve"> </w:t>
      </w:r>
      <w:r w:rsidR="00244A04">
        <w:t>large amounts of</w:t>
      </w:r>
      <w:r w:rsidR="003D6F73">
        <w:t xml:space="preserve"> text to read </w:t>
      </w:r>
      <w:r w:rsidR="00620DF3" w:rsidRPr="00620DF3">
        <w:rPr>
          <w:rFonts w:ascii="Calibri" w:hAnsi="Calibri"/>
        </w:rPr>
        <w:t>(Hintz et al., 2010)</w:t>
      </w:r>
      <w:r w:rsidR="00F4037D">
        <w:t xml:space="preserve">. </w:t>
      </w:r>
    </w:p>
    <w:p w14:paraId="27B8C8E0" w14:textId="77777777" w:rsidR="004D69D6" w:rsidRDefault="004D69D6" w:rsidP="00E10904">
      <w:pPr>
        <w:spacing w:line="480" w:lineRule="auto"/>
      </w:pPr>
    </w:p>
    <w:p w14:paraId="358D114D" w14:textId="2F149A4F" w:rsidR="00E916DD" w:rsidRDefault="004D69D6" w:rsidP="00E10904">
      <w:pPr>
        <w:spacing w:line="480" w:lineRule="auto"/>
      </w:pPr>
      <w:r>
        <w:t xml:space="preserve">Links to other webpages (62.3%) followed text as the most frequent type of instructional content. (Although technically not a form of instructional content, these links led to other sites that included instructional material.) </w:t>
      </w:r>
      <w:r w:rsidR="00060E49">
        <w:t xml:space="preserve">The impulse to link to another website is understandable; </w:t>
      </w:r>
      <w:r w:rsidR="002B79DA">
        <w:t>many</w:t>
      </w:r>
      <w:r w:rsidR="00060E49">
        <w:t xml:space="preserve"> library sites have excellent tutorials </w:t>
      </w:r>
      <w:r w:rsidR="002B79DA">
        <w:t xml:space="preserve">and </w:t>
      </w:r>
      <w:r w:rsidR="00060E49">
        <w:t xml:space="preserve">other </w:t>
      </w:r>
      <w:r w:rsidR="00A3384C">
        <w:t xml:space="preserve">instructional </w:t>
      </w:r>
      <w:r w:rsidR="00060E49">
        <w:t>content</w:t>
      </w:r>
      <w:r w:rsidR="00A3384C">
        <w:t>,</w:t>
      </w:r>
      <w:r w:rsidR="00060E49">
        <w:t xml:space="preserve"> and sites like Purdue’s Online Writing Lab (OWL)</w:t>
      </w:r>
      <w:r w:rsidR="00FC7D9B">
        <w:t xml:space="preserve"> (</w:t>
      </w:r>
      <w:r w:rsidR="00FC7D9B" w:rsidRPr="00FC7D9B">
        <w:t>https://owl.english.purdue.edu/owl</w:t>
      </w:r>
      <w:r w:rsidR="00FC7D9B">
        <w:t>)</w:t>
      </w:r>
      <w:r w:rsidR="00060E49">
        <w:t xml:space="preserve"> ha</w:t>
      </w:r>
      <w:r w:rsidR="00FB2BA4">
        <w:t>ve</w:t>
      </w:r>
      <w:r w:rsidR="00060E49">
        <w:t xml:space="preserve"> a wealth of information on citation. </w:t>
      </w:r>
      <w:r w:rsidR="007974C4">
        <w:t>R</w:t>
      </w:r>
      <w:r w:rsidR="00060E49">
        <w:t>eus</w:t>
      </w:r>
      <w:r w:rsidR="007974C4">
        <w:t>ing</w:t>
      </w:r>
      <w:r w:rsidR="00060E49">
        <w:t xml:space="preserve"> </w:t>
      </w:r>
      <w:r w:rsidR="007974C4">
        <w:t xml:space="preserve">good </w:t>
      </w:r>
      <w:r w:rsidR="00060E49">
        <w:t>material</w:t>
      </w:r>
      <w:r w:rsidR="007974C4">
        <w:t xml:space="preserve"> can help save time and effort</w:t>
      </w:r>
      <w:r w:rsidR="00060E49">
        <w:t xml:space="preserve">, however, including too many links can be </w:t>
      </w:r>
      <w:r w:rsidR="007974C4">
        <w:t xml:space="preserve">confusing </w:t>
      </w:r>
      <w:r w:rsidR="00060E49">
        <w:t xml:space="preserve">for the user. </w:t>
      </w:r>
      <w:proofErr w:type="spellStart"/>
      <w:r w:rsidR="00B337A5">
        <w:t>Alverson</w:t>
      </w:r>
      <w:proofErr w:type="spellEnd"/>
      <w:r w:rsidR="00B337A5">
        <w:t xml:space="preserve"> et al. (2015) found that students were frustrated by too many links that went elsewhere. One student from their study noted, “I don’t want to have to go to a bunch of different places to find what I’m looking for” (p. 127). Other students felt overwhelmed, and often clicked on the first link, regardless of whether they knew what it did or not. Students in another study</w:t>
      </w:r>
      <w:r w:rsidR="00A3384C">
        <w:t xml:space="preserve"> </w:t>
      </w:r>
      <w:r w:rsidR="00B337A5">
        <w:t xml:space="preserve">felt </w:t>
      </w:r>
      <w:r w:rsidR="00606CF2">
        <w:t xml:space="preserve">similarly; they noted that </w:t>
      </w:r>
      <w:r w:rsidR="00B337A5">
        <w:t xml:space="preserve">too many links resulted in </w:t>
      </w:r>
      <w:r w:rsidR="00606CF2">
        <w:t>unwanted clutter</w:t>
      </w:r>
      <w:r w:rsidR="00A3384C">
        <w:t xml:space="preserve"> (</w:t>
      </w:r>
      <w:proofErr w:type="spellStart"/>
      <w:r w:rsidR="00A3384C">
        <w:t>Oulette</w:t>
      </w:r>
      <w:proofErr w:type="spellEnd"/>
      <w:r w:rsidR="00A3384C">
        <w:t>, 2011)</w:t>
      </w:r>
      <w:r w:rsidR="00606CF2">
        <w:t>.</w:t>
      </w:r>
    </w:p>
    <w:p w14:paraId="5FEDA4B4" w14:textId="77777777" w:rsidR="000A50DC" w:rsidRDefault="000A50DC" w:rsidP="00E10904">
      <w:pPr>
        <w:spacing w:line="480" w:lineRule="auto"/>
      </w:pPr>
    </w:p>
    <w:p w14:paraId="4173184A" w14:textId="0F5932E6" w:rsidR="00651B1B" w:rsidRDefault="00A13A7B" w:rsidP="00E10904">
      <w:pPr>
        <w:spacing w:line="480" w:lineRule="auto"/>
      </w:pPr>
      <w:r>
        <w:t>The fact that s</w:t>
      </w:r>
      <w:r w:rsidR="004461BF">
        <w:t>earch</w:t>
      </w:r>
      <w:r w:rsidR="00651B1B">
        <w:t xml:space="preserve"> strategies </w:t>
      </w:r>
      <w:r w:rsidR="004B2CBE">
        <w:t>were</w:t>
      </w:r>
      <w:r w:rsidR="00651B1B">
        <w:t xml:space="preserve"> the </w:t>
      </w:r>
      <w:r w:rsidR="004461BF">
        <w:t>most frequently addressed skill</w:t>
      </w:r>
      <w:r w:rsidR="00651B1B">
        <w:t xml:space="preserve"> in first-year writing </w:t>
      </w:r>
      <w:r w:rsidR="007974C4">
        <w:t>was not surprising; s</w:t>
      </w:r>
      <w:r w:rsidR="00651B1B">
        <w:t xml:space="preserve">earch </w:t>
      </w:r>
      <w:r w:rsidR="0003395C">
        <w:t xml:space="preserve">strategies </w:t>
      </w:r>
      <w:r w:rsidR="001E031F">
        <w:t xml:space="preserve">are an integral </w:t>
      </w:r>
      <w:r w:rsidR="0003395C">
        <w:t xml:space="preserve">part of library instruction. </w:t>
      </w:r>
      <w:r w:rsidR="00651B1B">
        <w:t xml:space="preserve">Guides </w:t>
      </w:r>
      <w:r w:rsidR="004461BF">
        <w:t xml:space="preserve">ranged in how </w:t>
      </w:r>
      <w:r>
        <w:t xml:space="preserve">they addressed search strategies, however. Some guides mentioned trying a variety of </w:t>
      </w:r>
      <w:r>
        <w:lastRenderedPageBreak/>
        <w:t xml:space="preserve">databases or discussed how to use the library catalog. Others went much more in-depth, addressing affective dimensions of searching: </w:t>
      </w:r>
      <w:r w:rsidR="00C77801">
        <w:t>Encouraging students n</w:t>
      </w:r>
      <w:r>
        <w:t xml:space="preserve">ot to give up, for example, </w:t>
      </w:r>
      <w:r w:rsidR="001677D6">
        <w:t>and</w:t>
      </w:r>
      <w:r>
        <w:t xml:space="preserve"> </w:t>
      </w:r>
      <w:r w:rsidR="00F571CC">
        <w:t xml:space="preserve">to </w:t>
      </w:r>
      <w:r>
        <w:t xml:space="preserve">work past the frustration of not finding </w:t>
      </w:r>
      <w:r w:rsidR="00C77801">
        <w:t>relevant sources</w:t>
      </w:r>
      <w:r>
        <w:t xml:space="preserve"> </w:t>
      </w:r>
      <w:r w:rsidR="00C96C3C">
        <w:t>quickly</w:t>
      </w:r>
      <w:r>
        <w:t>. In addition to search mechanics</w:t>
      </w:r>
      <w:r w:rsidR="00B42CE3">
        <w:t xml:space="preserve"> such as how to use Boolean operators,</w:t>
      </w:r>
      <w:r>
        <w:t xml:space="preserve"> </w:t>
      </w:r>
      <w:r w:rsidR="002E3699">
        <w:t xml:space="preserve">developing keywords, and using truncation, </w:t>
      </w:r>
      <w:r>
        <w:t xml:space="preserve">some guides addressed the philosophy behind search, the </w:t>
      </w:r>
      <w:r w:rsidR="00EF1BE8">
        <w:t>idea</w:t>
      </w:r>
      <w:r>
        <w:t xml:space="preserve"> that one is</w:t>
      </w:r>
      <w:r w:rsidR="00F571CC">
        <w:t xml:space="preserve"> not </w:t>
      </w:r>
      <w:r>
        <w:t xml:space="preserve">looking for a perfect source, but rather exploring what is available and using those sources to </w:t>
      </w:r>
      <w:r w:rsidR="002E3699">
        <w:t xml:space="preserve">learn about a </w:t>
      </w:r>
      <w:r w:rsidR="00C96C3C">
        <w:t xml:space="preserve">research </w:t>
      </w:r>
      <w:r w:rsidR="002E3699">
        <w:t>topic.</w:t>
      </w:r>
    </w:p>
    <w:p w14:paraId="3002FDC4" w14:textId="77777777" w:rsidR="009D522C" w:rsidRDefault="009D522C" w:rsidP="00E10904">
      <w:pPr>
        <w:spacing w:line="480" w:lineRule="auto"/>
      </w:pPr>
    </w:p>
    <w:p w14:paraId="7DCE239D" w14:textId="42607EB2" w:rsidR="009D522C" w:rsidRPr="00651B1B" w:rsidRDefault="009D522C" w:rsidP="00E10904">
      <w:pPr>
        <w:spacing w:line="480" w:lineRule="auto"/>
      </w:pPr>
      <w:r>
        <w:t>Citing sources tr</w:t>
      </w:r>
      <w:r w:rsidR="00424BBF">
        <w:t xml:space="preserve">ailed search skills </w:t>
      </w:r>
      <w:r>
        <w:t xml:space="preserve">in frequency, but </w:t>
      </w:r>
      <w:r w:rsidR="000951CB">
        <w:t xml:space="preserve">only </w:t>
      </w:r>
      <w:r w:rsidR="0003395C">
        <w:t>slightly</w:t>
      </w:r>
      <w:r>
        <w:t xml:space="preserve">. </w:t>
      </w:r>
      <w:r w:rsidR="00424BBF">
        <w:t xml:space="preserve">Most guides that addressed citation addressed the nuts and bolts; how to cite using a particular style such as MLA or APA, how to avoid plagiarism, and the like. </w:t>
      </w:r>
      <w:r w:rsidR="006E058A">
        <w:t>Many guides linked to the Purdue OWL site or included handouts with citation style</w:t>
      </w:r>
      <w:r w:rsidR="00D91C6C">
        <w:t xml:space="preserve"> examples</w:t>
      </w:r>
      <w:r w:rsidR="006E058A">
        <w:t xml:space="preserve">. </w:t>
      </w:r>
      <w:r w:rsidR="00424BBF">
        <w:t xml:space="preserve">A few guides moved </w:t>
      </w:r>
      <w:r w:rsidR="002B79DA">
        <w:t>beyond</w:t>
      </w:r>
      <w:r w:rsidR="00424BBF">
        <w:t xml:space="preserve"> these issues by addressing why </w:t>
      </w:r>
      <w:r w:rsidR="002B79DA">
        <w:t xml:space="preserve">citation is </w:t>
      </w:r>
      <w:r w:rsidR="00424BBF">
        <w:t>important</w:t>
      </w:r>
      <w:r w:rsidR="002B79DA">
        <w:t xml:space="preserve"> </w:t>
      </w:r>
      <w:r w:rsidR="00424BBF">
        <w:t xml:space="preserve">and how </w:t>
      </w:r>
      <w:r w:rsidR="000951CB">
        <w:t>to</w:t>
      </w:r>
      <w:r w:rsidR="00424BBF">
        <w:t xml:space="preserve"> use citations to find additional sources. </w:t>
      </w:r>
      <w:r w:rsidR="006E058A">
        <w:t>These ideas were generally presented in videos.</w:t>
      </w:r>
    </w:p>
    <w:p w14:paraId="45734F35" w14:textId="77777777" w:rsidR="0063516E" w:rsidRDefault="0063516E" w:rsidP="00E10904">
      <w:pPr>
        <w:spacing w:line="480" w:lineRule="auto"/>
      </w:pPr>
    </w:p>
    <w:p w14:paraId="10BA871E" w14:textId="3FDA26F0" w:rsidR="00622FF3" w:rsidRPr="00E56746" w:rsidRDefault="007974C4" w:rsidP="00E10904">
      <w:pPr>
        <w:spacing w:line="480" w:lineRule="auto"/>
      </w:pPr>
      <w:r>
        <w:t xml:space="preserve">Examples of how guides employed the </w:t>
      </w:r>
      <w:r>
        <w:rPr>
          <w:i/>
        </w:rPr>
        <w:t>Framework</w:t>
      </w:r>
      <w:r>
        <w:t xml:space="preserve"> were varied</w:t>
      </w:r>
      <w:r w:rsidR="005F37C8">
        <w:rPr>
          <w:i/>
        </w:rPr>
        <w:t xml:space="preserve">. </w:t>
      </w:r>
      <w:r w:rsidR="005F37C8">
        <w:t xml:space="preserve">In </w:t>
      </w:r>
      <w:r w:rsidR="008A4970">
        <w:t xml:space="preserve">one </w:t>
      </w:r>
      <w:r w:rsidR="005F37C8">
        <w:t xml:space="preserve">guide, “Research as Inquiry” is addressed through text and an image. </w:t>
      </w:r>
      <w:r w:rsidR="008A4970">
        <w:t xml:space="preserve">The </w:t>
      </w:r>
      <w:r w:rsidR="000A20BD">
        <w:t>image, labeled “Choosing your topic is research”</w:t>
      </w:r>
      <w:r w:rsidR="008A4970">
        <w:t xml:space="preserve"> depicts the research process </w:t>
      </w:r>
      <w:r w:rsidR="00684616">
        <w:t>as circular, rather than linear, and emphasizes the importance of reformulating ideas after reading and learning</w:t>
      </w:r>
      <w:r w:rsidR="0051710F">
        <w:t xml:space="preserve"> from sources.</w:t>
      </w:r>
      <w:r>
        <w:t xml:space="preserve"> Another guide includes a video addressing the frame, “Authority is Constructed and Contextual” (</w:t>
      </w:r>
      <w:hyperlink r:id="rId8" w:history="1">
        <w:r w:rsidRPr="00601752">
          <w:rPr>
            <w:rStyle w:val="Hyperlink"/>
          </w:rPr>
          <w:t>https://info.library.okstate.edu/engl-1213/evaluating-information</w:t>
        </w:r>
      </w:hyperlink>
      <w:r>
        <w:t xml:space="preserve">). </w:t>
      </w:r>
      <w:r w:rsidR="00622FF3">
        <w:t xml:space="preserve">The </w:t>
      </w:r>
      <w:r w:rsidR="00C77801">
        <w:t>Oklahoma State University Library</w:t>
      </w:r>
      <w:r w:rsidR="00622FF3">
        <w:t xml:space="preserve"> has </w:t>
      </w:r>
      <w:r w:rsidR="00737A2D">
        <w:t>produced a</w:t>
      </w:r>
      <w:r w:rsidR="00F571CC">
        <w:t xml:space="preserve"> </w:t>
      </w:r>
      <w:r w:rsidR="00622FF3">
        <w:t>series of videos</w:t>
      </w:r>
      <w:r w:rsidR="00FB6E3A">
        <w:t xml:space="preserve"> entitled</w:t>
      </w:r>
      <w:r w:rsidR="00622FF3">
        <w:t>, “Inform Your Thinking</w:t>
      </w:r>
      <w:r w:rsidR="00FB6E3A">
        <w:t>,</w:t>
      </w:r>
      <w:r w:rsidR="009A3A0A">
        <w:t>”</w:t>
      </w:r>
      <w:r w:rsidR="00622FF3">
        <w:t xml:space="preserve"> </w:t>
      </w:r>
      <w:r w:rsidR="00F571CC">
        <w:t xml:space="preserve">that address </w:t>
      </w:r>
      <w:r w:rsidR="00F571CC">
        <w:lastRenderedPageBreak/>
        <w:t xml:space="preserve">each frame </w:t>
      </w:r>
      <w:r w:rsidR="00622FF3">
        <w:t xml:space="preserve">head-on, with students </w:t>
      </w:r>
      <w:r w:rsidR="00455023">
        <w:t xml:space="preserve">in the videos </w:t>
      </w:r>
      <w:r w:rsidR="00622FF3">
        <w:t xml:space="preserve">discussing </w:t>
      </w:r>
      <w:r w:rsidR="00455023">
        <w:t>the</w:t>
      </w:r>
      <w:r w:rsidR="00FB6E3A">
        <w:t xml:space="preserve">m </w:t>
      </w:r>
      <w:r w:rsidR="00622FF3">
        <w:t>in way</w:t>
      </w:r>
      <w:r w:rsidR="00FB6E3A">
        <w:t>s</w:t>
      </w:r>
      <w:r w:rsidR="00622FF3">
        <w:t xml:space="preserve"> other students can understand. </w:t>
      </w:r>
      <w:r>
        <w:t>Finally, t</w:t>
      </w:r>
      <w:r w:rsidR="00622FF3">
        <w:t>he University of Alabama English 102 guide</w:t>
      </w:r>
      <w:r w:rsidR="00567D9C">
        <w:t xml:space="preserve"> </w:t>
      </w:r>
      <w:r w:rsidR="00737A2D">
        <w:t>includes a simple image</w:t>
      </w:r>
      <w:r w:rsidR="00622FF3">
        <w:t xml:space="preserve"> addressing the </w:t>
      </w:r>
      <w:r w:rsidR="00622FF3">
        <w:rPr>
          <w:i/>
        </w:rPr>
        <w:t>Framework</w:t>
      </w:r>
      <w:r w:rsidR="00622FF3">
        <w:t xml:space="preserve"> while at the same time pointing to the important connection between wr</w:t>
      </w:r>
      <w:r w:rsidR="000A20BD">
        <w:t>iting and research (see Figure 2</w:t>
      </w:r>
      <w:r w:rsidR="00622FF3">
        <w:t xml:space="preserve">). </w:t>
      </w:r>
      <w:r w:rsidR="00FB6E3A">
        <w:t xml:space="preserve">By doing so, </w:t>
      </w:r>
      <w:r>
        <w:t xml:space="preserve">the guide </w:t>
      </w:r>
      <w:r w:rsidR="00E56746">
        <w:t xml:space="preserve">reinforces the process-oriented nature of research that the </w:t>
      </w:r>
      <w:r w:rsidR="00E56746">
        <w:rPr>
          <w:i/>
        </w:rPr>
        <w:t xml:space="preserve">Framework </w:t>
      </w:r>
      <w:r w:rsidR="00E56746">
        <w:t xml:space="preserve">outlines. </w:t>
      </w:r>
    </w:p>
    <w:p w14:paraId="5EDE392D" w14:textId="77777777" w:rsidR="00622FF3" w:rsidRDefault="00622FF3" w:rsidP="00E10904">
      <w:pPr>
        <w:spacing w:line="480" w:lineRule="auto"/>
      </w:pPr>
    </w:p>
    <w:p w14:paraId="77D78200" w14:textId="798FC74D" w:rsidR="002B6186" w:rsidRDefault="00E10904" w:rsidP="00E10904">
      <w:pPr>
        <w:spacing w:line="480" w:lineRule="auto"/>
      </w:pPr>
      <w:r>
        <w:t>INSERT FIGURE 2 HERE</w:t>
      </w:r>
    </w:p>
    <w:p w14:paraId="75260EE8" w14:textId="77777777" w:rsidR="008A4970" w:rsidRDefault="008A4970" w:rsidP="00E10904">
      <w:pPr>
        <w:spacing w:line="480" w:lineRule="auto"/>
      </w:pPr>
    </w:p>
    <w:p w14:paraId="438F48CD" w14:textId="4EA41260" w:rsidR="001677D6" w:rsidRDefault="00DA22BB" w:rsidP="00E10904">
      <w:pPr>
        <w:spacing w:line="480" w:lineRule="auto"/>
      </w:pPr>
      <w:r>
        <w:t xml:space="preserve">This figure also points to the habits of mind included as part of the </w:t>
      </w:r>
      <w:r>
        <w:rPr>
          <w:i/>
        </w:rPr>
        <w:t>Framework for Success in Postsecondary Writing</w:t>
      </w:r>
      <w:r>
        <w:t>, developed by the Council of Writing Program Administrators, National Council of Teachers of English, and National Writing Project</w:t>
      </w:r>
      <w:r w:rsidR="00EF1BE8">
        <w:t xml:space="preserve"> </w:t>
      </w:r>
      <w:r w:rsidR="00620DF3" w:rsidRPr="00620DF3">
        <w:rPr>
          <w:rFonts w:ascii="Calibri" w:hAnsi="Calibri"/>
        </w:rPr>
        <w:t>(2011)</w:t>
      </w:r>
      <w:r>
        <w:t xml:space="preserve">. </w:t>
      </w:r>
      <w:proofErr w:type="spellStart"/>
      <w:r w:rsidR="00CF2CA6">
        <w:t>Grettano</w:t>
      </w:r>
      <w:proofErr w:type="spellEnd"/>
      <w:r w:rsidR="00CF2CA6">
        <w:t xml:space="preserve"> and </w:t>
      </w:r>
      <w:proofErr w:type="spellStart"/>
      <w:r w:rsidR="00CF2CA6">
        <w:t>Witek</w:t>
      </w:r>
      <w:proofErr w:type="spellEnd"/>
      <w:r w:rsidR="00CF2CA6">
        <w:t xml:space="preserve"> </w:t>
      </w:r>
      <w:r w:rsidR="00620DF3" w:rsidRPr="00620DF3">
        <w:rPr>
          <w:rFonts w:ascii="Calibri" w:hAnsi="Calibri"/>
        </w:rPr>
        <w:t>(2016)</w:t>
      </w:r>
      <w:r w:rsidR="00BD7551">
        <w:t xml:space="preserve"> </w:t>
      </w:r>
      <w:r w:rsidR="00CF2CA6">
        <w:t xml:space="preserve">noticed similarities between </w:t>
      </w:r>
      <w:r w:rsidR="006D29C6">
        <w:t xml:space="preserve">this document and the IL </w:t>
      </w:r>
      <w:r w:rsidR="006D29C6">
        <w:rPr>
          <w:i/>
        </w:rPr>
        <w:t>Framework</w:t>
      </w:r>
      <w:r w:rsidR="006D29C6">
        <w:t xml:space="preserve"> and </w:t>
      </w:r>
      <w:r w:rsidR="00CF2CA6">
        <w:t xml:space="preserve">mapped the </w:t>
      </w:r>
      <w:r w:rsidR="006D29C6">
        <w:t xml:space="preserve">frames </w:t>
      </w:r>
      <w:r w:rsidR="00CF2CA6">
        <w:t xml:space="preserve">to </w:t>
      </w:r>
      <w:r w:rsidR="006D29C6">
        <w:t>the eight</w:t>
      </w:r>
      <w:r w:rsidR="00CF2CA6">
        <w:t xml:space="preserve"> </w:t>
      </w:r>
      <w:r w:rsidR="006D29C6">
        <w:t>habits of mind included in the writing document: Curiosity, openness, engagement, creativity, persistence, responsibility, flexibility, and metacognition</w:t>
      </w:r>
      <w:r w:rsidR="00CF2CA6">
        <w:t xml:space="preserve">. This </w:t>
      </w:r>
      <w:r w:rsidR="006D29C6">
        <w:t xml:space="preserve">type of </w:t>
      </w:r>
      <w:r w:rsidR="00CF2CA6">
        <w:t xml:space="preserve">mapping </w:t>
      </w:r>
      <w:r w:rsidR="00E83B21">
        <w:t xml:space="preserve">can help facilitate </w:t>
      </w:r>
      <w:r w:rsidR="00CF2CA6">
        <w:t>cooperation between librarians and other instructors</w:t>
      </w:r>
      <w:r w:rsidR="006D29C6">
        <w:t xml:space="preserve"> by allowing us to speak the same language</w:t>
      </w:r>
      <w:r w:rsidR="00F4037D">
        <w:t xml:space="preserve"> and by demonstrating that our professions value the same </w:t>
      </w:r>
      <w:r w:rsidR="001507BD">
        <w:t>pedagogical</w:t>
      </w:r>
      <w:r w:rsidR="00F4037D">
        <w:t xml:space="preserve"> ideas</w:t>
      </w:r>
      <w:r w:rsidR="00E83B21">
        <w:t xml:space="preserve">. </w:t>
      </w:r>
      <w:r w:rsidR="00737A2D">
        <w:t xml:space="preserve">The caption for the image explicitly states that research and writing are “intrinsically” related. </w:t>
      </w:r>
      <w:r w:rsidR="00F4037D">
        <w:t>Another way of showing this relationship would be to emphasi</w:t>
      </w:r>
      <w:r w:rsidR="008056BC">
        <w:t>ze</w:t>
      </w:r>
      <w:r w:rsidR="00F4037D">
        <w:t xml:space="preserve"> the writing center</w:t>
      </w:r>
      <w:r w:rsidR="00A3384C">
        <w:t>, although less than half of the guides (37.7%) in the study did so.</w:t>
      </w:r>
    </w:p>
    <w:p w14:paraId="1442D5C3" w14:textId="73ABC684" w:rsidR="007E62CA" w:rsidRDefault="007E62CA" w:rsidP="00E10904">
      <w:pPr>
        <w:spacing w:line="480" w:lineRule="auto"/>
      </w:pPr>
    </w:p>
    <w:p w14:paraId="2455B6C2" w14:textId="24D3DB62" w:rsidR="00811710" w:rsidRDefault="003C677D" w:rsidP="00E10904">
      <w:pPr>
        <w:spacing w:line="480" w:lineRule="auto"/>
      </w:pPr>
      <w:r>
        <w:t>Given th</w:t>
      </w:r>
      <w:r w:rsidR="00737A2D">
        <w:t>e</w:t>
      </w:r>
      <w:r>
        <w:t xml:space="preserve"> interconnection </w:t>
      </w:r>
      <w:r w:rsidR="00737A2D">
        <w:t xml:space="preserve">between research and writing, librarians should consider using guides as a platform for demonstrating </w:t>
      </w:r>
      <w:r w:rsidR="00E7503D">
        <w:t>this relationship</w:t>
      </w:r>
      <w:r w:rsidR="00737A2D">
        <w:t xml:space="preserve">. </w:t>
      </w:r>
      <w:r>
        <w:t xml:space="preserve">Only 5 guides included instruction on </w:t>
      </w:r>
      <w:r>
        <w:lastRenderedPageBreak/>
        <w:t xml:space="preserve">writing a thesis and only 10 guides on using sources. </w:t>
      </w:r>
      <w:r w:rsidR="00276631">
        <w:t xml:space="preserve">Barbara </w:t>
      </w:r>
      <w:proofErr w:type="spellStart"/>
      <w:r w:rsidR="00276631">
        <w:t>Fister</w:t>
      </w:r>
      <w:proofErr w:type="spellEnd"/>
      <w:r w:rsidR="00A8782D">
        <w:t xml:space="preserve"> </w:t>
      </w:r>
      <w:r w:rsidR="00620DF3" w:rsidRPr="00620DF3">
        <w:rPr>
          <w:rFonts w:ascii="Calibri" w:hAnsi="Calibri"/>
        </w:rPr>
        <w:t>(1992)</w:t>
      </w:r>
      <w:r w:rsidR="00A8782D">
        <w:t xml:space="preserve"> </w:t>
      </w:r>
      <w:r w:rsidR="00C20F10">
        <w:t xml:space="preserve">was one of the first librarians to </w:t>
      </w:r>
      <w:r w:rsidR="00A8782D">
        <w:t xml:space="preserve">point out the similarities between </w:t>
      </w:r>
      <w:r w:rsidR="00814486">
        <w:t>information literacy and rhetoric and composition</w:t>
      </w:r>
      <w:r w:rsidR="000045B3">
        <w:t xml:space="preserve">; </w:t>
      </w:r>
      <w:r w:rsidR="00137E4F">
        <w:t xml:space="preserve">since then </w:t>
      </w:r>
      <w:r w:rsidR="00C226B3">
        <w:t xml:space="preserve">many other librarians and </w:t>
      </w:r>
      <w:proofErr w:type="spellStart"/>
      <w:r w:rsidR="00C226B3">
        <w:t>rhet</w:t>
      </w:r>
      <w:proofErr w:type="spellEnd"/>
      <w:r w:rsidR="00C226B3">
        <w:t>/comp instructors have followed suit (Bowles-Terry</w:t>
      </w:r>
      <w:r w:rsidR="00C22013">
        <w:t xml:space="preserve"> </w:t>
      </w:r>
      <w:r w:rsidR="00C226B3" w:rsidRPr="00C22013">
        <w:t>et. al.,</w:t>
      </w:r>
      <w:r w:rsidR="00C226B3">
        <w:t xml:space="preserve"> 2010; Jacobs, 2008; </w:t>
      </w:r>
      <w:proofErr w:type="spellStart"/>
      <w:r w:rsidR="00C226B3">
        <w:t>Noorgard</w:t>
      </w:r>
      <w:proofErr w:type="spellEnd"/>
      <w:r w:rsidR="00C226B3">
        <w:t xml:space="preserve">, 2003). </w:t>
      </w:r>
      <w:r w:rsidR="00811710">
        <w:t xml:space="preserve">Perhaps collaborating with first-year writing instructors on a course research guide </w:t>
      </w:r>
      <w:r w:rsidR="0032009B">
        <w:t>would</w:t>
      </w:r>
      <w:r w:rsidR="00811710">
        <w:t xml:space="preserve"> truly marry research and writing skills</w:t>
      </w:r>
      <w:r w:rsidR="00F4037D">
        <w:t xml:space="preserve"> and make the guides more successful, </w:t>
      </w:r>
      <w:r w:rsidR="00811710">
        <w:t xml:space="preserve">particularly since instructor recommendations tend to improve student use </w:t>
      </w:r>
      <w:r w:rsidR="0032009B">
        <w:t xml:space="preserve">of research guides </w:t>
      </w:r>
      <w:r w:rsidR="00620DF3" w:rsidRPr="00620DF3">
        <w:rPr>
          <w:rFonts w:ascii="Calibri" w:hAnsi="Calibri"/>
        </w:rPr>
        <w:t>(Ouellette, 2011)</w:t>
      </w:r>
      <w:r w:rsidR="00811710">
        <w:t xml:space="preserve">. </w:t>
      </w:r>
    </w:p>
    <w:p w14:paraId="4D9969C0" w14:textId="77777777" w:rsidR="001677D6" w:rsidRDefault="001677D6" w:rsidP="00E10904">
      <w:pPr>
        <w:spacing w:line="480" w:lineRule="auto"/>
      </w:pPr>
    </w:p>
    <w:p w14:paraId="6E71A203" w14:textId="2DB52656" w:rsidR="00E83B21" w:rsidRPr="001B2615" w:rsidRDefault="00E83B21" w:rsidP="00E10904">
      <w:pPr>
        <w:spacing w:line="480" w:lineRule="auto"/>
      </w:pPr>
      <w:r>
        <w:t xml:space="preserve">Although </w:t>
      </w:r>
      <w:r w:rsidR="002B79DA">
        <w:t xml:space="preserve">46.3% of </w:t>
      </w:r>
      <w:r>
        <w:t xml:space="preserve">first-year writing course guides </w:t>
      </w:r>
      <w:r w:rsidR="002B79DA">
        <w:t>with instructional content did address</w:t>
      </w:r>
      <w:r>
        <w:t xml:space="preserve"> the IL </w:t>
      </w:r>
      <w:r>
        <w:rPr>
          <w:i/>
        </w:rPr>
        <w:t xml:space="preserve">Framework </w:t>
      </w:r>
      <w:r>
        <w:t>in some way, guide design was problematic</w:t>
      </w:r>
      <w:r w:rsidR="001507BD">
        <w:t xml:space="preserve"> at times</w:t>
      </w:r>
      <w:r>
        <w:t xml:space="preserve">. </w:t>
      </w:r>
      <w:r w:rsidR="001B2615">
        <w:t xml:space="preserve">Some guides were particularly text-heavy and involved a lot of scrolling, two elements students strongly dislike </w:t>
      </w:r>
      <w:r w:rsidR="00620DF3" w:rsidRPr="00620DF3">
        <w:rPr>
          <w:rFonts w:ascii="Calibri" w:hAnsi="Calibri"/>
        </w:rPr>
        <w:t>(Hintz et al., 2010)</w:t>
      </w:r>
      <w:r w:rsidR="001B2615">
        <w:t xml:space="preserve">. Many guides used three columns, rather than the one or two columns advised by best practices </w:t>
      </w:r>
      <w:r w:rsidR="00620DF3" w:rsidRPr="00620DF3">
        <w:rPr>
          <w:rFonts w:ascii="Calibri" w:hAnsi="Calibri"/>
        </w:rPr>
        <w:t>(</w:t>
      </w:r>
      <w:proofErr w:type="spellStart"/>
      <w:r w:rsidR="00620DF3" w:rsidRPr="00620DF3">
        <w:rPr>
          <w:rFonts w:ascii="Calibri" w:hAnsi="Calibri"/>
        </w:rPr>
        <w:t>Alverson</w:t>
      </w:r>
      <w:proofErr w:type="spellEnd"/>
      <w:r w:rsidR="00620DF3" w:rsidRPr="00620DF3">
        <w:rPr>
          <w:rFonts w:ascii="Calibri" w:hAnsi="Calibri"/>
        </w:rPr>
        <w:t xml:space="preserve"> et al., 2015)</w:t>
      </w:r>
      <w:r w:rsidR="001B2615">
        <w:t xml:space="preserve">. Information overload was also a problem; some guides </w:t>
      </w:r>
      <w:r w:rsidR="00946556">
        <w:t>included entire pages</w:t>
      </w:r>
      <w:r w:rsidR="001B2615">
        <w:t xml:space="preserve"> of links to videos, tutorials, and other web pages. </w:t>
      </w:r>
      <w:r w:rsidR="007974C4">
        <w:t>N</w:t>
      </w:r>
      <w:r w:rsidR="001B2615">
        <w:t xml:space="preserve">o guide excelled in addressing the </w:t>
      </w:r>
      <w:r w:rsidR="001B2615">
        <w:rPr>
          <w:i/>
        </w:rPr>
        <w:t xml:space="preserve">Framework </w:t>
      </w:r>
      <w:r w:rsidR="001B2615">
        <w:t xml:space="preserve">and design best practices. </w:t>
      </w:r>
    </w:p>
    <w:p w14:paraId="768C0123" w14:textId="77777777" w:rsidR="00B40369" w:rsidRDefault="00B40369" w:rsidP="00E10904">
      <w:pPr>
        <w:spacing w:line="480" w:lineRule="auto"/>
      </w:pPr>
    </w:p>
    <w:p w14:paraId="69790D9C" w14:textId="61F23A50" w:rsidR="00C54705" w:rsidRDefault="00CF2CA6" w:rsidP="00E10904">
      <w:pPr>
        <w:spacing w:line="480" w:lineRule="auto"/>
      </w:pPr>
      <w:r>
        <w:t xml:space="preserve">AREAS FOR </w:t>
      </w:r>
      <w:r w:rsidR="000A20BD">
        <w:t>FURTHER RESEARCH</w:t>
      </w:r>
    </w:p>
    <w:p w14:paraId="4E27D73D" w14:textId="74278FC2" w:rsidR="00C54705" w:rsidRDefault="00C54705" w:rsidP="00E10904">
      <w:pPr>
        <w:spacing w:line="480" w:lineRule="auto"/>
      </w:pPr>
      <w:r>
        <w:t xml:space="preserve">Although this study focused on the guides themselves, information </w:t>
      </w:r>
      <w:r w:rsidR="007974C4">
        <w:t>about why the guides were created and how they are used c</w:t>
      </w:r>
      <w:r w:rsidR="004F7A53">
        <w:t>ould enhance the analysis. S</w:t>
      </w:r>
      <w:r>
        <w:t xml:space="preserve">ome guides might have been </w:t>
      </w:r>
      <w:r w:rsidR="00EF7EF4">
        <w:t>designed</w:t>
      </w:r>
      <w:r>
        <w:t xml:space="preserve"> as a stand-in for </w:t>
      </w:r>
      <w:r w:rsidR="002B79DA">
        <w:t xml:space="preserve">in-person library </w:t>
      </w:r>
      <w:r>
        <w:t xml:space="preserve">instruction, while some may have been used in tandem with a robust set of instructional sessions. </w:t>
      </w:r>
      <w:r w:rsidR="00A3384C">
        <w:t>Interviewing librarians about their thought process</w:t>
      </w:r>
      <w:r w:rsidR="000045B3">
        <w:t>es</w:t>
      </w:r>
      <w:r w:rsidR="00A3384C">
        <w:t xml:space="preserve"> for developing their guides—what criteria they used for including instructional </w:t>
      </w:r>
      <w:r w:rsidR="00A3384C">
        <w:lastRenderedPageBreak/>
        <w:t xml:space="preserve">elements, their thoughts about the </w:t>
      </w:r>
      <w:r w:rsidR="00A3384C" w:rsidRPr="00A3384C">
        <w:rPr>
          <w:i/>
        </w:rPr>
        <w:t>Framework</w:t>
      </w:r>
      <w:r w:rsidR="00A3384C">
        <w:rPr>
          <w:i/>
        </w:rPr>
        <w:t xml:space="preserve">, </w:t>
      </w:r>
      <w:r w:rsidR="00A3384C">
        <w:t xml:space="preserve">if they </w:t>
      </w:r>
      <w:r w:rsidR="007974C4">
        <w:t xml:space="preserve">updated </w:t>
      </w:r>
      <w:r w:rsidR="00A3384C">
        <w:t>their guides to address it</w:t>
      </w:r>
      <w:r w:rsidR="000045B3">
        <w:t>, etc.</w:t>
      </w:r>
      <w:r w:rsidR="00A3384C">
        <w:t>—could provide</w:t>
      </w:r>
      <w:r w:rsidR="004F7A53">
        <w:t xml:space="preserve"> </w:t>
      </w:r>
      <w:r w:rsidR="001B2615">
        <w:t>valuable</w:t>
      </w:r>
      <w:r w:rsidR="00A3384C">
        <w:t xml:space="preserve"> insights.</w:t>
      </w:r>
      <w:r w:rsidR="004F7A53">
        <w:t xml:space="preserve"> </w:t>
      </w:r>
      <w:r w:rsidR="00592920">
        <w:t xml:space="preserve">Research could also be done on </w:t>
      </w:r>
      <w:r w:rsidR="0034184E">
        <w:t>stand-alone intro</w:t>
      </w:r>
      <w:r w:rsidR="000045B3">
        <w:t>ductory</w:t>
      </w:r>
      <w:r w:rsidR="00592920">
        <w:t xml:space="preserve"> guides</w:t>
      </w:r>
      <w:r w:rsidR="00873974">
        <w:t>. Many libraries have</w:t>
      </w:r>
      <w:r w:rsidR="00592920">
        <w:t xml:space="preserve"> Research 101</w:t>
      </w:r>
      <w:r w:rsidR="00873974">
        <w:t xml:space="preserve"> guides</w:t>
      </w:r>
      <w:r w:rsidR="004567AB">
        <w:t xml:space="preserve">—essentially guides that </w:t>
      </w:r>
      <w:r w:rsidR="00F61E79">
        <w:t>explain</w:t>
      </w:r>
      <w:r w:rsidR="00873974">
        <w:t xml:space="preserve"> the</w:t>
      </w:r>
      <w:r w:rsidR="004567AB">
        <w:t xml:space="preserve"> research </w:t>
      </w:r>
      <w:r w:rsidR="00873974">
        <w:t xml:space="preserve">process </w:t>
      </w:r>
      <w:r w:rsidR="004567AB">
        <w:t>without being tied to a course</w:t>
      </w:r>
      <w:r w:rsidR="00592920">
        <w:t xml:space="preserve">. </w:t>
      </w:r>
      <w:r w:rsidR="004567AB">
        <w:t xml:space="preserve">Do these types of guides </w:t>
      </w:r>
      <w:r w:rsidR="00592920">
        <w:t>incorporat</w:t>
      </w:r>
      <w:r w:rsidR="00946556">
        <w:t>e</w:t>
      </w:r>
      <w:r w:rsidR="00592920">
        <w:t xml:space="preserve"> the </w:t>
      </w:r>
      <w:r w:rsidR="00592920">
        <w:rPr>
          <w:i/>
        </w:rPr>
        <w:t>Framework</w:t>
      </w:r>
      <w:r w:rsidR="00946556">
        <w:rPr>
          <w:i/>
        </w:rPr>
        <w:t xml:space="preserve"> </w:t>
      </w:r>
      <w:r w:rsidR="00946556">
        <w:t xml:space="preserve">to a greater </w:t>
      </w:r>
      <w:r w:rsidR="00F61E79">
        <w:t>degree</w:t>
      </w:r>
      <w:r w:rsidR="004567AB" w:rsidRPr="00946556">
        <w:t>?</w:t>
      </w:r>
      <w:r w:rsidR="00592920">
        <w:t xml:space="preserve"> Finally, </w:t>
      </w:r>
      <w:r w:rsidR="007974C4">
        <w:t xml:space="preserve">studies on the learning outcomes resulting from incorporating the </w:t>
      </w:r>
      <w:r w:rsidR="007974C4">
        <w:rPr>
          <w:i/>
        </w:rPr>
        <w:t xml:space="preserve">Framework </w:t>
      </w:r>
      <w:r w:rsidR="007974C4">
        <w:t xml:space="preserve">into </w:t>
      </w:r>
      <w:proofErr w:type="spellStart"/>
      <w:r w:rsidR="007974C4">
        <w:t>LibGuides</w:t>
      </w:r>
      <w:proofErr w:type="spellEnd"/>
      <w:r w:rsidR="007974C4">
        <w:t xml:space="preserve"> would be especially beneficial.</w:t>
      </w:r>
    </w:p>
    <w:p w14:paraId="4FD56C88" w14:textId="77777777" w:rsidR="00D5263F" w:rsidRDefault="00D5263F" w:rsidP="00E10904">
      <w:pPr>
        <w:spacing w:line="480" w:lineRule="auto"/>
      </w:pPr>
    </w:p>
    <w:p w14:paraId="067E1B4D" w14:textId="3646A930" w:rsidR="00CA21E5" w:rsidRDefault="00CA21E5" w:rsidP="00E10904">
      <w:pPr>
        <w:spacing w:line="480" w:lineRule="auto"/>
      </w:pPr>
      <w:r>
        <w:t>CONCLUSION</w:t>
      </w:r>
    </w:p>
    <w:p w14:paraId="1E7E5043" w14:textId="3F8427B7" w:rsidR="007974C4" w:rsidRDefault="0037787A" w:rsidP="00E10904">
      <w:pPr>
        <w:spacing w:line="480" w:lineRule="auto"/>
      </w:pPr>
      <w:r>
        <w:t xml:space="preserve">This analysis demonstrates that </w:t>
      </w:r>
      <w:r w:rsidR="00F50439">
        <w:t xml:space="preserve">although most first-year writing course guides do contain instructional elements, few are </w:t>
      </w:r>
      <w:r>
        <w:t xml:space="preserve">addressing the </w:t>
      </w:r>
      <w:r w:rsidRPr="0037787A">
        <w:rPr>
          <w:i/>
        </w:rPr>
        <w:t>Framework</w:t>
      </w:r>
      <w:r>
        <w:t xml:space="preserve">. </w:t>
      </w:r>
      <w:r w:rsidR="007974C4">
        <w:t>R</w:t>
      </w:r>
      <w:r w:rsidR="00E9324B">
        <w:t xml:space="preserve">esources such as </w:t>
      </w:r>
      <w:r w:rsidR="000045B3">
        <w:t>the Peer-Reviewed Instructional Material Online Database (PRIMO)</w:t>
      </w:r>
      <w:r w:rsidR="00E9324B">
        <w:t xml:space="preserve"> </w:t>
      </w:r>
      <w:r w:rsidR="000045B3">
        <w:t>(</w:t>
      </w:r>
      <w:r w:rsidR="000045B3" w:rsidRPr="000045B3">
        <w:t>http://primodb.org/</w:t>
      </w:r>
      <w:r w:rsidR="000045B3">
        <w:t xml:space="preserve">) </w:t>
      </w:r>
      <w:r w:rsidR="00E9324B">
        <w:t xml:space="preserve">or the ACRL Framework </w:t>
      </w:r>
      <w:r w:rsidR="000045B3">
        <w:t>for Information Literacy</w:t>
      </w:r>
      <w:r w:rsidR="00FB2BA4">
        <w:t xml:space="preserve"> Sandbox</w:t>
      </w:r>
      <w:r w:rsidR="00E9324B">
        <w:t xml:space="preserve"> </w:t>
      </w:r>
      <w:r w:rsidR="000045B3">
        <w:t>(</w:t>
      </w:r>
      <w:r w:rsidR="00FB2BA4" w:rsidRPr="00FB2BA4">
        <w:t>http://sandbox.acrl.org/</w:t>
      </w:r>
      <w:r w:rsidR="000045B3">
        <w:t xml:space="preserve">) </w:t>
      </w:r>
      <w:r w:rsidR="007974C4">
        <w:t xml:space="preserve">could help those librarians who wish to update their guides to better </w:t>
      </w:r>
      <w:r w:rsidR="007974C4" w:rsidRPr="00A93EEC">
        <w:t>reflect</w:t>
      </w:r>
      <w:r w:rsidR="007974C4">
        <w:t xml:space="preserve"> </w:t>
      </w:r>
      <w:r w:rsidR="00FB6E3A">
        <w:t>it</w:t>
      </w:r>
      <w:r w:rsidR="007974C4">
        <w:t>.</w:t>
      </w:r>
      <w:r w:rsidR="00E9324B">
        <w:t xml:space="preserve"> </w:t>
      </w:r>
      <w:r w:rsidR="00620BFB">
        <w:t>Other</w:t>
      </w:r>
      <w:r w:rsidR="007974C4">
        <w:t xml:space="preserve"> librarians may feel that </w:t>
      </w:r>
      <w:r w:rsidR="0032009B">
        <w:t xml:space="preserve">the </w:t>
      </w:r>
      <w:r w:rsidR="0032009B">
        <w:rPr>
          <w:i/>
        </w:rPr>
        <w:t xml:space="preserve">Framework </w:t>
      </w:r>
      <w:r w:rsidR="0032009B">
        <w:t xml:space="preserve">is </w:t>
      </w:r>
      <w:r w:rsidR="007974C4">
        <w:t xml:space="preserve">better </w:t>
      </w:r>
      <w:r w:rsidR="0032009B">
        <w:t xml:space="preserve">addressed elsewhere, in other types of guides, on the library website, or during in-person instruction. </w:t>
      </w:r>
      <w:r w:rsidR="00620BFB">
        <w:t>More research is needed to determine best practices.</w:t>
      </w:r>
    </w:p>
    <w:p w14:paraId="7510C8AF" w14:textId="58390724" w:rsidR="00FB2BA4" w:rsidRDefault="00FB2BA4" w:rsidP="00E10904">
      <w:pPr>
        <w:spacing w:line="480" w:lineRule="auto"/>
      </w:pPr>
    </w:p>
    <w:p w14:paraId="2EEA0D0D" w14:textId="3D58D3D3" w:rsidR="00CA21E5" w:rsidRPr="00055F6B" w:rsidRDefault="00BD5E41" w:rsidP="00BD49E2">
      <w:pPr>
        <w:spacing w:line="480" w:lineRule="auto"/>
      </w:pPr>
      <w:r>
        <w:t xml:space="preserve">Research guides, and </w:t>
      </w:r>
      <w:proofErr w:type="spellStart"/>
      <w:r>
        <w:t>LibGuides</w:t>
      </w:r>
      <w:proofErr w:type="spellEnd"/>
      <w:r>
        <w:t xml:space="preserve"> in particular, are popular because </w:t>
      </w:r>
      <w:r w:rsidR="0076446B">
        <w:t xml:space="preserve">they are </w:t>
      </w:r>
      <w:r w:rsidR="00B208FE">
        <w:t xml:space="preserve">so </w:t>
      </w:r>
      <w:r w:rsidR="0076446B">
        <w:t>easy to create</w:t>
      </w:r>
      <w:r>
        <w:t xml:space="preserve">. </w:t>
      </w:r>
      <w:r w:rsidR="00BA678A">
        <w:t xml:space="preserve">Adding elements of the </w:t>
      </w:r>
      <w:r w:rsidR="00BA678A">
        <w:rPr>
          <w:i/>
        </w:rPr>
        <w:t xml:space="preserve">Framework </w:t>
      </w:r>
      <w:r w:rsidR="00BA678A">
        <w:t xml:space="preserve">to course guides could be an easy way of </w:t>
      </w:r>
      <w:r w:rsidR="00C96C3C">
        <w:t>promoting these ideas</w:t>
      </w:r>
      <w:r w:rsidR="00BA678A">
        <w:t xml:space="preserve"> to students, particularly if the guides are used during instruction sessions. </w:t>
      </w:r>
      <w:r w:rsidR="007A05F8">
        <w:t xml:space="preserve">If </w:t>
      </w:r>
      <w:r w:rsidR="007974C4">
        <w:t>design</w:t>
      </w:r>
      <w:r w:rsidR="007A05F8">
        <w:t xml:space="preserve">ed </w:t>
      </w:r>
      <w:r w:rsidR="007974C4">
        <w:t>intentionally</w:t>
      </w:r>
      <w:r w:rsidR="007A05F8">
        <w:t xml:space="preserve">, first-year writing course guides employing the </w:t>
      </w:r>
      <w:r w:rsidR="007A05F8">
        <w:rPr>
          <w:i/>
        </w:rPr>
        <w:t xml:space="preserve">Framework </w:t>
      </w:r>
      <w:r w:rsidR="007A05F8">
        <w:t xml:space="preserve">could reinforce complex ideas </w:t>
      </w:r>
      <w:r w:rsidR="00620BFB">
        <w:t>presented</w:t>
      </w:r>
      <w:r w:rsidR="007A05F8">
        <w:t xml:space="preserve"> during library instruction </w:t>
      </w:r>
      <w:proofErr w:type="gramStart"/>
      <w:r w:rsidR="007A05F8">
        <w:t>sessions, and</w:t>
      </w:r>
      <w:proofErr w:type="gramEnd"/>
      <w:r w:rsidR="007A05F8">
        <w:t xml:space="preserve"> underscore </w:t>
      </w:r>
      <w:r w:rsidR="00E63813">
        <w:t xml:space="preserve">the </w:t>
      </w:r>
      <w:r w:rsidR="007A05F8">
        <w:t xml:space="preserve">research </w:t>
      </w:r>
      <w:r w:rsidR="00E63813">
        <w:lastRenderedPageBreak/>
        <w:t xml:space="preserve">process </w:t>
      </w:r>
      <w:r w:rsidR="007A05F8">
        <w:t>as Hick’s (2015) describes</w:t>
      </w:r>
      <w:r w:rsidR="00E63813">
        <w:t xml:space="preserve"> it</w:t>
      </w:r>
      <w:r w:rsidR="007A05F8">
        <w:t xml:space="preserve">, as </w:t>
      </w:r>
      <w:r w:rsidR="00C22013">
        <w:t>a</w:t>
      </w:r>
      <w:r w:rsidR="007A05F8">
        <w:t xml:space="preserve"> “rich, sociocultural practice that forms an integral part of human activity.”</w:t>
      </w:r>
    </w:p>
    <w:p w14:paraId="6D878594" w14:textId="77777777" w:rsidR="00972E6C" w:rsidRDefault="00972E6C" w:rsidP="009A3482"/>
    <w:p w14:paraId="031C67AB" w14:textId="77777777" w:rsidR="00972E6C" w:rsidRDefault="00972E6C" w:rsidP="009A3482"/>
    <w:p w14:paraId="0333E9E1" w14:textId="34CDF3A5" w:rsidR="009A2479" w:rsidRDefault="009A2479" w:rsidP="009A3482">
      <w:r>
        <w:t>BIBLIOGRAPHY</w:t>
      </w:r>
    </w:p>
    <w:p w14:paraId="79A009C4" w14:textId="77777777" w:rsidR="009A2479" w:rsidRDefault="009A2479" w:rsidP="009A3482"/>
    <w:p w14:paraId="3F565D29" w14:textId="7952D829" w:rsidR="00FD4864" w:rsidRPr="00FD4864" w:rsidRDefault="00FD4864" w:rsidP="00FD4864">
      <w:pPr>
        <w:pStyle w:val="Bibliography"/>
        <w:rPr>
          <w:rFonts w:ascii="Calibri" w:hAnsi="Calibri"/>
        </w:rPr>
      </w:pPr>
      <w:proofErr w:type="spellStart"/>
      <w:r w:rsidRPr="00FD4864">
        <w:rPr>
          <w:rFonts w:ascii="Calibri" w:hAnsi="Calibri"/>
        </w:rPr>
        <w:t>Alverson</w:t>
      </w:r>
      <w:proofErr w:type="spellEnd"/>
      <w:r w:rsidRPr="00FD4864">
        <w:rPr>
          <w:rFonts w:ascii="Calibri" w:hAnsi="Calibri"/>
        </w:rPr>
        <w:t xml:space="preserve">, J., </w:t>
      </w:r>
      <w:proofErr w:type="spellStart"/>
      <w:r w:rsidRPr="00FD4864">
        <w:rPr>
          <w:rFonts w:ascii="Calibri" w:hAnsi="Calibri"/>
        </w:rPr>
        <w:t>LeFager</w:t>
      </w:r>
      <w:proofErr w:type="spellEnd"/>
      <w:r w:rsidRPr="00FD4864">
        <w:rPr>
          <w:rFonts w:ascii="Calibri" w:hAnsi="Calibri"/>
        </w:rPr>
        <w:t xml:space="preserve">, J., Schwartz, J. and </w:t>
      </w:r>
      <w:proofErr w:type="spellStart"/>
      <w:r w:rsidRPr="00FD4864">
        <w:rPr>
          <w:rFonts w:ascii="Calibri" w:hAnsi="Calibri"/>
        </w:rPr>
        <w:t>Brunskill</w:t>
      </w:r>
      <w:proofErr w:type="spellEnd"/>
      <w:r w:rsidRPr="00FD4864">
        <w:rPr>
          <w:rFonts w:ascii="Calibri" w:hAnsi="Calibri"/>
        </w:rPr>
        <w:t xml:space="preserve">, A. (2015), “Creating audience and environment-friendly research guides: </w:t>
      </w:r>
      <w:r w:rsidR="00324D72">
        <w:rPr>
          <w:rFonts w:ascii="Calibri" w:hAnsi="Calibri"/>
        </w:rPr>
        <w:t>f</w:t>
      </w:r>
      <w:r w:rsidRPr="00FD4864">
        <w:rPr>
          <w:rFonts w:ascii="Calibri" w:hAnsi="Calibri"/>
        </w:rPr>
        <w:t xml:space="preserve">indings from a user study”, presented at the </w:t>
      </w:r>
      <w:r w:rsidR="004059A3">
        <w:rPr>
          <w:rFonts w:ascii="Calibri" w:hAnsi="Calibri"/>
        </w:rPr>
        <w:t>Association of College and Research Libraries (</w:t>
      </w:r>
      <w:r w:rsidRPr="00FD4864">
        <w:rPr>
          <w:rFonts w:ascii="Calibri" w:hAnsi="Calibri"/>
        </w:rPr>
        <w:t>ACRL</w:t>
      </w:r>
      <w:r w:rsidR="004059A3">
        <w:rPr>
          <w:rFonts w:ascii="Calibri" w:hAnsi="Calibri"/>
        </w:rPr>
        <w:t>) Conference</w:t>
      </w:r>
      <w:r w:rsidRPr="00FD4864">
        <w:rPr>
          <w:rFonts w:ascii="Calibri" w:hAnsi="Calibri"/>
        </w:rPr>
        <w:t xml:space="preserve">, </w:t>
      </w:r>
      <w:r w:rsidR="004059A3">
        <w:rPr>
          <w:rFonts w:ascii="Calibri" w:hAnsi="Calibri"/>
        </w:rPr>
        <w:t xml:space="preserve">25-28 March, </w:t>
      </w:r>
      <w:r w:rsidRPr="00FD4864">
        <w:rPr>
          <w:rFonts w:ascii="Calibri" w:hAnsi="Calibri"/>
        </w:rPr>
        <w:t>Portland, OR</w:t>
      </w:r>
      <w:r w:rsidR="004059A3">
        <w:rPr>
          <w:rFonts w:ascii="Calibri" w:hAnsi="Calibri"/>
        </w:rPr>
        <w:t>, available at:</w:t>
      </w:r>
      <w:r w:rsidR="004059A3" w:rsidRPr="004059A3">
        <w:t xml:space="preserve"> </w:t>
      </w:r>
      <w:r w:rsidR="004059A3" w:rsidRPr="004059A3">
        <w:rPr>
          <w:rFonts w:ascii="Calibri" w:hAnsi="Calibri"/>
        </w:rPr>
        <w:t>http://www.ala.org/acrl/sites/ala.org.acrl/files/content/conferences/confsandpreconfs/2015/Alverson_Schwartz_Brunskill_Lefager.pdf</w:t>
      </w:r>
      <w:r w:rsidR="004059A3">
        <w:rPr>
          <w:rFonts w:ascii="Calibri" w:hAnsi="Calibri"/>
        </w:rPr>
        <w:t xml:space="preserve"> (accessed </w:t>
      </w:r>
      <w:r w:rsidR="002E6956">
        <w:rPr>
          <w:rFonts w:ascii="Calibri" w:hAnsi="Calibri"/>
        </w:rPr>
        <w:t>2 June 2017).</w:t>
      </w:r>
    </w:p>
    <w:p w14:paraId="28548348" w14:textId="6E5E1F08" w:rsidR="00FC7D9B" w:rsidRPr="00FC7D9B" w:rsidRDefault="00FC7D9B" w:rsidP="00FC7D9B">
      <w:pPr>
        <w:pStyle w:val="Bibliography"/>
        <w:rPr>
          <w:rFonts w:ascii="Calibri" w:hAnsi="Calibri"/>
        </w:rPr>
      </w:pPr>
      <w:r w:rsidRPr="00FC7D9B">
        <w:rPr>
          <w:rFonts w:ascii="Calibri" w:hAnsi="Calibri"/>
        </w:rPr>
        <w:t xml:space="preserve">Archambault, S.G. (2011), “Library </w:t>
      </w:r>
      <w:r>
        <w:rPr>
          <w:rFonts w:ascii="Calibri" w:hAnsi="Calibri"/>
        </w:rPr>
        <w:t>i</w:t>
      </w:r>
      <w:r w:rsidRPr="00FC7D9B">
        <w:rPr>
          <w:rFonts w:ascii="Calibri" w:hAnsi="Calibri"/>
        </w:rPr>
        <w:t xml:space="preserve">nstruction for </w:t>
      </w:r>
      <w:r>
        <w:rPr>
          <w:rFonts w:ascii="Calibri" w:hAnsi="Calibri"/>
        </w:rPr>
        <w:t>f</w:t>
      </w:r>
      <w:r w:rsidRPr="00FC7D9B">
        <w:rPr>
          <w:rFonts w:ascii="Calibri" w:hAnsi="Calibri"/>
        </w:rPr>
        <w:t xml:space="preserve">reshman English: </w:t>
      </w:r>
      <w:r>
        <w:rPr>
          <w:rFonts w:ascii="Calibri" w:hAnsi="Calibri"/>
        </w:rPr>
        <w:t>a</w:t>
      </w:r>
      <w:r w:rsidRPr="00FC7D9B">
        <w:rPr>
          <w:rFonts w:ascii="Calibri" w:hAnsi="Calibri"/>
        </w:rPr>
        <w:t xml:space="preserve"> </w:t>
      </w:r>
      <w:r>
        <w:rPr>
          <w:rFonts w:ascii="Calibri" w:hAnsi="Calibri"/>
        </w:rPr>
        <w:t>m</w:t>
      </w:r>
      <w:r w:rsidRPr="00FC7D9B">
        <w:rPr>
          <w:rFonts w:ascii="Calibri" w:hAnsi="Calibri"/>
        </w:rPr>
        <w:t>ulti-</w:t>
      </w:r>
      <w:r>
        <w:rPr>
          <w:rFonts w:ascii="Calibri" w:hAnsi="Calibri"/>
        </w:rPr>
        <w:t>y</w:t>
      </w:r>
      <w:r w:rsidRPr="00FC7D9B">
        <w:rPr>
          <w:rFonts w:ascii="Calibri" w:hAnsi="Calibri"/>
        </w:rPr>
        <w:t xml:space="preserve">ear </w:t>
      </w:r>
      <w:r>
        <w:rPr>
          <w:rFonts w:ascii="Calibri" w:hAnsi="Calibri"/>
        </w:rPr>
        <w:t>a</w:t>
      </w:r>
      <w:r w:rsidRPr="00FC7D9B">
        <w:rPr>
          <w:rFonts w:ascii="Calibri" w:hAnsi="Calibri"/>
        </w:rPr>
        <w:t xml:space="preserve">ssessment of </w:t>
      </w:r>
      <w:r>
        <w:rPr>
          <w:rFonts w:ascii="Calibri" w:hAnsi="Calibri"/>
        </w:rPr>
        <w:t>s</w:t>
      </w:r>
      <w:r w:rsidRPr="00FC7D9B">
        <w:rPr>
          <w:rFonts w:ascii="Calibri" w:hAnsi="Calibri"/>
        </w:rPr>
        <w:t xml:space="preserve">tudent </w:t>
      </w:r>
      <w:r>
        <w:rPr>
          <w:rFonts w:ascii="Calibri" w:hAnsi="Calibri"/>
        </w:rPr>
        <w:t>l</w:t>
      </w:r>
      <w:r w:rsidRPr="00FC7D9B">
        <w:rPr>
          <w:rFonts w:ascii="Calibri" w:hAnsi="Calibri"/>
        </w:rPr>
        <w:t xml:space="preserve">earning”, </w:t>
      </w:r>
      <w:r w:rsidRPr="00FC7D9B">
        <w:rPr>
          <w:rFonts w:ascii="Calibri" w:hAnsi="Calibri"/>
          <w:i/>
          <w:iCs/>
        </w:rPr>
        <w:t>Evidence Based Library and Information Practice</w:t>
      </w:r>
      <w:r w:rsidRPr="00FC7D9B">
        <w:rPr>
          <w:rFonts w:ascii="Calibri" w:hAnsi="Calibri"/>
        </w:rPr>
        <w:t>, Vol. 6 No. 4, pp. 88–106.</w:t>
      </w:r>
    </w:p>
    <w:p w14:paraId="6F40BD77" w14:textId="1C1901A3" w:rsidR="00FD4864" w:rsidRPr="00FD4864" w:rsidRDefault="00FD4864" w:rsidP="00FD4864">
      <w:pPr>
        <w:pStyle w:val="Bibliography"/>
        <w:rPr>
          <w:rFonts w:ascii="Calibri" w:hAnsi="Calibri"/>
        </w:rPr>
      </w:pPr>
      <w:r w:rsidRPr="00FD4864">
        <w:rPr>
          <w:rFonts w:ascii="Calibri" w:hAnsi="Calibri"/>
        </w:rPr>
        <w:t xml:space="preserve">Association of College and Research Libraries. (2015), </w:t>
      </w:r>
      <w:r w:rsidRPr="00FD4864">
        <w:rPr>
          <w:rFonts w:ascii="Calibri" w:hAnsi="Calibri"/>
          <w:i/>
          <w:iCs/>
        </w:rPr>
        <w:t>Framework for Information Literacy for Higher Education</w:t>
      </w:r>
      <w:r w:rsidRPr="00FD4864">
        <w:rPr>
          <w:rFonts w:ascii="Calibri" w:hAnsi="Calibri"/>
        </w:rPr>
        <w:t xml:space="preserve">, available at: </w:t>
      </w:r>
      <w:r w:rsidR="00F67F51" w:rsidRPr="00F67F51">
        <w:rPr>
          <w:rFonts w:ascii="Calibri" w:hAnsi="Calibri"/>
        </w:rPr>
        <w:t xml:space="preserve">http://www.ala.org/acrl/sites/ala.org.acrl/files/content/issues/infolit/Framework_ILHE.pdf </w:t>
      </w:r>
      <w:r w:rsidRPr="00FD4864">
        <w:rPr>
          <w:rFonts w:ascii="Calibri" w:hAnsi="Calibri"/>
        </w:rPr>
        <w:t>(accessed 15 February 2017).</w:t>
      </w:r>
    </w:p>
    <w:p w14:paraId="21B17AB0" w14:textId="43124020" w:rsidR="00FD4864" w:rsidRPr="00FD4864" w:rsidRDefault="00FD4864" w:rsidP="00FD4864">
      <w:pPr>
        <w:pStyle w:val="Bibliography"/>
        <w:rPr>
          <w:rFonts w:ascii="Calibri" w:hAnsi="Calibri"/>
        </w:rPr>
      </w:pPr>
      <w:r w:rsidRPr="00FD4864">
        <w:rPr>
          <w:rFonts w:ascii="Calibri" w:hAnsi="Calibri"/>
        </w:rPr>
        <w:t xml:space="preserve">Association of College and Research Libraries. (2017), </w:t>
      </w:r>
      <w:r w:rsidRPr="00FD4864">
        <w:rPr>
          <w:rFonts w:ascii="Calibri" w:hAnsi="Calibri"/>
          <w:i/>
          <w:iCs/>
        </w:rPr>
        <w:t>Roles and Strengths of Teaching Librarians</w:t>
      </w:r>
      <w:r w:rsidRPr="00FD4864">
        <w:rPr>
          <w:rFonts w:ascii="Calibri" w:hAnsi="Calibri"/>
        </w:rPr>
        <w:t xml:space="preserve">, available at: http://www.ala.org/acrl/standards/teachinglibrarians (accessed </w:t>
      </w:r>
      <w:r w:rsidR="00544D88">
        <w:rPr>
          <w:rFonts w:ascii="Calibri" w:hAnsi="Calibri"/>
        </w:rPr>
        <w:t>13</w:t>
      </w:r>
      <w:r w:rsidRPr="00FD4864">
        <w:rPr>
          <w:rFonts w:ascii="Calibri" w:hAnsi="Calibri"/>
        </w:rPr>
        <w:t xml:space="preserve"> </w:t>
      </w:r>
      <w:r w:rsidR="00544D88">
        <w:rPr>
          <w:rFonts w:ascii="Calibri" w:hAnsi="Calibri"/>
        </w:rPr>
        <w:t>October</w:t>
      </w:r>
      <w:r w:rsidRPr="00FD4864">
        <w:rPr>
          <w:rFonts w:ascii="Calibri" w:hAnsi="Calibri"/>
        </w:rPr>
        <w:t xml:space="preserve"> 2017).</w:t>
      </w:r>
    </w:p>
    <w:p w14:paraId="30BC808A" w14:textId="77777777" w:rsidR="00FD4864" w:rsidRPr="00FD4864" w:rsidRDefault="00FD4864" w:rsidP="00FD4864">
      <w:pPr>
        <w:pStyle w:val="Bibliography"/>
        <w:rPr>
          <w:rFonts w:ascii="Calibri" w:hAnsi="Calibri"/>
        </w:rPr>
      </w:pPr>
      <w:r w:rsidRPr="00FD4864">
        <w:rPr>
          <w:rFonts w:ascii="Calibri" w:hAnsi="Calibri"/>
        </w:rPr>
        <w:lastRenderedPageBreak/>
        <w:t xml:space="preserve">Baker, R.L. (2014), “Designing </w:t>
      </w:r>
      <w:proofErr w:type="spellStart"/>
      <w:r w:rsidRPr="00FD4864">
        <w:rPr>
          <w:rFonts w:ascii="Calibri" w:hAnsi="Calibri"/>
        </w:rPr>
        <w:t>LibGuides</w:t>
      </w:r>
      <w:proofErr w:type="spellEnd"/>
      <w:r w:rsidRPr="00FD4864">
        <w:rPr>
          <w:rFonts w:ascii="Calibri" w:hAnsi="Calibri"/>
        </w:rPr>
        <w:t xml:space="preserve"> as instructional tools for critical thinking and effective online learning”, </w:t>
      </w:r>
      <w:r w:rsidRPr="00FD4864">
        <w:rPr>
          <w:rFonts w:ascii="Calibri" w:hAnsi="Calibri"/>
          <w:i/>
          <w:iCs/>
        </w:rPr>
        <w:t>Journal of Library &amp; Information Services in Distance Learning</w:t>
      </w:r>
      <w:r w:rsidRPr="00FD4864">
        <w:rPr>
          <w:rFonts w:ascii="Calibri" w:hAnsi="Calibri"/>
        </w:rPr>
        <w:t>, Vol. 8 No. 3–4, pp. 107–117.</w:t>
      </w:r>
    </w:p>
    <w:p w14:paraId="4A9BF65D" w14:textId="77777777" w:rsidR="00FD4864" w:rsidRPr="00FD4864" w:rsidRDefault="00FD4864" w:rsidP="00FD4864">
      <w:pPr>
        <w:pStyle w:val="Bibliography"/>
        <w:rPr>
          <w:rFonts w:ascii="Calibri" w:hAnsi="Calibri"/>
        </w:rPr>
      </w:pPr>
      <w:proofErr w:type="spellStart"/>
      <w:r w:rsidRPr="00FD4864">
        <w:rPr>
          <w:rFonts w:ascii="Calibri" w:hAnsi="Calibri"/>
        </w:rPr>
        <w:t>Bauder</w:t>
      </w:r>
      <w:proofErr w:type="spellEnd"/>
      <w:r w:rsidRPr="00FD4864">
        <w:rPr>
          <w:rFonts w:ascii="Calibri" w:hAnsi="Calibri"/>
        </w:rPr>
        <w:t xml:space="preserve">, J. and Rod, C. (2016), “Crossing thresholds: critical information literacy pedagogy and the ACRL Framework”, </w:t>
      </w:r>
      <w:r w:rsidRPr="00FD4864">
        <w:rPr>
          <w:rFonts w:ascii="Calibri" w:hAnsi="Calibri"/>
          <w:i/>
          <w:iCs/>
        </w:rPr>
        <w:t>College &amp; Undergraduate Libraries</w:t>
      </w:r>
      <w:r w:rsidRPr="00FD4864">
        <w:rPr>
          <w:rFonts w:ascii="Calibri" w:hAnsi="Calibri"/>
        </w:rPr>
        <w:t>, Vol. 23 No. 3, pp. 252–264.</w:t>
      </w:r>
    </w:p>
    <w:p w14:paraId="0C6B80F9" w14:textId="77777777" w:rsidR="0032674B" w:rsidRPr="00CD4733" w:rsidRDefault="0032674B" w:rsidP="0032674B">
      <w:pPr>
        <w:pStyle w:val="Bibliography"/>
        <w:rPr>
          <w:rFonts w:ascii="Calibri" w:hAnsi="Calibri"/>
        </w:rPr>
      </w:pPr>
      <w:r w:rsidRPr="00CD4733">
        <w:rPr>
          <w:rFonts w:ascii="Calibri" w:hAnsi="Calibri"/>
        </w:rPr>
        <w:t xml:space="preserve">Berg, C., Charles, L., </w:t>
      </w:r>
      <w:proofErr w:type="spellStart"/>
      <w:r w:rsidRPr="00CD4733">
        <w:rPr>
          <w:rFonts w:ascii="Calibri" w:hAnsi="Calibri"/>
        </w:rPr>
        <w:t>Chudnick</w:t>
      </w:r>
      <w:proofErr w:type="spellEnd"/>
      <w:r w:rsidRPr="00CD4733">
        <w:rPr>
          <w:rFonts w:ascii="Calibri" w:hAnsi="Calibri"/>
        </w:rPr>
        <w:t xml:space="preserve">, S., Cook, H., </w:t>
      </w:r>
      <w:proofErr w:type="spellStart"/>
      <w:r w:rsidRPr="00CD4733">
        <w:rPr>
          <w:rFonts w:ascii="Calibri" w:hAnsi="Calibri"/>
        </w:rPr>
        <w:t>Dalal</w:t>
      </w:r>
      <w:proofErr w:type="spellEnd"/>
      <w:r w:rsidRPr="00CD4733">
        <w:rPr>
          <w:rFonts w:ascii="Calibri" w:hAnsi="Calibri"/>
        </w:rPr>
        <w:t>, H., Dempsey, M., Dubicki, E., et al. (</w:t>
      </w:r>
      <w:r>
        <w:rPr>
          <w:rFonts w:ascii="Calibri" w:hAnsi="Calibri"/>
        </w:rPr>
        <w:t>2015</w:t>
      </w:r>
      <w:r w:rsidRPr="00CD4733">
        <w:rPr>
          <w:rFonts w:ascii="Calibri" w:hAnsi="Calibri"/>
        </w:rPr>
        <w:t xml:space="preserve">). “An </w:t>
      </w:r>
      <w:r>
        <w:rPr>
          <w:rFonts w:ascii="Calibri" w:hAnsi="Calibri"/>
        </w:rPr>
        <w:t>o</w:t>
      </w:r>
      <w:r w:rsidRPr="00CD4733">
        <w:rPr>
          <w:rFonts w:ascii="Calibri" w:hAnsi="Calibri"/>
        </w:rPr>
        <w:t xml:space="preserve">pen </w:t>
      </w:r>
      <w:r>
        <w:rPr>
          <w:rFonts w:ascii="Calibri" w:hAnsi="Calibri"/>
        </w:rPr>
        <w:t>l</w:t>
      </w:r>
      <w:r w:rsidRPr="00CD4733">
        <w:rPr>
          <w:rFonts w:ascii="Calibri" w:hAnsi="Calibri"/>
        </w:rPr>
        <w:t xml:space="preserve">etter </w:t>
      </w:r>
      <w:r>
        <w:rPr>
          <w:rFonts w:ascii="Calibri" w:hAnsi="Calibri"/>
        </w:rPr>
        <w:t>r</w:t>
      </w:r>
      <w:r w:rsidRPr="00CD4733">
        <w:rPr>
          <w:rFonts w:ascii="Calibri" w:hAnsi="Calibri"/>
        </w:rPr>
        <w:t xml:space="preserve">egarding the Framework for Information Literacy for Higher Education”, </w:t>
      </w:r>
      <w:proofErr w:type="spellStart"/>
      <w:r w:rsidRPr="00CD4733">
        <w:rPr>
          <w:rFonts w:ascii="Calibri" w:hAnsi="Calibri"/>
          <w:i/>
          <w:iCs/>
        </w:rPr>
        <w:t>ACRLog</w:t>
      </w:r>
      <w:proofErr w:type="spellEnd"/>
      <w:r w:rsidRPr="00CD4733">
        <w:rPr>
          <w:rFonts w:ascii="Calibri" w:hAnsi="Calibri"/>
        </w:rPr>
        <w:t xml:space="preserve">, </w:t>
      </w:r>
      <w:r>
        <w:rPr>
          <w:rFonts w:ascii="Calibri" w:hAnsi="Calibri"/>
        </w:rPr>
        <w:t xml:space="preserve">7 January, </w:t>
      </w:r>
      <w:r w:rsidRPr="00CD4733">
        <w:rPr>
          <w:rFonts w:ascii="Calibri" w:hAnsi="Calibri"/>
        </w:rPr>
        <w:t xml:space="preserve">available at: </w:t>
      </w:r>
      <w:hyperlink r:id="rId9" w:history="1">
        <w:r w:rsidRPr="00CD4733">
          <w:rPr>
            <w:rStyle w:val="Hyperlink"/>
            <w:rFonts w:ascii="Calibri" w:hAnsi="Calibri"/>
          </w:rPr>
          <w:t>https://acrlog.org/2015/01/07/an-open-letter-regarding-the-framework-for-information-literacy-for-higher-education/</w:t>
        </w:r>
      </w:hyperlink>
      <w:r w:rsidRPr="00CD4733">
        <w:rPr>
          <w:rFonts w:ascii="Calibri" w:hAnsi="Calibri"/>
        </w:rPr>
        <w:t xml:space="preserve"> (accessed 1</w:t>
      </w:r>
      <w:r>
        <w:rPr>
          <w:rFonts w:ascii="Calibri" w:hAnsi="Calibri"/>
        </w:rPr>
        <w:t xml:space="preserve">0 </w:t>
      </w:r>
      <w:r w:rsidRPr="00CD4733">
        <w:rPr>
          <w:rFonts w:ascii="Calibri" w:hAnsi="Calibri"/>
        </w:rPr>
        <w:t>May 2018).</w:t>
      </w:r>
    </w:p>
    <w:p w14:paraId="5C472B85" w14:textId="77777777" w:rsidR="00FD4864" w:rsidRPr="00FD4864" w:rsidRDefault="00FD4864" w:rsidP="00FD4864">
      <w:pPr>
        <w:pStyle w:val="Bibliography"/>
        <w:rPr>
          <w:rFonts w:ascii="Calibri" w:hAnsi="Calibri"/>
        </w:rPr>
      </w:pPr>
      <w:proofErr w:type="spellStart"/>
      <w:r w:rsidRPr="00FD4864">
        <w:rPr>
          <w:rFonts w:ascii="Calibri" w:hAnsi="Calibri"/>
        </w:rPr>
        <w:t>Bizup</w:t>
      </w:r>
      <w:proofErr w:type="spellEnd"/>
      <w:r w:rsidRPr="00FD4864">
        <w:rPr>
          <w:rFonts w:ascii="Calibri" w:hAnsi="Calibri"/>
        </w:rPr>
        <w:t xml:space="preserve">, J. (2008), “BEAM: a rhetorical vocabulary for teaching research-based writing”, </w:t>
      </w:r>
      <w:r w:rsidRPr="00FD4864">
        <w:rPr>
          <w:rFonts w:ascii="Calibri" w:hAnsi="Calibri"/>
          <w:i/>
          <w:iCs/>
        </w:rPr>
        <w:t>Rhetoric Review</w:t>
      </w:r>
      <w:r w:rsidRPr="00FD4864">
        <w:rPr>
          <w:rFonts w:ascii="Calibri" w:hAnsi="Calibri"/>
        </w:rPr>
        <w:t>, Vol. 27 No. 1, pp. 72–86.</w:t>
      </w:r>
    </w:p>
    <w:p w14:paraId="0570681D" w14:textId="77777777" w:rsidR="0032674B" w:rsidRPr="0067781C" w:rsidRDefault="0032674B" w:rsidP="0032674B">
      <w:pPr>
        <w:pStyle w:val="Bibliography"/>
        <w:rPr>
          <w:rFonts w:ascii="Calibri" w:hAnsi="Calibri"/>
        </w:rPr>
      </w:pPr>
      <w:proofErr w:type="spellStart"/>
      <w:r w:rsidRPr="0067781C">
        <w:rPr>
          <w:rFonts w:ascii="Calibri" w:hAnsi="Calibri"/>
        </w:rPr>
        <w:t>Bombaro</w:t>
      </w:r>
      <w:proofErr w:type="spellEnd"/>
      <w:r w:rsidRPr="0067781C">
        <w:rPr>
          <w:rFonts w:ascii="Calibri" w:hAnsi="Calibri"/>
        </w:rPr>
        <w:t xml:space="preserve">, C. (2016), “The Framework is elitist”, </w:t>
      </w:r>
      <w:r w:rsidRPr="0067781C">
        <w:rPr>
          <w:rFonts w:ascii="Calibri" w:hAnsi="Calibri"/>
          <w:i/>
          <w:iCs/>
        </w:rPr>
        <w:t>Reference Services Review</w:t>
      </w:r>
      <w:r w:rsidRPr="0067781C">
        <w:rPr>
          <w:rFonts w:ascii="Calibri" w:hAnsi="Calibri"/>
        </w:rPr>
        <w:t>, Vol. 44 No. 4, pp. 552–563.</w:t>
      </w:r>
    </w:p>
    <w:p w14:paraId="2E63F694" w14:textId="77777777" w:rsidR="0032674B" w:rsidRDefault="0032674B" w:rsidP="0032674B">
      <w:pPr>
        <w:pStyle w:val="Bibliography"/>
        <w:rPr>
          <w:rFonts w:ascii="Calibri" w:hAnsi="Calibri"/>
        </w:rPr>
      </w:pPr>
      <w:r w:rsidRPr="00FB70B8">
        <w:rPr>
          <w:rFonts w:ascii="Calibri" w:hAnsi="Calibri"/>
        </w:rPr>
        <w:t>Bowles-Terry, M</w:t>
      </w:r>
      <w:r>
        <w:rPr>
          <w:rFonts w:ascii="Calibri" w:hAnsi="Calibri"/>
        </w:rPr>
        <w:t>.</w:t>
      </w:r>
      <w:r w:rsidRPr="00FB70B8">
        <w:rPr>
          <w:rFonts w:ascii="Calibri" w:hAnsi="Calibri"/>
        </w:rPr>
        <w:t>, Davis, E</w:t>
      </w:r>
      <w:r>
        <w:rPr>
          <w:rFonts w:ascii="Calibri" w:hAnsi="Calibri"/>
        </w:rPr>
        <w:t>.</w:t>
      </w:r>
      <w:r w:rsidRPr="00FB70B8">
        <w:rPr>
          <w:rFonts w:ascii="Calibri" w:hAnsi="Calibri"/>
        </w:rPr>
        <w:t>, &amp; Holliday, W</w:t>
      </w:r>
      <w:r>
        <w:rPr>
          <w:rFonts w:ascii="Calibri" w:hAnsi="Calibri"/>
        </w:rPr>
        <w:t>.</w:t>
      </w:r>
      <w:r w:rsidRPr="00FB70B8">
        <w:rPr>
          <w:rFonts w:ascii="Calibri" w:hAnsi="Calibri"/>
        </w:rPr>
        <w:t xml:space="preserve"> </w:t>
      </w:r>
      <w:r>
        <w:rPr>
          <w:rFonts w:ascii="Calibri" w:hAnsi="Calibri"/>
        </w:rPr>
        <w:t>(</w:t>
      </w:r>
      <w:r w:rsidRPr="00FB70B8">
        <w:rPr>
          <w:rFonts w:ascii="Calibri" w:hAnsi="Calibri"/>
        </w:rPr>
        <w:t>2010</w:t>
      </w:r>
      <w:r>
        <w:rPr>
          <w:rFonts w:ascii="Calibri" w:hAnsi="Calibri"/>
        </w:rPr>
        <w:t>), “‘Writing information literacy’ Revisited application of t</w:t>
      </w:r>
      <w:r w:rsidRPr="00FB70B8">
        <w:rPr>
          <w:rFonts w:ascii="Calibri" w:hAnsi="Calibri"/>
        </w:rPr>
        <w:t>heo</w:t>
      </w:r>
      <w:r>
        <w:rPr>
          <w:rFonts w:ascii="Calibri" w:hAnsi="Calibri"/>
        </w:rPr>
        <w:t>ry to practice in the classroom”</w:t>
      </w:r>
      <w:r w:rsidRPr="00FB70B8">
        <w:rPr>
          <w:rFonts w:ascii="Calibri" w:hAnsi="Calibri"/>
        </w:rPr>
        <w:t xml:space="preserve">, </w:t>
      </w:r>
      <w:r w:rsidRPr="003F3FF6">
        <w:rPr>
          <w:rFonts w:ascii="Calibri" w:hAnsi="Calibri"/>
          <w:i/>
        </w:rPr>
        <w:t>Reference &amp; User Services Quarterly</w:t>
      </w:r>
      <w:r>
        <w:rPr>
          <w:rFonts w:ascii="Calibri" w:hAnsi="Calibri"/>
        </w:rPr>
        <w:t>, Vol. 49, N</w:t>
      </w:r>
      <w:r w:rsidRPr="00FB70B8">
        <w:rPr>
          <w:rFonts w:ascii="Calibri" w:hAnsi="Calibri"/>
        </w:rPr>
        <w:t xml:space="preserve">o. 3, pp. 225-230. </w:t>
      </w:r>
    </w:p>
    <w:p w14:paraId="68A14BD0" w14:textId="77777777" w:rsidR="00FD4864" w:rsidRPr="00FD4864" w:rsidRDefault="00FD4864" w:rsidP="00FD4864">
      <w:pPr>
        <w:pStyle w:val="Bibliography"/>
        <w:rPr>
          <w:rFonts w:ascii="Calibri" w:hAnsi="Calibri"/>
        </w:rPr>
      </w:pPr>
      <w:proofErr w:type="spellStart"/>
      <w:r w:rsidRPr="00FD4864">
        <w:rPr>
          <w:rFonts w:ascii="Calibri" w:hAnsi="Calibri"/>
        </w:rPr>
        <w:t>Brazzeal</w:t>
      </w:r>
      <w:proofErr w:type="spellEnd"/>
      <w:r w:rsidRPr="00FD4864">
        <w:rPr>
          <w:rFonts w:ascii="Calibri" w:hAnsi="Calibri"/>
        </w:rPr>
        <w:t xml:space="preserve">, B. (2006), “Research guides as library instruction tools”, </w:t>
      </w:r>
      <w:r w:rsidRPr="00FD4864">
        <w:rPr>
          <w:rFonts w:ascii="Calibri" w:hAnsi="Calibri"/>
          <w:i/>
          <w:iCs/>
        </w:rPr>
        <w:t>Reference Services Review</w:t>
      </w:r>
      <w:r w:rsidRPr="00FD4864">
        <w:rPr>
          <w:rFonts w:ascii="Calibri" w:hAnsi="Calibri"/>
        </w:rPr>
        <w:t>, Vol. 34 No. 3, pp. 358–367.</w:t>
      </w:r>
    </w:p>
    <w:p w14:paraId="0EE64C46" w14:textId="31984EE1" w:rsidR="00FD4864" w:rsidRPr="00FD4864" w:rsidRDefault="00FD4864" w:rsidP="00FD4864">
      <w:pPr>
        <w:pStyle w:val="Bibliography"/>
        <w:rPr>
          <w:rFonts w:ascii="Calibri" w:hAnsi="Calibri"/>
        </w:rPr>
      </w:pPr>
      <w:r w:rsidRPr="00FD4864">
        <w:rPr>
          <w:rFonts w:ascii="Calibri" w:hAnsi="Calibri"/>
        </w:rPr>
        <w:t xml:space="preserve">Castro Gessner, G., Chandler, A. and Wilcox, W.S. (2015), “Are you reaching your </w:t>
      </w:r>
      <w:proofErr w:type="gramStart"/>
      <w:r w:rsidRPr="00FD4864">
        <w:rPr>
          <w:rFonts w:ascii="Calibri" w:hAnsi="Calibri"/>
        </w:rPr>
        <w:t>audience?:</w:t>
      </w:r>
      <w:proofErr w:type="gramEnd"/>
      <w:r w:rsidRPr="00FD4864">
        <w:rPr>
          <w:rFonts w:ascii="Calibri" w:hAnsi="Calibri"/>
        </w:rPr>
        <w:t xml:space="preserve"> The intersection between </w:t>
      </w:r>
      <w:proofErr w:type="spellStart"/>
      <w:r w:rsidRPr="00FD4864">
        <w:rPr>
          <w:rFonts w:ascii="Calibri" w:hAnsi="Calibri"/>
        </w:rPr>
        <w:t>LibGuide</w:t>
      </w:r>
      <w:proofErr w:type="spellEnd"/>
      <w:r w:rsidRPr="00FD4864">
        <w:rPr>
          <w:rFonts w:ascii="Calibri" w:hAnsi="Calibri"/>
        </w:rPr>
        <w:t xml:space="preserve"> authors and </w:t>
      </w:r>
      <w:proofErr w:type="spellStart"/>
      <w:r w:rsidRPr="00FD4864">
        <w:rPr>
          <w:rFonts w:ascii="Calibri" w:hAnsi="Calibri"/>
        </w:rPr>
        <w:t>LibGuide</w:t>
      </w:r>
      <w:proofErr w:type="spellEnd"/>
      <w:r w:rsidRPr="00FD4864">
        <w:rPr>
          <w:rFonts w:ascii="Calibri" w:hAnsi="Calibri"/>
        </w:rPr>
        <w:t xml:space="preserve"> users”, </w:t>
      </w:r>
      <w:r w:rsidRPr="00FD4864">
        <w:rPr>
          <w:rFonts w:ascii="Calibri" w:hAnsi="Calibri"/>
          <w:i/>
          <w:iCs/>
        </w:rPr>
        <w:t>Reference Services Review</w:t>
      </w:r>
      <w:r w:rsidRPr="00FD4864">
        <w:rPr>
          <w:rFonts w:ascii="Calibri" w:hAnsi="Calibri"/>
        </w:rPr>
        <w:t>, Vol. 43 No. 3, pp. 491–508.</w:t>
      </w:r>
    </w:p>
    <w:p w14:paraId="6D29FB2B" w14:textId="77777777" w:rsidR="0032674B" w:rsidRPr="00066373" w:rsidRDefault="0032674B" w:rsidP="0032674B">
      <w:pPr>
        <w:pStyle w:val="Bibliography"/>
        <w:rPr>
          <w:rFonts w:ascii="Calibri" w:hAnsi="Calibri"/>
        </w:rPr>
      </w:pPr>
      <w:r w:rsidRPr="00066373">
        <w:rPr>
          <w:rFonts w:ascii="Calibri" w:hAnsi="Calibri"/>
        </w:rPr>
        <w:lastRenderedPageBreak/>
        <w:t xml:space="preserve">Christensen, M.K. (2015), “Designing one-shot sessions around threshold concepts”, </w:t>
      </w:r>
      <w:r w:rsidRPr="00066373">
        <w:rPr>
          <w:rFonts w:ascii="Calibri" w:hAnsi="Calibri"/>
          <w:i/>
          <w:iCs/>
        </w:rPr>
        <w:t>Internet Reference Services Quarterly</w:t>
      </w:r>
      <w:r w:rsidRPr="00066373">
        <w:rPr>
          <w:rFonts w:ascii="Calibri" w:hAnsi="Calibri"/>
        </w:rPr>
        <w:t>, Vol. 20 No. 3–4, pp. 97–104.</w:t>
      </w:r>
    </w:p>
    <w:p w14:paraId="3408C783" w14:textId="2E5B1E5A" w:rsidR="00FD4864" w:rsidRPr="00FD4864" w:rsidRDefault="00FD4864" w:rsidP="00FD4864">
      <w:pPr>
        <w:pStyle w:val="Bibliography"/>
        <w:rPr>
          <w:rFonts w:ascii="Calibri" w:hAnsi="Calibri"/>
        </w:rPr>
      </w:pPr>
      <w:r w:rsidRPr="00FD4864">
        <w:rPr>
          <w:rFonts w:ascii="Calibri" w:hAnsi="Calibri"/>
        </w:rPr>
        <w:t xml:space="preserve">Council of Writing Program Administrators, (WPA), National Council of Teachers of English, (NCTE) and Project, (NWP) National Writing. (2011), </w:t>
      </w:r>
      <w:r w:rsidRPr="00FD4864">
        <w:rPr>
          <w:rFonts w:ascii="Calibri" w:hAnsi="Calibri"/>
          <w:i/>
          <w:iCs/>
        </w:rPr>
        <w:t>Framework for Success in Postsecondary Writing</w:t>
      </w:r>
      <w:r w:rsidRPr="00FD4864">
        <w:rPr>
          <w:rFonts w:ascii="Calibri" w:hAnsi="Calibri"/>
        </w:rPr>
        <w:t>, available at: http://www.wpacouncil.org/files/framework-for-success-postsecondary-writing.pdf.</w:t>
      </w:r>
      <w:r w:rsidR="002E6956">
        <w:rPr>
          <w:rFonts w:ascii="Calibri" w:hAnsi="Calibri"/>
        </w:rPr>
        <w:t xml:space="preserve"> (accessed on 22 September 2017).</w:t>
      </w:r>
    </w:p>
    <w:p w14:paraId="66896393" w14:textId="77777777" w:rsidR="0032674B" w:rsidRPr="00BF1044" w:rsidRDefault="0032674B" w:rsidP="0032674B">
      <w:pPr>
        <w:pStyle w:val="Bibliography"/>
        <w:rPr>
          <w:rFonts w:ascii="Calibri" w:hAnsi="Calibri"/>
        </w:rPr>
      </w:pPr>
      <w:r w:rsidRPr="00BF1044">
        <w:rPr>
          <w:rFonts w:ascii="Calibri" w:hAnsi="Calibri"/>
        </w:rPr>
        <w:t>Farkas, M.G. (</w:t>
      </w:r>
      <w:r>
        <w:rPr>
          <w:rFonts w:ascii="Calibri" w:hAnsi="Calibri"/>
        </w:rPr>
        <w:t>2006</w:t>
      </w:r>
      <w:r w:rsidRPr="00BF1044">
        <w:rPr>
          <w:rFonts w:ascii="Calibri" w:hAnsi="Calibri"/>
        </w:rPr>
        <w:t>)</w:t>
      </w:r>
      <w:r>
        <w:rPr>
          <w:rFonts w:ascii="Calibri" w:hAnsi="Calibri"/>
        </w:rPr>
        <w:t>,</w:t>
      </w:r>
      <w:r w:rsidRPr="00BF1044">
        <w:rPr>
          <w:rFonts w:ascii="Calibri" w:hAnsi="Calibri"/>
        </w:rPr>
        <w:t xml:space="preserve"> “Is the Framework </w:t>
      </w:r>
      <w:r>
        <w:rPr>
          <w:rFonts w:ascii="Calibri" w:hAnsi="Calibri"/>
        </w:rPr>
        <w:t>e</w:t>
      </w:r>
      <w:r w:rsidRPr="00BF1044">
        <w:rPr>
          <w:rFonts w:ascii="Calibri" w:hAnsi="Calibri"/>
        </w:rPr>
        <w:t xml:space="preserve">litist? Is ACRL?”, </w:t>
      </w:r>
      <w:r w:rsidRPr="00BF1044">
        <w:rPr>
          <w:rFonts w:ascii="Calibri" w:hAnsi="Calibri"/>
          <w:i/>
          <w:iCs/>
        </w:rPr>
        <w:t>Information Wants to Be Free</w:t>
      </w:r>
      <w:r w:rsidRPr="00BF1044">
        <w:rPr>
          <w:rFonts w:ascii="Calibri" w:hAnsi="Calibri"/>
        </w:rPr>
        <w:t xml:space="preserve">, </w:t>
      </w:r>
      <w:r>
        <w:rPr>
          <w:rFonts w:ascii="Calibri" w:hAnsi="Calibri"/>
        </w:rPr>
        <w:t xml:space="preserve">18 October, </w:t>
      </w:r>
      <w:r w:rsidRPr="00BF1044">
        <w:rPr>
          <w:rFonts w:ascii="Calibri" w:hAnsi="Calibri"/>
        </w:rPr>
        <w:t xml:space="preserve">available at: </w:t>
      </w:r>
      <w:hyperlink r:id="rId10" w:history="1">
        <w:r w:rsidRPr="00BF1044">
          <w:rPr>
            <w:rStyle w:val="Hyperlink"/>
            <w:rFonts w:ascii="Calibri" w:hAnsi="Calibri"/>
          </w:rPr>
          <w:t>https://meredith.wolfwater.com/wordpress/2016/10/18/is-the-framework-elitist-is-acrl/</w:t>
        </w:r>
      </w:hyperlink>
      <w:r w:rsidRPr="00BF1044">
        <w:rPr>
          <w:rFonts w:ascii="Calibri" w:hAnsi="Calibri"/>
        </w:rPr>
        <w:t xml:space="preserve"> (accessed</w:t>
      </w:r>
      <w:r>
        <w:rPr>
          <w:rFonts w:ascii="Calibri" w:hAnsi="Calibri"/>
        </w:rPr>
        <w:t xml:space="preserve"> 10</w:t>
      </w:r>
      <w:r w:rsidRPr="00BF1044">
        <w:rPr>
          <w:rFonts w:ascii="Calibri" w:hAnsi="Calibri"/>
        </w:rPr>
        <w:t xml:space="preserve"> May 2018).</w:t>
      </w:r>
    </w:p>
    <w:p w14:paraId="1DDD7FC9" w14:textId="77777777" w:rsidR="00FD4864" w:rsidRPr="00FD4864" w:rsidRDefault="00FD4864" w:rsidP="00FD4864">
      <w:pPr>
        <w:pStyle w:val="Bibliography"/>
        <w:rPr>
          <w:rFonts w:ascii="Calibri" w:hAnsi="Calibri"/>
        </w:rPr>
      </w:pPr>
      <w:proofErr w:type="spellStart"/>
      <w:r w:rsidRPr="00FD4864">
        <w:rPr>
          <w:rFonts w:ascii="Calibri" w:hAnsi="Calibri"/>
        </w:rPr>
        <w:t>Fister</w:t>
      </w:r>
      <w:proofErr w:type="spellEnd"/>
      <w:r w:rsidRPr="00FD4864">
        <w:rPr>
          <w:rFonts w:ascii="Calibri" w:hAnsi="Calibri"/>
        </w:rPr>
        <w:t xml:space="preserve">, B. (1992), “Common ground: the composition/bibliographic instruction connection”, in Kirk, T. (Ed.), </w:t>
      </w:r>
      <w:r w:rsidRPr="00FD4864">
        <w:rPr>
          <w:rFonts w:ascii="Calibri" w:hAnsi="Calibri"/>
          <w:i/>
          <w:iCs/>
        </w:rPr>
        <w:t>Academic Libraries: Achieving Excellence in Higher Education.</w:t>
      </w:r>
      <w:r w:rsidRPr="00FD4864">
        <w:rPr>
          <w:rFonts w:ascii="Calibri" w:hAnsi="Calibri"/>
        </w:rPr>
        <w:t>, Association of College and Research Libraries, Chicago, IL, pp. 154–158.</w:t>
      </w:r>
    </w:p>
    <w:p w14:paraId="4A2305A1" w14:textId="77777777" w:rsidR="0032674B" w:rsidRPr="009D3E62" w:rsidRDefault="0032674B" w:rsidP="0032674B">
      <w:pPr>
        <w:pStyle w:val="Bibliography"/>
        <w:rPr>
          <w:rFonts w:ascii="Calibri" w:hAnsi="Calibri"/>
        </w:rPr>
      </w:pPr>
      <w:proofErr w:type="spellStart"/>
      <w:r w:rsidRPr="009D3E62">
        <w:rPr>
          <w:rFonts w:ascii="Calibri" w:hAnsi="Calibri"/>
        </w:rPr>
        <w:t>Foasberg</w:t>
      </w:r>
      <w:proofErr w:type="spellEnd"/>
      <w:r w:rsidRPr="009D3E62">
        <w:rPr>
          <w:rFonts w:ascii="Calibri" w:hAnsi="Calibri"/>
        </w:rPr>
        <w:t xml:space="preserve">, N.M. (2015), “From </w:t>
      </w:r>
      <w:r>
        <w:rPr>
          <w:rFonts w:ascii="Calibri" w:hAnsi="Calibri"/>
        </w:rPr>
        <w:t>s</w:t>
      </w:r>
      <w:r w:rsidRPr="009D3E62">
        <w:rPr>
          <w:rFonts w:ascii="Calibri" w:hAnsi="Calibri"/>
        </w:rPr>
        <w:t xml:space="preserve">tandards to </w:t>
      </w:r>
      <w:r>
        <w:rPr>
          <w:rFonts w:ascii="Calibri" w:hAnsi="Calibri"/>
        </w:rPr>
        <w:t>f</w:t>
      </w:r>
      <w:r w:rsidRPr="009D3E62">
        <w:rPr>
          <w:rFonts w:ascii="Calibri" w:hAnsi="Calibri"/>
        </w:rPr>
        <w:t xml:space="preserve">rameworks for IL: </w:t>
      </w:r>
      <w:r>
        <w:rPr>
          <w:rFonts w:ascii="Calibri" w:hAnsi="Calibri"/>
        </w:rPr>
        <w:t>h</w:t>
      </w:r>
      <w:r w:rsidRPr="009D3E62">
        <w:rPr>
          <w:rFonts w:ascii="Calibri" w:hAnsi="Calibri"/>
        </w:rPr>
        <w:t xml:space="preserve">ow the ACRL Framework </w:t>
      </w:r>
      <w:r>
        <w:rPr>
          <w:rFonts w:ascii="Calibri" w:hAnsi="Calibri"/>
        </w:rPr>
        <w:t>a</w:t>
      </w:r>
      <w:r w:rsidRPr="009D3E62">
        <w:rPr>
          <w:rFonts w:ascii="Calibri" w:hAnsi="Calibri"/>
        </w:rPr>
        <w:t xml:space="preserve">ddresses </w:t>
      </w:r>
      <w:r>
        <w:rPr>
          <w:rFonts w:ascii="Calibri" w:hAnsi="Calibri"/>
        </w:rPr>
        <w:t>c</w:t>
      </w:r>
      <w:r w:rsidRPr="009D3E62">
        <w:rPr>
          <w:rFonts w:ascii="Calibri" w:hAnsi="Calibri"/>
        </w:rPr>
        <w:t xml:space="preserve">ritiques of the </w:t>
      </w:r>
      <w:r>
        <w:rPr>
          <w:rFonts w:ascii="Calibri" w:hAnsi="Calibri"/>
        </w:rPr>
        <w:t>S</w:t>
      </w:r>
      <w:r w:rsidRPr="009D3E62">
        <w:rPr>
          <w:rFonts w:ascii="Calibri" w:hAnsi="Calibri"/>
        </w:rPr>
        <w:t xml:space="preserve">tandards”, </w:t>
      </w:r>
      <w:r>
        <w:rPr>
          <w:rFonts w:ascii="Calibri" w:hAnsi="Calibri"/>
          <w:i/>
          <w:iCs/>
        </w:rPr>
        <w:t>p</w:t>
      </w:r>
      <w:r w:rsidRPr="009D3E62">
        <w:rPr>
          <w:rFonts w:ascii="Calibri" w:hAnsi="Calibri"/>
          <w:i/>
          <w:iCs/>
        </w:rPr>
        <w:t>ortal: Libraries and the Academy</w:t>
      </w:r>
      <w:r w:rsidRPr="009D3E62">
        <w:rPr>
          <w:rFonts w:ascii="Calibri" w:hAnsi="Calibri"/>
        </w:rPr>
        <w:t>, Vol. 15 No. 4, pp. 699–717.</w:t>
      </w:r>
    </w:p>
    <w:p w14:paraId="557BF1F9" w14:textId="77777777" w:rsidR="00FD4864" w:rsidRPr="00FD4864" w:rsidRDefault="00FD4864" w:rsidP="00FD4864">
      <w:pPr>
        <w:pStyle w:val="Bibliography"/>
        <w:rPr>
          <w:rFonts w:ascii="Calibri" w:hAnsi="Calibri"/>
        </w:rPr>
      </w:pPr>
      <w:r w:rsidRPr="00FD4864">
        <w:rPr>
          <w:rFonts w:ascii="Calibri" w:hAnsi="Calibri"/>
        </w:rPr>
        <w:t xml:space="preserve">Freire, P. (1986), </w:t>
      </w:r>
      <w:r w:rsidRPr="00FD4864">
        <w:rPr>
          <w:rFonts w:ascii="Calibri" w:hAnsi="Calibri"/>
          <w:i/>
          <w:iCs/>
        </w:rPr>
        <w:t>Pedagogy of the Oppressed</w:t>
      </w:r>
      <w:r w:rsidRPr="00FD4864">
        <w:rPr>
          <w:rFonts w:ascii="Calibri" w:hAnsi="Calibri"/>
        </w:rPr>
        <w:t>, Continuum, New York, NY.</w:t>
      </w:r>
    </w:p>
    <w:p w14:paraId="0EFEC0E4" w14:textId="77777777" w:rsidR="00FD4864" w:rsidRPr="00FD4864" w:rsidRDefault="00FD4864" w:rsidP="00FD4864">
      <w:pPr>
        <w:pStyle w:val="Bibliography"/>
        <w:rPr>
          <w:rFonts w:ascii="Calibri" w:hAnsi="Calibri"/>
        </w:rPr>
      </w:pPr>
      <w:r w:rsidRPr="00FD4864">
        <w:rPr>
          <w:rFonts w:ascii="Calibri" w:hAnsi="Calibri"/>
        </w:rPr>
        <w:t>German, E. (2017), “</w:t>
      </w:r>
      <w:proofErr w:type="spellStart"/>
      <w:r w:rsidRPr="00FD4864">
        <w:rPr>
          <w:rFonts w:ascii="Calibri" w:hAnsi="Calibri"/>
        </w:rPr>
        <w:t>LibGuides</w:t>
      </w:r>
      <w:proofErr w:type="spellEnd"/>
      <w:r w:rsidRPr="00FD4864">
        <w:rPr>
          <w:rFonts w:ascii="Calibri" w:hAnsi="Calibri"/>
        </w:rPr>
        <w:t xml:space="preserve"> for instruction: a service design point of view from an academic library”, </w:t>
      </w:r>
      <w:r w:rsidRPr="00FD4864">
        <w:rPr>
          <w:rFonts w:ascii="Calibri" w:hAnsi="Calibri"/>
          <w:i/>
          <w:iCs/>
        </w:rPr>
        <w:t>Reference &amp; User Services Quarterly</w:t>
      </w:r>
      <w:r w:rsidRPr="00FD4864">
        <w:rPr>
          <w:rFonts w:ascii="Calibri" w:hAnsi="Calibri"/>
        </w:rPr>
        <w:t>, Vol. 56 No. 3, pp. 162–167.</w:t>
      </w:r>
    </w:p>
    <w:p w14:paraId="5E3A9FBA" w14:textId="77777777" w:rsidR="00FD4864" w:rsidRPr="00FD4864" w:rsidRDefault="00FD4864" w:rsidP="00FD4864">
      <w:pPr>
        <w:pStyle w:val="Bibliography"/>
        <w:rPr>
          <w:rFonts w:ascii="Calibri" w:hAnsi="Calibri"/>
        </w:rPr>
      </w:pPr>
      <w:r w:rsidRPr="00FD4864">
        <w:rPr>
          <w:rFonts w:ascii="Calibri" w:hAnsi="Calibri"/>
        </w:rPr>
        <w:t xml:space="preserve">German, E. and Graves, S.J. (2016), “Infusing pedagogy into </w:t>
      </w:r>
      <w:proofErr w:type="spellStart"/>
      <w:r w:rsidRPr="00FD4864">
        <w:rPr>
          <w:rFonts w:ascii="Calibri" w:hAnsi="Calibri"/>
        </w:rPr>
        <w:t>LibGuides</w:t>
      </w:r>
      <w:proofErr w:type="spellEnd"/>
      <w:r w:rsidRPr="00FD4864">
        <w:rPr>
          <w:rFonts w:ascii="Calibri" w:hAnsi="Calibri"/>
        </w:rPr>
        <w:t xml:space="preserve">”, in Dobbs, A.W. and </w:t>
      </w:r>
      <w:proofErr w:type="spellStart"/>
      <w:r w:rsidRPr="00FD4864">
        <w:rPr>
          <w:rFonts w:ascii="Calibri" w:hAnsi="Calibri"/>
        </w:rPr>
        <w:t>Sittler</w:t>
      </w:r>
      <w:proofErr w:type="spellEnd"/>
      <w:r w:rsidRPr="00FD4864">
        <w:rPr>
          <w:rFonts w:ascii="Calibri" w:hAnsi="Calibri"/>
        </w:rPr>
        <w:t xml:space="preserve">, R.L. (Eds.), </w:t>
      </w:r>
      <w:r w:rsidRPr="00FD4864">
        <w:rPr>
          <w:rFonts w:ascii="Calibri" w:hAnsi="Calibri"/>
          <w:i/>
          <w:iCs/>
        </w:rPr>
        <w:t xml:space="preserve">Integrating </w:t>
      </w:r>
      <w:proofErr w:type="spellStart"/>
      <w:r w:rsidRPr="00FD4864">
        <w:rPr>
          <w:rFonts w:ascii="Calibri" w:hAnsi="Calibri"/>
          <w:i/>
          <w:iCs/>
        </w:rPr>
        <w:t>LibGuides</w:t>
      </w:r>
      <w:proofErr w:type="spellEnd"/>
      <w:r w:rsidRPr="00FD4864">
        <w:rPr>
          <w:rFonts w:ascii="Calibri" w:hAnsi="Calibri"/>
          <w:i/>
          <w:iCs/>
        </w:rPr>
        <w:t xml:space="preserve"> into Library Websites</w:t>
      </w:r>
      <w:r w:rsidRPr="00FD4864">
        <w:rPr>
          <w:rFonts w:ascii="Calibri" w:hAnsi="Calibri"/>
        </w:rPr>
        <w:t>, Rowan &amp; Littlefield, New York, NY, pp. 177–188.</w:t>
      </w:r>
    </w:p>
    <w:p w14:paraId="41AE71D9" w14:textId="77777777" w:rsidR="0032674B" w:rsidRPr="00634AFF" w:rsidRDefault="0032674B" w:rsidP="0032674B">
      <w:pPr>
        <w:pStyle w:val="Bibliography"/>
        <w:rPr>
          <w:rFonts w:ascii="Calibri" w:hAnsi="Calibri"/>
        </w:rPr>
      </w:pPr>
      <w:r w:rsidRPr="00634AFF">
        <w:rPr>
          <w:rFonts w:ascii="Calibri" w:hAnsi="Calibri"/>
        </w:rPr>
        <w:lastRenderedPageBreak/>
        <w:t>Gibson, C. and Jacobson</w:t>
      </w:r>
      <w:r>
        <w:rPr>
          <w:rFonts w:ascii="Calibri" w:hAnsi="Calibri"/>
        </w:rPr>
        <w:t>, T.E</w:t>
      </w:r>
      <w:r w:rsidRPr="00634AFF">
        <w:rPr>
          <w:rFonts w:ascii="Calibri" w:hAnsi="Calibri"/>
        </w:rPr>
        <w:t xml:space="preserve">. (2014), “Informing and </w:t>
      </w:r>
      <w:r>
        <w:rPr>
          <w:rFonts w:ascii="Calibri" w:hAnsi="Calibri"/>
        </w:rPr>
        <w:t>e</w:t>
      </w:r>
      <w:r w:rsidRPr="00634AFF">
        <w:rPr>
          <w:rFonts w:ascii="Calibri" w:hAnsi="Calibri"/>
        </w:rPr>
        <w:t xml:space="preserve">xtending the </w:t>
      </w:r>
      <w:r>
        <w:rPr>
          <w:rFonts w:ascii="Calibri" w:hAnsi="Calibri"/>
        </w:rPr>
        <w:t>d</w:t>
      </w:r>
      <w:r w:rsidRPr="00634AFF">
        <w:rPr>
          <w:rFonts w:ascii="Calibri" w:hAnsi="Calibri"/>
        </w:rPr>
        <w:t xml:space="preserve">raft ACRL Information Literacy Framework for Higher Education: </w:t>
      </w:r>
      <w:r>
        <w:rPr>
          <w:rFonts w:ascii="Calibri" w:hAnsi="Calibri"/>
        </w:rPr>
        <w:t>a</w:t>
      </w:r>
      <w:r w:rsidRPr="00634AFF">
        <w:rPr>
          <w:rFonts w:ascii="Calibri" w:hAnsi="Calibri"/>
        </w:rPr>
        <w:t xml:space="preserve">n </w:t>
      </w:r>
      <w:r>
        <w:rPr>
          <w:rFonts w:ascii="Calibri" w:hAnsi="Calibri"/>
        </w:rPr>
        <w:t>o</w:t>
      </w:r>
      <w:r w:rsidRPr="00634AFF">
        <w:rPr>
          <w:rFonts w:ascii="Calibri" w:hAnsi="Calibri"/>
        </w:rPr>
        <w:t xml:space="preserve">verview and </w:t>
      </w:r>
      <w:r>
        <w:rPr>
          <w:rFonts w:ascii="Calibri" w:hAnsi="Calibri"/>
        </w:rPr>
        <w:t>a</w:t>
      </w:r>
      <w:r w:rsidRPr="00634AFF">
        <w:rPr>
          <w:rFonts w:ascii="Calibri" w:hAnsi="Calibri"/>
        </w:rPr>
        <w:t xml:space="preserve">venues for </w:t>
      </w:r>
      <w:r>
        <w:rPr>
          <w:rFonts w:ascii="Calibri" w:hAnsi="Calibri"/>
        </w:rPr>
        <w:t>r</w:t>
      </w:r>
      <w:r w:rsidRPr="00634AFF">
        <w:rPr>
          <w:rFonts w:ascii="Calibri" w:hAnsi="Calibri"/>
        </w:rPr>
        <w:t xml:space="preserve">esearch”, </w:t>
      </w:r>
      <w:r w:rsidRPr="00634AFF">
        <w:rPr>
          <w:rFonts w:ascii="Calibri" w:hAnsi="Calibri"/>
          <w:i/>
          <w:iCs/>
        </w:rPr>
        <w:t>College and Research Libraries</w:t>
      </w:r>
      <w:r w:rsidRPr="00634AFF">
        <w:rPr>
          <w:rFonts w:ascii="Calibri" w:hAnsi="Calibri"/>
        </w:rPr>
        <w:t>, Vol. 75 No. 3, pp. 250–254.</w:t>
      </w:r>
    </w:p>
    <w:p w14:paraId="0A0E858E" w14:textId="5C8CB7CB" w:rsidR="00FD4864" w:rsidRPr="00FD4864" w:rsidRDefault="00FD4864" w:rsidP="00FD4864">
      <w:pPr>
        <w:pStyle w:val="Bibliography"/>
        <w:rPr>
          <w:rFonts w:ascii="Calibri" w:hAnsi="Calibri"/>
        </w:rPr>
      </w:pPr>
      <w:proofErr w:type="spellStart"/>
      <w:r w:rsidRPr="00FD4864">
        <w:rPr>
          <w:rFonts w:ascii="Calibri" w:hAnsi="Calibri"/>
        </w:rPr>
        <w:t>Grettano</w:t>
      </w:r>
      <w:proofErr w:type="spellEnd"/>
      <w:r w:rsidRPr="00FD4864">
        <w:rPr>
          <w:rFonts w:ascii="Calibri" w:hAnsi="Calibri"/>
        </w:rPr>
        <w:t xml:space="preserve">, T. and </w:t>
      </w:r>
      <w:proofErr w:type="spellStart"/>
      <w:r w:rsidRPr="00FD4864">
        <w:rPr>
          <w:rFonts w:ascii="Calibri" w:hAnsi="Calibri"/>
        </w:rPr>
        <w:t>Witek</w:t>
      </w:r>
      <w:proofErr w:type="spellEnd"/>
      <w:r w:rsidRPr="00FD4864">
        <w:rPr>
          <w:rFonts w:ascii="Calibri" w:hAnsi="Calibri"/>
        </w:rPr>
        <w:t xml:space="preserve">, D. (2016), “Creating collaborations through connecting national writing guidelines to the Framework for Information Literacy: Framework for Success in Postsecondary Writing” </w:t>
      </w:r>
      <w:r w:rsidR="00544D88">
        <w:rPr>
          <w:rFonts w:ascii="Calibri" w:hAnsi="Calibri"/>
        </w:rPr>
        <w:t>[</w:t>
      </w:r>
      <w:r w:rsidR="002E6956">
        <w:rPr>
          <w:rFonts w:ascii="Calibri" w:hAnsi="Calibri"/>
        </w:rPr>
        <w:t>w</w:t>
      </w:r>
      <w:r w:rsidRPr="00FD4864">
        <w:rPr>
          <w:rFonts w:ascii="Calibri" w:hAnsi="Calibri"/>
        </w:rPr>
        <w:t>ebinar</w:t>
      </w:r>
      <w:r w:rsidR="00544D88">
        <w:rPr>
          <w:rFonts w:ascii="Calibri" w:hAnsi="Calibri"/>
        </w:rPr>
        <w:t>]</w:t>
      </w:r>
      <w:r w:rsidR="002E6956">
        <w:rPr>
          <w:rFonts w:ascii="Calibri" w:hAnsi="Calibri"/>
        </w:rPr>
        <w:t xml:space="preserve">, </w:t>
      </w:r>
      <w:r w:rsidRPr="00FD4864">
        <w:rPr>
          <w:rFonts w:ascii="Calibri" w:hAnsi="Calibri"/>
        </w:rPr>
        <w:t>ACRL Framing the Framework Series, 5 January</w:t>
      </w:r>
      <w:r w:rsidR="002E6956">
        <w:rPr>
          <w:rFonts w:ascii="Calibri" w:hAnsi="Calibri"/>
        </w:rPr>
        <w:t xml:space="preserve">, available at: </w:t>
      </w:r>
      <w:r w:rsidR="002E6956" w:rsidRPr="002E6956">
        <w:rPr>
          <w:rFonts w:ascii="Calibri" w:hAnsi="Calibri"/>
        </w:rPr>
        <w:t>https://www.slideshare.net/donnarosemary/creating-collaborations-through-connecting-national-writing-guidelines-to-the-framework-for-information-literacy-framework-for-success-in-postsecondary-writing</w:t>
      </w:r>
      <w:r w:rsidR="002E6956">
        <w:rPr>
          <w:rFonts w:ascii="Calibri" w:hAnsi="Calibri"/>
        </w:rPr>
        <w:t xml:space="preserve"> (accessed 2 June 2017).</w:t>
      </w:r>
    </w:p>
    <w:p w14:paraId="627D85B2" w14:textId="77777777" w:rsidR="0032674B" w:rsidRPr="00CD4733" w:rsidRDefault="0032674B" w:rsidP="0032674B">
      <w:pPr>
        <w:pStyle w:val="Bibliography"/>
        <w:rPr>
          <w:rFonts w:ascii="Calibri" w:hAnsi="Calibri"/>
        </w:rPr>
      </w:pPr>
      <w:r w:rsidRPr="00CD4733">
        <w:rPr>
          <w:rFonts w:ascii="Calibri" w:hAnsi="Calibri"/>
        </w:rPr>
        <w:t xml:space="preserve">Hall, T.E., Meyer, A. and Rose, D. (Eds.). (2012), </w:t>
      </w:r>
      <w:r w:rsidRPr="00CD4733">
        <w:rPr>
          <w:rFonts w:ascii="Calibri" w:hAnsi="Calibri"/>
          <w:i/>
          <w:iCs/>
        </w:rPr>
        <w:t>Universal Design for Learning in the Classroom</w:t>
      </w:r>
      <w:r w:rsidRPr="00CD4733">
        <w:rPr>
          <w:rFonts w:ascii="Calibri" w:hAnsi="Calibri"/>
        </w:rPr>
        <w:t>, Guilford Press, New York, NY.</w:t>
      </w:r>
    </w:p>
    <w:p w14:paraId="6A264A09" w14:textId="4036102E" w:rsidR="00FD4864" w:rsidRPr="00FD4864" w:rsidRDefault="00FD4864" w:rsidP="00FD4864">
      <w:pPr>
        <w:pStyle w:val="Bibliography"/>
        <w:rPr>
          <w:rFonts w:ascii="Calibri" w:hAnsi="Calibri"/>
        </w:rPr>
      </w:pPr>
      <w:r w:rsidRPr="00FD4864">
        <w:rPr>
          <w:rFonts w:ascii="Calibri" w:hAnsi="Calibri"/>
        </w:rPr>
        <w:t>Hicks, A. (2015), “</w:t>
      </w:r>
      <w:proofErr w:type="spellStart"/>
      <w:r w:rsidRPr="00FD4864">
        <w:rPr>
          <w:rFonts w:ascii="Calibri" w:hAnsi="Calibri"/>
        </w:rPr>
        <w:t>LibGuides</w:t>
      </w:r>
      <w:proofErr w:type="spellEnd"/>
      <w:r w:rsidRPr="00FD4864">
        <w:rPr>
          <w:rFonts w:ascii="Calibri" w:hAnsi="Calibri"/>
        </w:rPr>
        <w:t xml:space="preserve">: </w:t>
      </w:r>
      <w:r w:rsidR="00544D88">
        <w:rPr>
          <w:rFonts w:ascii="Calibri" w:hAnsi="Calibri"/>
        </w:rPr>
        <w:t>p</w:t>
      </w:r>
      <w:r w:rsidRPr="00FD4864">
        <w:rPr>
          <w:rFonts w:ascii="Calibri" w:hAnsi="Calibri"/>
        </w:rPr>
        <w:t xml:space="preserve">edagogy to </w:t>
      </w:r>
      <w:r w:rsidR="00544D88">
        <w:rPr>
          <w:rFonts w:ascii="Calibri" w:hAnsi="Calibri"/>
        </w:rPr>
        <w:t>o</w:t>
      </w:r>
      <w:r w:rsidRPr="00FD4864">
        <w:rPr>
          <w:rFonts w:ascii="Calibri" w:hAnsi="Calibri"/>
        </w:rPr>
        <w:t xml:space="preserve">ppress?”, </w:t>
      </w:r>
      <w:r w:rsidRPr="00FD4864">
        <w:rPr>
          <w:rFonts w:ascii="Calibri" w:hAnsi="Calibri"/>
          <w:i/>
          <w:iCs/>
        </w:rPr>
        <w:t>Hybrid Pedagogy</w:t>
      </w:r>
      <w:r w:rsidRPr="00FD4864">
        <w:rPr>
          <w:rFonts w:ascii="Calibri" w:hAnsi="Calibri"/>
        </w:rPr>
        <w:t>, available at: http://www.digitalpedagogylab.com/hybridped/libguides-pedagogy-to-oppress/ (accessed 24 May 2017).</w:t>
      </w:r>
    </w:p>
    <w:p w14:paraId="59F336FA" w14:textId="751785A1" w:rsidR="00FD4864" w:rsidRPr="00FD4864" w:rsidRDefault="00FD4864" w:rsidP="00FD4864">
      <w:pPr>
        <w:pStyle w:val="Bibliography"/>
        <w:rPr>
          <w:rFonts w:ascii="Calibri" w:hAnsi="Calibri"/>
        </w:rPr>
      </w:pPr>
      <w:r w:rsidRPr="00FD4864">
        <w:rPr>
          <w:rFonts w:ascii="Calibri" w:hAnsi="Calibri"/>
        </w:rPr>
        <w:t xml:space="preserve">Hintz, K., Farrar, P., </w:t>
      </w:r>
      <w:proofErr w:type="spellStart"/>
      <w:r w:rsidRPr="00FD4864">
        <w:rPr>
          <w:rFonts w:ascii="Calibri" w:hAnsi="Calibri"/>
        </w:rPr>
        <w:t>Eshghi</w:t>
      </w:r>
      <w:proofErr w:type="spellEnd"/>
      <w:r w:rsidRPr="00FD4864">
        <w:rPr>
          <w:rFonts w:ascii="Calibri" w:hAnsi="Calibri"/>
        </w:rPr>
        <w:t xml:space="preserve">, S., </w:t>
      </w:r>
      <w:proofErr w:type="spellStart"/>
      <w:r w:rsidRPr="00FD4864">
        <w:rPr>
          <w:rFonts w:ascii="Calibri" w:hAnsi="Calibri"/>
        </w:rPr>
        <w:t>Sobol</w:t>
      </w:r>
      <w:proofErr w:type="spellEnd"/>
      <w:r w:rsidRPr="00FD4864">
        <w:rPr>
          <w:rFonts w:ascii="Calibri" w:hAnsi="Calibri"/>
        </w:rPr>
        <w:t xml:space="preserve">, B., </w:t>
      </w:r>
      <w:proofErr w:type="spellStart"/>
      <w:r w:rsidRPr="00FD4864">
        <w:rPr>
          <w:rFonts w:ascii="Calibri" w:hAnsi="Calibri"/>
        </w:rPr>
        <w:t>Naslund</w:t>
      </w:r>
      <w:proofErr w:type="spellEnd"/>
      <w:r w:rsidRPr="00FD4864">
        <w:rPr>
          <w:rFonts w:ascii="Calibri" w:hAnsi="Calibri"/>
        </w:rPr>
        <w:t>, J.-A., Lee, T., Stephens, T., et al. (2010), “Letting students take the lead: a user-cent</w:t>
      </w:r>
      <w:r w:rsidR="00544D88">
        <w:rPr>
          <w:rFonts w:ascii="Calibri" w:hAnsi="Calibri"/>
        </w:rPr>
        <w:t>e</w:t>
      </w:r>
      <w:r w:rsidRPr="00FD4864">
        <w:rPr>
          <w:rFonts w:ascii="Calibri" w:hAnsi="Calibri"/>
        </w:rPr>
        <w:t xml:space="preserve">red approach to </w:t>
      </w:r>
      <w:r w:rsidR="002E6956">
        <w:rPr>
          <w:rFonts w:ascii="Calibri" w:hAnsi="Calibri"/>
        </w:rPr>
        <w:t>eva</w:t>
      </w:r>
      <w:r w:rsidRPr="00FD4864">
        <w:rPr>
          <w:rFonts w:ascii="Calibri" w:hAnsi="Calibri"/>
        </w:rPr>
        <w:t xml:space="preserve">luating subject guides”, </w:t>
      </w:r>
      <w:r w:rsidRPr="00FD4864">
        <w:rPr>
          <w:rFonts w:ascii="Calibri" w:hAnsi="Calibri"/>
          <w:i/>
          <w:iCs/>
        </w:rPr>
        <w:t>Evidence Based Library and Information Practice</w:t>
      </w:r>
      <w:r w:rsidRPr="00FD4864">
        <w:rPr>
          <w:rFonts w:ascii="Calibri" w:hAnsi="Calibri"/>
        </w:rPr>
        <w:t>, Vol. 5 No. 4, pp. 39–52.</w:t>
      </w:r>
    </w:p>
    <w:p w14:paraId="13EA0156" w14:textId="77777777" w:rsidR="0032674B" w:rsidRPr="00066373" w:rsidRDefault="0032674B" w:rsidP="0032674B">
      <w:pPr>
        <w:pStyle w:val="Bibliography"/>
        <w:rPr>
          <w:rFonts w:ascii="Calibri" w:hAnsi="Calibri"/>
        </w:rPr>
      </w:pPr>
      <w:proofErr w:type="spellStart"/>
      <w:r w:rsidRPr="00066373">
        <w:rPr>
          <w:rFonts w:ascii="Calibri" w:hAnsi="Calibri"/>
        </w:rPr>
        <w:t>Houtman</w:t>
      </w:r>
      <w:proofErr w:type="spellEnd"/>
      <w:r w:rsidRPr="00066373">
        <w:rPr>
          <w:rFonts w:ascii="Calibri" w:hAnsi="Calibri"/>
        </w:rPr>
        <w:t xml:space="preserve">, E. (2015), “‘Mind-blowing:’ </w:t>
      </w:r>
      <w:r>
        <w:rPr>
          <w:rFonts w:ascii="Calibri" w:hAnsi="Calibri"/>
        </w:rPr>
        <w:t>f</w:t>
      </w:r>
      <w:r w:rsidRPr="00066373">
        <w:rPr>
          <w:rFonts w:ascii="Calibri" w:hAnsi="Calibri"/>
        </w:rPr>
        <w:t xml:space="preserve">ostering self-regulated learning in information literacy instruction”, </w:t>
      </w:r>
      <w:r w:rsidRPr="00066373">
        <w:rPr>
          <w:rFonts w:ascii="Calibri" w:hAnsi="Calibri"/>
          <w:i/>
          <w:iCs/>
        </w:rPr>
        <w:t>Communications in Information Literacy</w:t>
      </w:r>
      <w:r w:rsidRPr="00066373">
        <w:rPr>
          <w:rFonts w:ascii="Calibri" w:hAnsi="Calibri"/>
        </w:rPr>
        <w:t>, Vol. 9 No. 1, pp. 6–18.</w:t>
      </w:r>
    </w:p>
    <w:p w14:paraId="65913B9B" w14:textId="77777777" w:rsidR="0032674B" w:rsidRPr="00634AFF" w:rsidRDefault="0032674B" w:rsidP="0032674B">
      <w:pPr>
        <w:pStyle w:val="Bibliography"/>
        <w:rPr>
          <w:rFonts w:ascii="Calibri" w:hAnsi="Calibri"/>
        </w:rPr>
      </w:pPr>
      <w:r w:rsidRPr="00634AFF">
        <w:rPr>
          <w:rFonts w:ascii="Calibri" w:hAnsi="Calibri"/>
        </w:rPr>
        <w:t xml:space="preserve">Hurley, D.A. and Potter, R. (2017), “Teaching with the Framework: a </w:t>
      </w:r>
      <w:proofErr w:type="spellStart"/>
      <w:r w:rsidRPr="00634AFF">
        <w:rPr>
          <w:rFonts w:ascii="Calibri" w:hAnsi="Calibri"/>
        </w:rPr>
        <w:t>Cephalonian</w:t>
      </w:r>
      <w:proofErr w:type="spellEnd"/>
      <w:r w:rsidRPr="00634AFF">
        <w:rPr>
          <w:rFonts w:ascii="Calibri" w:hAnsi="Calibri"/>
        </w:rPr>
        <w:t xml:space="preserve"> approach”, </w:t>
      </w:r>
      <w:r w:rsidRPr="00634AFF">
        <w:rPr>
          <w:rFonts w:ascii="Calibri" w:hAnsi="Calibri"/>
          <w:i/>
          <w:iCs/>
        </w:rPr>
        <w:t>Reference Services Review</w:t>
      </w:r>
      <w:r w:rsidRPr="00634AFF">
        <w:rPr>
          <w:rFonts w:ascii="Calibri" w:hAnsi="Calibri"/>
        </w:rPr>
        <w:t>, Vol. 45 No. 1, pp. 117–130.</w:t>
      </w:r>
    </w:p>
    <w:p w14:paraId="2482CA4E" w14:textId="77777777" w:rsidR="0032674B" w:rsidRDefault="0032674B" w:rsidP="0032674B">
      <w:pPr>
        <w:pStyle w:val="Bibliography"/>
        <w:rPr>
          <w:rFonts w:ascii="Calibri" w:hAnsi="Calibri"/>
        </w:rPr>
      </w:pPr>
      <w:r w:rsidRPr="00884716">
        <w:rPr>
          <w:rFonts w:ascii="Calibri" w:hAnsi="Calibri"/>
        </w:rPr>
        <w:lastRenderedPageBreak/>
        <w:t xml:space="preserve">Jacobs, H.L.M. </w:t>
      </w:r>
      <w:r>
        <w:rPr>
          <w:rFonts w:ascii="Calibri" w:hAnsi="Calibri"/>
        </w:rPr>
        <w:t>(</w:t>
      </w:r>
      <w:r w:rsidRPr="00884716">
        <w:rPr>
          <w:rFonts w:ascii="Calibri" w:hAnsi="Calibri"/>
        </w:rPr>
        <w:t>2008</w:t>
      </w:r>
      <w:r>
        <w:rPr>
          <w:rFonts w:ascii="Calibri" w:hAnsi="Calibri"/>
        </w:rPr>
        <w:t>), “</w:t>
      </w:r>
      <w:r w:rsidRPr="00884716">
        <w:rPr>
          <w:rFonts w:ascii="Calibri" w:hAnsi="Calibri"/>
        </w:rPr>
        <w:t>Information Literacy an</w:t>
      </w:r>
      <w:r>
        <w:rPr>
          <w:rFonts w:ascii="Calibri" w:hAnsi="Calibri"/>
        </w:rPr>
        <w:t>d Reflective Pedagogical Praxis”</w:t>
      </w:r>
      <w:r w:rsidRPr="00884716">
        <w:rPr>
          <w:rFonts w:ascii="Calibri" w:hAnsi="Calibri"/>
        </w:rPr>
        <w:t xml:space="preserve">, </w:t>
      </w:r>
      <w:r w:rsidRPr="003F3FF6">
        <w:rPr>
          <w:rFonts w:ascii="Calibri" w:hAnsi="Calibri"/>
          <w:i/>
        </w:rPr>
        <w:t>The Journal of Academic Librarianship</w:t>
      </w:r>
      <w:r>
        <w:rPr>
          <w:rFonts w:ascii="Calibri" w:hAnsi="Calibri"/>
        </w:rPr>
        <w:t>, Vol. 34, N</w:t>
      </w:r>
      <w:r w:rsidRPr="00884716">
        <w:rPr>
          <w:rFonts w:ascii="Calibri" w:hAnsi="Calibri"/>
        </w:rPr>
        <w:t>o. 3, pp. 256-262.</w:t>
      </w:r>
    </w:p>
    <w:p w14:paraId="4897DBD7" w14:textId="77777777" w:rsidR="0032674B" w:rsidRDefault="0032674B" w:rsidP="0032674B">
      <w:pPr>
        <w:pStyle w:val="Bibliography"/>
        <w:rPr>
          <w:rFonts w:ascii="Calibri" w:hAnsi="Calibri"/>
        </w:rPr>
      </w:pPr>
      <w:r w:rsidRPr="00A915F9">
        <w:rPr>
          <w:rFonts w:ascii="Calibri" w:hAnsi="Calibri"/>
        </w:rPr>
        <w:t>Jacobson, T</w:t>
      </w:r>
      <w:r>
        <w:rPr>
          <w:rFonts w:ascii="Calibri" w:hAnsi="Calibri"/>
        </w:rPr>
        <w:t>.</w:t>
      </w:r>
      <w:r w:rsidRPr="00A915F9">
        <w:rPr>
          <w:rFonts w:ascii="Calibri" w:hAnsi="Calibri"/>
        </w:rPr>
        <w:t>E</w:t>
      </w:r>
      <w:r>
        <w:rPr>
          <w:rFonts w:ascii="Calibri" w:hAnsi="Calibri"/>
        </w:rPr>
        <w:t xml:space="preserve">., and </w:t>
      </w:r>
      <w:r w:rsidRPr="00A915F9">
        <w:rPr>
          <w:rFonts w:ascii="Calibri" w:hAnsi="Calibri"/>
        </w:rPr>
        <w:t>Gibson, C</w:t>
      </w:r>
      <w:r>
        <w:rPr>
          <w:rFonts w:ascii="Calibri" w:hAnsi="Calibri"/>
        </w:rPr>
        <w:t>.</w:t>
      </w:r>
      <w:r w:rsidRPr="00A915F9">
        <w:rPr>
          <w:rFonts w:ascii="Calibri" w:hAnsi="Calibri"/>
        </w:rPr>
        <w:t xml:space="preserve"> </w:t>
      </w:r>
      <w:r>
        <w:rPr>
          <w:rFonts w:ascii="Calibri" w:hAnsi="Calibri"/>
        </w:rPr>
        <w:t>(</w:t>
      </w:r>
      <w:r w:rsidRPr="00A915F9">
        <w:rPr>
          <w:rFonts w:ascii="Calibri" w:hAnsi="Calibri"/>
        </w:rPr>
        <w:t>2015</w:t>
      </w:r>
      <w:r>
        <w:rPr>
          <w:rFonts w:ascii="Calibri" w:hAnsi="Calibri"/>
        </w:rPr>
        <w:t>), “F</w:t>
      </w:r>
      <w:r w:rsidRPr="00A915F9">
        <w:rPr>
          <w:rFonts w:ascii="Calibri" w:hAnsi="Calibri"/>
        </w:rPr>
        <w:t>irs</w:t>
      </w:r>
      <w:r>
        <w:rPr>
          <w:rFonts w:ascii="Calibri" w:hAnsi="Calibri"/>
        </w:rPr>
        <w:t xml:space="preserve">t thoughts on implementing the </w:t>
      </w:r>
      <w:r w:rsidRPr="003F3FF6">
        <w:rPr>
          <w:rFonts w:ascii="Calibri" w:hAnsi="Calibri"/>
          <w:i/>
        </w:rPr>
        <w:t>Framework for Information Literacy</w:t>
      </w:r>
      <w:r>
        <w:rPr>
          <w:rFonts w:ascii="Calibri" w:hAnsi="Calibri"/>
        </w:rPr>
        <w:t>”</w:t>
      </w:r>
      <w:r w:rsidRPr="00A915F9">
        <w:rPr>
          <w:rFonts w:ascii="Calibri" w:hAnsi="Calibri"/>
        </w:rPr>
        <w:t xml:space="preserve">, </w:t>
      </w:r>
      <w:r w:rsidRPr="003F3FF6">
        <w:rPr>
          <w:rFonts w:ascii="Calibri" w:hAnsi="Calibri"/>
          <w:i/>
        </w:rPr>
        <w:t>Communications in Information Literacy</w:t>
      </w:r>
      <w:r>
        <w:rPr>
          <w:rFonts w:ascii="Calibri" w:hAnsi="Calibri"/>
        </w:rPr>
        <w:t>, Vol. 9, N</w:t>
      </w:r>
      <w:r w:rsidRPr="00A915F9">
        <w:rPr>
          <w:rFonts w:ascii="Calibri" w:hAnsi="Calibri"/>
        </w:rPr>
        <w:t>o. 2, pp. 102-110.</w:t>
      </w:r>
    </w:p>
    <w:p w14:paraId="6290EA63" w14:textId="2025E0CA" w:rsidR="00FD4864" w:rsidRPr="00FD4864" w:rsidRDefault="00FD4864" w:rsidP="00FD4864">
      <w:pPr>
        <w:pStyle w:val="Bibliography"/>
        <w:rPr>
          <w:rFonts w:ascii="Calibri" w:hAnsi="Calibri"/>
        </w:rPr>
      </w:pPr>
      <w:r w:rsidRPr="00FD4864">
        <w:rPr>
          <w:rFonts w:ascii="Calibri" w:hAnsi="Calibri"/>
        </w:rPr>
        <w:t>Lee, Y.Y., Lowe, M.S., Maxson, B.K. and Stone, S. (2017), “Pedagogical v. pathfinder: reimaging course guides for student success”, presented at the LOEX, Lexington, KY, 13 May</w:t>
      </w:r>
      <w:r w:rsidR="00AD5A71">
        <w:rPr>
          <w:rFonts w:ascii="Calibri" w:hAnsi="Calibri"/>
        </w:rPr>
        <w:t xml:space="preserve">, available at: </w:t>
      </w:r>
      <w:hyperlink r:id="rId11" w:history="1">
        <w:r w:rsidR="00AD5A71" w:rsidRPr="008E5148">
          <w:rPr>
            <w:rStyle w:val="Hyperlink"/>
            <w:rFonts w:ascii="Calibri" w:hAnsi="Calibri"/>
          </w:rPr>
          <w:t>http://www.loexconference.org/2017/presentations/LOEX2017_Ped_Path_Preso_LoweStoneMaxson.pdf</w:t>
        </w:r>
      </w:hyperlink>
      <w:r w:rsidR="00AD5A71">
        <w:rPr>
          <w:rFonts w:ascii="Calibri" w:hAnsi="Calibri"/>
        </w:rPr>
        <w:t xml:space="preserve"> (accessed 22 September 2017)</w:t>
      </w:r>
    </w:p>
    <w:p w14:paraId="6C7CC270" w14:textId="77777777" w:rsidR="00FD4864" w:rsidRPr="00FD4864" w:rsidRDefault="00FD4864" w:rsidP="00FD4864">
      <w:pPr>
        <w:pStyle w:val="Bibliography"/>
        <w:rPr>
          <w:rFonts w:ascii="Calibri" w:hAnsi="Calibri"/>
        </w:rPr>
      </w:pPr>
      <w:r w:rsidRPr="00FD4864">
        <w:rPr>
          <w:rFonts w:ascii="Calibri" w:hAnsi="Calibri"/>
        </w:rPr>
        <w:t xml:space="preserve">Little, J.J. (2010), “Cognitive load theory and library research guides”, </w:t>
      </w:r>
      <w:r w:rsidRPr="00FD4864">
        <w:rPr>
          <w:rFonts w:ascii="Calibri" w:hAnsi="Calibri"/>
          <w:i/>
          <w:iCs/>
        </w:rPr>
        <w:t>Internet Reference Services Quarterly</w:t>
      </w:r>
      <w:r w:rsidRPr="00FD4864">
        <w:rPr>
          <w:rFonts w:ascii="Calibri" w:hAnsi="Calibri"/>
        </w:rPr>
        <w:t>, Vol. 15 No. 1, pp. 53–63.</w:t>
      </w:r>
    </w:p>
    <w:p w14:paraId="2D17090B" w14:textId="77777777" w:rsidR="0032674B" w:rsidRDefault="0032674B" w:rsidP="0032674B">
      <w:pPr>
        <w:pStyle w:val="Bibliography"/>
        <w:rPr>
          <w:rFonts w:ascii="Calibri" w:hAnsi="Calibri"/>
        </w:rPr>
      </w:pPr>
      <w:r w:rsidRPr="009D3E62">
        <w:rPr>
          <w:rFonts w:ascii="Calibri" w:hAnsi="Calibri"/>
        </w:rPr>
        <w:t xml:space="preserve">Mays, D.A. </w:t>
      </w:r>
      <w:r>
        <w:rPr>
          <w:rFonts w:ascii="Calibri" w:hAnsi="Calibri"/>
        </w:rPr>
        <w:t>(</w:t>
      </w:r>
      <w:r w:rsidRPr="009D3E62">
        <w:rPr>
          <w:rFonts w:ascii="Calibri" w:hAnsi="Calibri"/>
        </w:rPr>
        <w:t>2016</w:t>
      </w:r>
      <w:r>
        <w:rPr>
          <w:rFonts w:ascii="Calibri" w:hAnsi="Calibri"/>
        </w:rPr>
        <w:t>)</w:t>
      </w:r>
      <w:r w:rsidRPr="009D3E62">
        <w:rPr>
          <w:rFonts w:ascii="Calibri" w:hAnsi="Calibri"/>
        </w:rPr>
        <w:t xml:space="preserve">, "Using ACRL's </w:t>
      </w:r>
      <w:r>
        <w:rPr>
          <w:rFonts w:ascii="Calibri" w:hAnsi="Calibri"/>
        </w:rPr>
        <w:t>F</w:t>
      </w:r>
      <w:r w:rsidRPr="009D3E62">
        <w:rPr>
          <w:rFonts w:ascii="Calibri" w:hAnsi="Calibri"/>
        </w:rPr>
        <w:t xml:space="preserve">ramework to support the evolving needs of today's college students", </w:t>
      </w:r>
      <w:r w:rsidRPr="003F3FF6">
        <w:rPr>
          <w:rFonts w:ascii="Calibri" w:hAnsi="Calibri"/>
          <w:i/>
        </w:rPr>
        <w:t>College and Undergraduate Libraries</w:t>
      </w:r>
      <w:r w:rsidRPr="009D3E62">
        <w:rPr>
          <w:rFonts w:ascii="Calibri" w:hAnsi="Calibri"/>
        </w:rPr>
        <w:t xml:space="preserve">, </w:t>
      </w:r>
      <w:r>
        <w:rPr>
          <w:rFonts w:ascii="Calibri" w:hAnsi="Calibri"/>
        </w:rPr>
        <w:t>V</w:t>
      </w:r>
      <w:r w:rsidRPr="009D3E62">
        <w:rPr>
          <w:rFonts w:ascii="Calibri" w:hAnsi="Calibri"/>
        </w:rPr>
        <w:t xml:space="preserve">ol. 23, </w:t>
      </w:r>
      <w:r>
        <w:rPr>
          <w:rFonts w:ascii="Calibri" w:hAnsi="Calibri"/>
        </w:rPr>
        <w:t>N</w:t>
      </w:r>
      <w:r w:rsidRPr="009D3E62">
        <w:rPr>
          <w:rFonts w:ascii="Calibri" w:hAnsi="Calibri"/>
        </w:rPr>
        <w:t>o. 4, pp. 353-362.</w:t>
      </w:r>
    </w:p>
    <w:p w14:paraId="093C20CD" w14:textId="77777777" w:rsidR="00FD4864" w:rsidRPr="00FD4864" w:rsidRDefault="00FD4864" w:rsidP="00FD4864">
      <w:pPr>
        <w:pStyle w:val="Bibliography"/>
        <w:rPr>
          <w:rFonts w:ascii="Calibri" w:hAnsi="Calibri"/>
        </w:rPr>
      </w:pPr>
      <w:r w:rsidRPr="00FD4864">
        <w:rPr>
          <w:rFonts w:ascii="Calibri" w:hAnsi="Calibri"/>
        </w:rPr>
        <w:t xml:space="preserve">Mestre, L.S. (2012), “Student preference for tutorial design: a usability study”, </w:t>
      </w:r>
      <w:r w:rsidRPr="00FD4864">
        <w:rPr>
          <w:rFonts w:ascii="Calibri" w:hAnsi="Calibri"/>
          <w:i/>
          <w:iCs/>
        </w:rPr>
        <w:t>Reference Services Review</w:t>
      </w:r>
      <w:r w:rsidRPr="00FD4864">
        <w:rPr>
          <w:rFonts w:ascii="Calibri" w:hAnsi="Calibri"/>
        </w:rPr>
        <w:t>, Vol. 40 No. 2, pp. 258–276.</w:t>
      </w:r>
    </w:p>
    <w:p w14:paraId="4757F482" w14:textId="77777777" w:rsidR="0032674B" w:rsidRDefault="0032674B" w:rsidP="0032674B">
      <w:pPr>
        <w:pStyle w:val="Bibliography"/>
        <w:rPr>
          <w:rFonts w:ascii="Calibri" w:hAnsi="Calibri"/>
        </w:rPr>
      </w:pPr>
      <w:proofErr w:type="spellStart"/>
      <w:r w:rsidRPr="00884716">
        <w:rPr>
          <w:rFonts w:ascii="Calibri" w:hAnsi="Calibri"/>
        </w:rPr>
        <w:t>Norgaard</w:t>
      </w:r>
      <w:proofErr w:type="spellEnd"/>
      <w:r w:rsidRPr="00884716">
        <w:rPr>
          <w:rFonts w:ascii="Calibri" w:hAnsi="Calibri"/>
        </w:rPr>
        <w:t xml:space="preserve">, </w:t>
      </w:r>
      <w:proofErr w:type="gramStart"/>
      <w:r w:rsidRPr="00884716">
        <w:rPr>
          <w:rFonts w:ascii="Calibri" w:hAnsi="Calibri"/>
        </w:rPr>
        <w:t>R</w:t>
      </w:r>
      <w:r>
        <w:rPr>
          <w:rFonts w:ascii="Calibri" w:hAnsi="Calibri"/>
        </w:rPr>
        <w:t>.(</w:t>
      </w:r>
      <w:proofErr w:type="gramEnd"/>
      <w:r w:rsidRPr="00884716">
        <w:rPr>
          <w:rFonts w:ascii="Calibri" w:hAnsi="Calibri"/>
        </w:rPr>
        <w:t>2003</w:t>
      </w:r>
      <w:r>
        <w:rPr>
          <w:rFonts w:ascii="Calibri" w:hAnsi="Calibri"/>
        </w:rPr>
        <w:t>), “Writing Information Literacy”</w:t>
      </w:r>
      <w:r w:rsidRPr="00884716">
        <w:rPr>
          <w:rFonts w:ascii="Calibri" w:hAnsi="Calibri"/>
        </w:rPr>
        <w:t>, </w:t>
      </w:r>
      <w:r w:rsidRPr="00884716">
        <w:rPr>
          <w:rFonts w:ascii="Calibri" w:hAnsi="Calibri"/>
          <w:i/>
          <w:iCs/>
        </w:rPr>
        <w:t>Reference &amp; User Services Quarterly</w:t>
      </w:r>
      <w:r>
        <w:rPr>
          <w:rFonts w:ascii="Calibri" w:hAnsi="Calibri"/>
        </w:rPr>
        <w:t>, Vol. 43, N</w:t>
      </w:r>
      <w:r w:rsidRPr="00884716">
        <w:rPr>
          <w:rFonts w:ascii="Calibri" w:hAnsi="Calibri"/>
        </w:rPr>
        <w:t xml:space="preserve">o. 2, pp. 124-130. </w:t>
      </w:r>
    </w:p>
    <w:p w14:paraId="0DE61DCC" w14:textId="77777777" w:rsidR="00FD4864" w:rsidRPr="00FD4864" w:rsidRDefault="00FD4864" w:rsidP="00FD4864">
      <w:pPr>
        <w:pStyle w:val="Bibliography"/>
        <w:rPr>
          <w:rFonts w:ascii="Calibri" w:hAnsi="Calibri"/>
        </w:rPr>
      </w:pPr>
      <w:r w:rsidRPr="00FD4864">
        <w:rPr>
          <w:rFonts w:ascii="Calibri" w:hAnsi="Calibri"/>
        </w:rPr>
        <w:t>Ouellette, D. (2011), “Subject guides in academic libraries: a user-</w:t>
      </w:r>
      <w:proofErr w:type="spellStart"/>
      <w:r w:rsidRPr="00FD4864">
        <w:rPr>
          <w:rFonts w:ascii="Calibri" w:hAnsi="Calibri"/>
        </w:rPr>
        <w:t>centred</w:t>
      </w:r>
      <w:proofErr w:type="spellEnd"/>
      <w:r w:rsidRPr="00FD4864">
        <w:rPr>
          <w:rFonts w:ascii="Calibri" w:hAnsi="Calibri"/>
        </w:rPr>
        <w:t xml:space="preserve"> study of uses and perceptions”, </w:t>
      </w:r>
      <w:r w:rsidRPr="00FD4864">
        <w:rPr>
          <w:rFonts w:ascii="Calibri" w:hAnsi="Calibri"/>
          <w:i/>
          <w:iCs/>
        </w:rPr>
        <w:t>Canadian Journal of Information and Library Science</w:t>
      </w:r>
      <w:r w:rsidRPr="00FD4864">
        <w:rPr>
          <w:rFonts w:ascii="Calibri" w:hAnsi="Calibri"/>
        </w:rPr>
        <w:t>, Vol. 35 No. 4, pp. 436–451.</w:t>
      </w:r>
    </w:p>
    <w:p w14:paraId="5011DE05" w14:textId="77777777" w:rsidR="00FD4864" w:rsidRPr="00FD4864" w:rsidRDefault="00FD4864" w:rsidP="00FD4864">
      <w:pPr>
        <w:pStyle w:val="Bibliography"/>
        <w:rPr>
          <w:rFonts w:ascii="Calibri" w:hAnsi="Calibri"/>
        </w:rPr>
      </w:pPr>
      <w:proofErr w:type="spellStart"/>
      <w:r w:rsidRPr="00FD4864">
        <w:rPr>
          <w:rFonts w:ascii="Calibri" w:hAnsi="Calibri"/>
        </w:rPr>
        <w:lastRenderedPageBreak/>
        <w:t>Pendell</w:t>
      </w:r>
      <w:proofErr w:type="spellEnd"/>
      <w:r w:rsidRPr="00FD4864">
        <w:rPr>
          <w:rFonts w:ascii="Calibri" w:hAnsi="Calibri"/>
        </w:rPr>
        <w:t xml:space="preserve">, K. and Armstrong, A. (2014), “Psychology guides and information literacy”, </w:t>
      </w:r>
      <w:r w:rsidRPr="00FD4864">
        <w:rPr>
          <w:rFonts w:ascii="Calibri" w:hAnsi="Calibri"/>
          <w:i/>
          <w:iCs/>
        </w:rPr>
        <w:t>Reference Services Review</w:t>
      </w:r>
      <w:r w:rsidRPr="00FD4864">
        <w:rPr>
          <w:rFonts w:ascii="Calibri" w:hAnsi="Calibri"/>
        </w:rPr>
        <w:t>, Vol. 42 No. 2, pp. 293–304.</w:t>
      </w:r>
    </w:p>
    <w:p w14:paraId="2280B3FA" w14:textId="6CEC03D1" w:rsidR="00FC7D9B" w:rsidRPr="00FC7D9B" w:rsidRDefault="00FC7D9B" w:rsidP="00FC7D9B">
      <w:pPr>
        <w:pStyle w:val="Bibliography"/>
        <w:rPr>
          <w:rFonts w:ascii="Calibri" w:hAnsi="Calibri"/>
        </w:rPr>
      </w:pPr>
      <w:r w:rsidRPr="00FC7D9B">
        <w:rPr>
          <w:rFonts w:ascii="Calibri" w:hAnsi="Calibri"/>
        </w:rPr>
        <w:t xml:space="preserve">Porter, B. (2011), “Millennial </w:t>
      </w:r>
      <w:r>
        <w:rPr>
          <w:rFonts w:ascii="Calibri" w:hAnsi="Calibri"/>
        </w:rPr>
        <w:t>u</w:t>
      </w:r>
      <w:r w:rsidRPr="00FC7D9B">
        <w:rPr>
          <w:rFonts w:ascii="Calibri" w:hAnsi="Calibri"/>
        </w:rPr>
        <w:t xml:space="preserve">ndergraduate </w:t>
      </w:r>
      <w:r>
        <w:rPr>
          <w:rFonts w:ascii="Calibri" w:hAnsi="Calibri"/>
        </w:rPr>
        <w:t>r</w:t>
      </w:r>
      <w:r w:rsidRPr="00FC7D9B">
        <w:rPr>
          <w:rFonts w:ascii="Calibri" w:hAnsi="Calibri"/>
        </w:rPr>
        <w:t xml:space="preserve">esearch </w:t>
      </w:r>
      <w:r>
        <w:rPr>
          <w:rFonts w:ascii="Calibri" w:hAnsi="Calibri"/>
        </w:rPr>
        <w:t>s</w:t>
      </w:r>
      <w:r w:rsidRPr="00FC7D9B">
        <w:rPr>
          <w:rFonts w:ascii="Calibri" w:hAnsi="Calibri"/>
        </w:rPr>
        <w:t xml:space="preserve">trategies in </w:t>
      </w:r>
      <w:r>
        <w:rPr>
          <w:rFonts w:ascii="Calibri" w:hAnsi="Calibri"/>
        </w:rPr>
        <w:t>w</w:t>
      </w:r>
      <w:r w:rsidRPr="00FC7D9B">
        <w:rPr>
          <w:rFonts w:ascii="Calibri" w:hAnsi="Calibri"/>
        </w:rPr>
        <w:t xml:space="preserve">eb and </w:t>
      </w:r>
      <w:r>
        <w:rPr>
          <w:rFonts w:ascii="Calibri" w:hAnsi="Calibri"/>
        </w:rPr>
        <w:t>l</w:t>
      </w:r>
      <w:r w:rsidRPr="00FC7D9B">
        <w:rPr>
          <w:rFonts w:ascii="Calibri" w:hAnsi="Calibri"/>
        </w:rPr>
        <w:t xml:space="preserve">ibrary </w:t>
      </w:r>
      <w:r>
        <w:rPr>
          <w:rFonts w:ascii="Calibri" w:hAnsi="Calibri"/>
        </w:rPr>
        <w:t>i</w:t>
      </w:r>
      <w:r w:rsidRPr="00FC7D9B">
        <w:rPr>
          <w:rFonts w:ascii="Calibri" w:hAnsi="Calibri"/>
        </w:rPr>
        <w:t xml:space="preserve">nformation </w:t>
      </w:r>
      <w:r>
        <w:rPr>
          <w:rFonts w:ascii="Calibri" w:hAnsi="Calibri"/>
        </w:rPr>
        <w:t>r</w:t>
      </w:r>
      <w:r w:rsidRPr="00FC7D9B">
        <w:rPr>
          <w:rFonts w:ascii="Calibri" w:hAnsi="Calibri"/>
        </w:rPr>
        <w:t xml:space="preserve">etrieval </w:t>
      </w:r>
      <w:r>
        <w:rPr>
          <w:rFonts w:ascii="Calibri" w:hAnsi="Calibri"/>
        </w:rPr>
        <w:t>s</w:t>
      </w:r>
      <w:r w:rsidRPr="00FC7D9B">
        <w:rPr>
          <w:rFonts w:ascii="Calibri" w:hAnsi="Calibri"/>
        </w:rPr>
        <w:t xml:space="preserve">ystems”, </w:t>
      </w:r>
      <w:r w:rsidRPr="00FC7D9B">
        <w:rPr>
          <w:rFonts w:ascii="Calibri" w:hAnsi="Calibri"/>
          <w:i/>
          <w:iCs/>
        </w:rPr>
        <w:t>Journal of Web Librarianship</w:t>
      </w:r>
      <w:r w:rsidRPr="00FC7D9B">
        <w:rPr>
          <w:rFonts w:ascii="Calibri" w:hAnsi="Calibri"/>
        </w:rPr>
        <w:t>, Vol. 5 No. 4, pp. 267–285.</w:t>
      </w:r>
    </w:p>
    <w:p w14:paraId="3EF8715E" w14:textId="77777777" w:rsidR="0032674B" w:rsidRPr="00634AFF" w:rsidRDefault="0032674B" w:rsidP="0032674B">
      <w:pPr>
        <w:pStyle w:val="Bibliography"/>
        <w:rPr>
          <w:rFonts w:ascii="Calibri" w:hAnsi="Calibri"/>
        </w:rPr>
      </w:pPr>
      <w:r w:rsidRPr="00634AFF">
        <w:rPr>
          <w:rFonts w:ascii="Calibri" w:hAnsi="Calibri"/>
        </w:rPr>
        <w:t xml:space="preserve">Rose, D. and Meyer, A. (2002), </w:t>
      </w:r>
      <w:r w:rsidRPr="00634AFF">
        <w:rPr>
          <w:rFonts w:ascii="Calibri" w:hAnsi="Calibri"/>
          <w:i/>
          <w:iCs/>
        </w:rPr>
        <w:t>Teaching Every Student in the Digital Age: Universal Design for Learning</w:t>
      </w:r>
      <w:r w:rsidRPr="00634AFF">
        <w:rPr>
          <w:rFonts w:ascii="Calibri" w:hAnsi="Calibri"/>
        </w:rPr>
        <w:t>, Association for Supervision and Curriculum Development, Alexandria, VA.</w:t>
      </w:r>
    </w:p>
    <w:p w14:paraId="587F4786" w14:textId="77777777" w:rsidR="00FD4864" w:rsidRPr="00FD4864" w:rsidRDefault="00FD4864" w:rsidP="00FD4864">
      <w:pPr>
        <w:pStyle w:val="Bibliography"/>
        <w:rPr>
          <w:rFonts w:ascii="Calibri" w:hAnsi="Calibri"/>
        </w:rPr>
      </w:pPr>
      <w:proofErr w:type="spellStart"/>
      <w:r w:rsidRPr="00FD4864">
        <w:rPr>
          <w:rFonts w:ascii="Calibri" w:hAnsi="Calibri"/>
        </w:rPr>
        <w:t>Reeb</w:t>
      </w:r>
      <w:proofErr w:type="spellEnd"/>
      <w:r w:rsidRPr="00FD4864">
        <w:rPr>
          <w:rFonts w:ascii="Calibri" w:hAnsi="Calibri"/>
        </w:rPr>
        <w:t xml:space="preserve">, B. and Gibbons, S. (2004), “Students, librarians, and subject guides: improving a poor rate of return”, </w:t>
      </w:r>
      <w:r w:rsidRPr="00FD4864">
        <w:rPr>
          <w:rFonts w:ascii="Calibri" w:hAnsi="Calibri"/>
          <w:i/>
          <w:iCs/>
        </w:rPr>
        <w:t>Portal: Libraries and the Academy</w:t>
      </w:r>
      <w:r w:rsidRPr="00FD4864">
        <w:rPr>
          <w:rFonts w:ascii="Calibri" w:hAnsi="Calibri"/>
        </w:rPr>
        <w:t>, Vol. 4 No. 1, pp. 123–130.</w:t>
      </w:r>
    </w:p>
    <w:p w14:paraId="051470F4" w14:textId="77777777" w:rsidR="0032674B" w:rsidRPr="009E5813" w:rsidRDefault="0032674B" w:rsidP="0032674B">
      <w:pPr>
        <w:pStyle w:val="Bibliography"/>
        <w:rPr>
          <w:rFonts w:ascii="Calibri" w:hAnsi="Calibri"/>
        </w:rPr>
      </w:pPr>
      <w:proofErr w:type="spellStart"/>
      <w:r>
        <w:rPr>
          <w:rFonts w:ascii="Calibri" w:hAnsi="Calibri"/>
        </w:rPr>
        <w:t>Saracevic</w:t>
      </w:r>
      <w:proofErr w:type="spellEnd"/>
      <w:r>
        <w:rPr>
          <w:rFonts w:ascii="Calibri" w:hAnsi="Calibri"/>
        </w:rPr>
        <w:t xml:space="preserve">, T. (2014), “Information literacy in the United States: contemporary transformations and controversies”, in </w:t>
      </w:r>
      <w:proofErr w:type="spellStart"/>
      <w:r>
        <w:rPr>
          <w:rFonts w:ascii="Calibri" w:hAnsi="Calibri"/>
        </w:rPr>
        <w:t>Kurbanoğlu</w:t>
      </w:r>
      <w:proofErr w:type="spellEnd"/>
      <w:r>
        <w:rPr>
          <w:rFonts w:ascii="Calibri" w:hAnsi="Calibri"/>
        </w:rPr>
        <w:t xml:space="preserve">, S. et al. (Eds.), </w:t>
      </w:r>
      <w:r>
        <w:rPr>
          <w:rFonts w:ascii="Calibri" w:hAnsi="Calibri"/>
          <w:i/>
        </w:rPr>
        <w:t>Information literacy, lifelong learning, and digital citizenship in the 21</w:t>
      </w:r>
      <w:r w:rsidRPr="003F3FF6">
        <w:rPr>
          <w:rFonts w:ascii="Calibri" w:hAnsi="Calibri"/>
          <w:i/>
          <w:vertAlign w:val="superscript"/>
        </w:rPr>
        <w:t>st</w:t>
      </w:r>
      <w:r>
        <w:rPr>
          <w:rFonts w:ascii="Calibri" w:hAnsi="Calibri"/>
          <w:i/>
        </w:rPr>
        <w:t xml:space="preserve"> century, ECIL 2014, </w:t>
      </w:r>
      <w:r>
        <w:rPr>
          <w:rFonts w:ascii="Calibri" w:hAnsi="Calibri"/>
        </w:rPr>
        <w:t>Springer, Switzerland, pp. 19-30.</w:t>
      </w:r>
    </w:p>
    <w:p w14:paraId="7C3DE7D3" w14:textId="77777777" w:rsidR="0032674B" w:rsidRPr="00034E72" w:rsidRDefault="0032674B" w:rsidP="0032674B">
      <w:pPr>
        <w:spacing w:line="480" w:lineRule="auto"/>
        <w:rPr>
          <w:rFonts w:ascii="Calibri" w:hAnsi="Calibri"/>
        </w:rPr>
      </w:pPr>
      <w:proofErr w:type="spellStart"/>
      <w:r w:rsidRPr="00034E72">
        <w:rPr>
          <w:rFonts w:ascii="Calibri" w:hAnsi="Calibri"/>
        </w:rPr>
        <w:t>Seeber</w:t>
      </w:r>
      <w:proofErr w:type="spellEnd"/>
      <w:r w:rsidRPr="00034E72">
        <w:rPr>
          <w:rFonts w:ascii="Calibri" w:hAnsi="Calibri"/>
        </w:rPr>
        <w:t>, K</w:t>
      </w:r>
      <w:r>
        <w:rPr>
          <w:rFonts w:ascii="Calibri" w:hAnsi="Calibri"/>
        </w:rPr>
        <w:t>.</w:t>
      </w:r>
      <w:r w:rsidRPr="00034E72">
        <w:rPr>
          <w:rFonts w:ascii="Calibri" w:hAnsi="Calibri"/>
        </w:rPr>
        <w:t>P</w:t>
      </w:r>
      <w:r>
        <w:rPr>
          <w:rFonts w:ascii="Calibri" w:hAnsi="Calibri"/>
        </w:rPr>
        <w:t>.</w:t>
      </w:r>
      <w:r w:rsidRPr="00034E72">
        <w:rPr>
          <w:rFonts w:ascii="Calibri" w:hAnsi="Calibri"/>
        </w:rPr>
        <w:t xml:space="preserve"> </w:t>
      </w:r>
      <w:r>
        <w:rPr>
          <w:rFonts w:ascii="Calibri" w:hAnsi="Calibri"/>
        </w:rPr>
        <w:t>(</w:t>
      </w:r>
      <w:r w:rsidRPr="00034E72">
        <w:rPr>
          <w:rFonts w:ascii="Calibri" w:hAnsi="Calibri"/>
        </w:rPr>
        <w:t>2015</w:t>
      </w:r>
      <w:r>
        <w:rPr>
          <w:rFonts w:ascii="Calibri" w:hAnsi="Calibri"/>
        </w:rPr>
        <w:t>), “This is really happening: c</w:t>
      </w:r>
      <w:r w:rsidRPr="00034E72">
        <w:rPr>
          <w:rFonts w:ascii="Calibri" w:hAnsi="Calibri"/>
        </w:rPr>
        <w:t xml:space="preserve">riticality and discussions of context in ACRL’s </w:t>
      </w:r>
    </w:p>
    <w:p w14:paraId="6DF389C7" w14:textId="77777777" w:rsidR="0032674B" w:rsidRDefault="0032674B" w:rsidP="0032674B">
      <w:pPr>
        <w:spacing w:line="480" w:lineRule="auto"/>
        <w:rPr>
          <w:rFonts w:ascii="Calibri" w:hAnsi="Calibri"/>
        </w:rPr>
      </w:pPr>
      <w:r>
        <w:rPr>
          <w:rFonts w:ascii="Calibri" w:hAnsi="Calibri"/>
        </w:rPr>
        <w:tab/>
      </w:r>
      <w:r w:rsidRPr="003F3FF6">
        <w:rPr>
          <w:rFonts w:ascii="Calibri" w:hAnsi="Calibri"/>
          <w:i/>
        </w:rPr>
        <w:t>Framework for Information Literacy</w:t>
      </w:r>
      <w:r>
        <w:rPr>
          <w:rFonts w:ascii="Calibri" w:hAnsi="Calibri"/>
        </w:rPr>
        <w:t>”,</w:t>
      </w:r>
      <w:r w:rsidRPr="00034E72">
        <w:rPr>
          <w:rFonts w:ascii="Calibri" w:hAnsi="Calibri"/>
        </w:rPr>
        <w:t xml:space="preserve"> </w:t>
      </w:r>
      <w:r w:rsidRPr="003F3FF6">
        <w:rPr>
          <w:rFonts w:ascii="Calibri" w:hAnsi="Calibri"/>
          <w:i/>
        </w:rPr>
        <w:t>Communications in Information Literacy</w:t>
      </w:r>
      <w:r>
        <w:rPr>
          <w:rFonts w:ascii="Calibri" w:hAnsi="Calibri"/>
        </w:rPr>
        <w:t>, V</w:t>
      </w:r>
      <w:r w:rsidRPr="00034E72">
        <w:rPr>
          <w:rFonts w:ascii="Calibri" w:hAnsi="Calibri"/>
        </w:rPr>
        <w:t xml:space="preserve">ol. </w:t>
      </w:r>
      <w:r>
        <w:rPr>
          <w:rFonts w:ascii="Calibri" w:hAnsi="Calibri"/>
        </w:rPr>
        <w:t xml:space="preserve">9, </w:t>
      </w:r>
    </w:p>
    <w:p w14:paraId="32F98883" w14:textId="77777777" w:rsidR="0032674B" w:rsidRDefault="0032674B" w:rsidP="0032674B">
      <w:pPr>
        <w:spacing w:line="480" w:lineRule="auto"/>
        <w:rPr>
          <w:rFonts w:ascii="Calibri" w:hAnsi="Calibri"/>
        </w:rPr>
      </w:pPr>
      <w:r>
        <w:rPr>
          <w:rFonts w:ascii="Calibri" w:hAnsi="Calibri"/>
        </w:rPr>
        <w:tab/>
        <w:t>N</w:t>
      </w:r>
      <w:r w:rsidRPr="00034E72">
        <w:rPr>
          <w:rFonts w:ascii="Calibri" w:hAnsi="Calibri"/>
        </w:rPr>
        <w:t>o. 2, pp. 157-163.</w:t>
      </w:r>
    </w:p>
    <w:p w14:paraId="29F6CEC0" w14:textId="77777777" w:rsidR="0032674B" w:rsidRPr="00066373" w:rsidRDefault="0032674B" w:rsidP="0032674B">
      <w:pPr>
        <w:pStyle w:val="Bibliography"/>
        <w:rPr>
          <w:rFonts w:ascii="Calibri" w:hAnsi="Calibri"/>
        </w:rPr>
      </w:pPr>
      <w:proofErr w:type="spellStart"/>
      <w:r w:rsidRPr="00066373">
        <w:rPr>
          <w:rFonts w:ascii="Calibri" w:hAnsi="Calibri"/>
        </w:rPr>
        <w:t>Shotick</w:t>
      </w:r>
      <w:proofErr w:type="spellEnd"/>
      <w:r w:rsidRPr="00066373">
        <w:rPr>
          <w:rFonts w:ascii="Calibri" w:hAnsi="Calibri"/>
        </w:rPr>
        <w:t>, K. (</w:t>
      </w:r>
      <w:r>
        <w:rPr>
          <w:rFonts w:ascii="Calibri" w:hAnsi="Calibri"/>
        </w:rPr>
        <w:t>2016</w:t>
      </w:r>
      <w:r w:rsidRPr="00066373">
        <w:rPr>
          <w:rFonts w:ascii="Calibri" w:hAnsi="Calibri"/>
        </w:rPr>
        <w:t>)</w:t>
      </w:r>
      <w:r>
        <w:rPr>
          <w:rFonts w:ascii="Calibri" w:hAnsi="Calibri"/>
        </w:rPr>
        <w:t>,</w:t>
      </w:r>
      <w:r w:rsidRPr="00066373">
        <w:rPr>
          <w:rFonts w:ascii="Calibri" w:hAnsi="Calibri"/>
        </w:rPr>
        <w:t xml:space="preserve"> “Access and </w:t>
      </w:r>
      <w:r>
        <w:rPr>
          <w:rFonts w:ascii="Calibri" w:hAnsi="Calibri"/>
        </w:rPr>
        <w:t>u</w:t>
      </w:r>
      <w:r w:rsidRPr="00066373">
        <w:rPr>
          <w:rFonts w:ascii="Calibri" w:hAnsi="Calibri"/>
        </w:rPr>
        <w:t xml:space="preserve">niversal </w:t>
      </w:r>
      <w:r>
        <w:rPr>
          <w:rFonts w:ascii="Calibri" w:hAnsi="Calibri"/>
        </w:rPr>
        <w:t>d</w:t>
      </w:r>
      <w:r w:rsidRPr="00066373">
        <w:rPr>
          <w:rFonts w:ascii="Calibri" w:hAnsi="Calibri"/>
        </w:rPr>
        <w:t xml:space="preserve">esign for </w:t>
      </w:r>
      <w:r>
        <w:rPr>
          <w:rFonts w:ascii="Calibri" w:hAnsi="Calibri"/>
        </w:rPr>
        <w:t>l</w:t>
      </w:r>
      <w:r w:rsidRPr="00066373">
        <w:rPr>
          <w:rFonts w:ascii="Calibri" w:hAnsi="Calibri"/>
        </w:rPr>
        <w:t xml:space="preserve">earning in </w:t>
      </w:r>
      <w:proofErr w:type="spellStart"/>
      <w:r w:rsidRPr="00066373">
        <w:rPr>
          <w:rFonts w:ascii="Calibri" w:hAnsi="Calibri"/>
        </w:rPr>
        <w:t>LibGuides</w:t>
      </w:r>
      <w:proofErr w:type="spellEnd"/>
      <w:r w:rsidRPr="00066373">
        <w:rPr>
          <w:rFonts w:ascii="Calibri" w:hAnsi="Calibri"/>
        </w:rPr>
        <w:t xml:space="preserve"> 2.0”, in Dobbs, A.W. and </w:t>
      </w:r>
      <w:proofErr w:type="spellStart"/>
      <w:r w:rsidRPr="00066373">
        <w:rPr>
          <w:rFonts w:ascii="Calibri" w:hAnsi="Calibri"/>
        </w:rPr>
        <w:t>Sittler</w:t>
      </w:r>
      <w:proofErr w:type="spellEnd"/>
      <w:r w:rsidRPr="00066373">
        <w:rPr>
          <w:rFonts w:ascii="Calibri" w:hAnsi="Calibri"/>
        </w:rPr>
        <w:t xml:space="preserve">, R.L. (Eds.), </w:t>
      </w:r>
      <w:r w:rsidRPr="00066373">
        <w:rPr>
          <w:rFonts w:ascii="Calibri" w:hAnsi="Calibri"/>
          <w:i/>
          <w:iCs/>
        </w:rPr>
        <w:t xml:space="preserve">Integrating </w:t>
      </w:r>
      <w:proofErr w:type="spellStart"/>
      <w:r w:rsidRPr="00066373">
        <w:rPr>
          <w:rFonts w:ascii="Calibri" w:hAnsi="Calibri"/>
          <w:i/>
          <w:iCs/>
        </w:rPr>
        <w:t>LibGuides</w:t>
      </w:r>
      <w:proofErr w:type="spellEnd"/>
      <w:r w:rsidRPr="00066373">
        <w:rPr>
          <w:rFonts w:ascii="Calibri" w:hAnsi="Calibri"/>
          <w:i/>
          <w:iCs/>
        </w:rPr>
        <w:t xml:space="preserve"> into Library Websites</w:t>
      </w:r>
      <w:r w:rsidRPr="00066373">
        <w:rPr>
          <w:rFonts w:ascii="Calibri" w:hAnsi="Calibri"/>
        </w:rPr>
        <w:t>, Rowan &amp; Littlefield, New York, pp. 189–200.</w:t>
      </w:r>
    </w:p>
    <w:p w14:paraId="25E7B420" w14:textId="037140E6" w:rsidR="00FD4864" w:rsidRPr="00FD4864" w:rsidRDefault="00FD4864" w:rsidP="00FD4864">
      <w:pPr>
        <w:pStyle w:val="Bibliography"/>
        <w:rPr>
          <w:rFonts w:ascii="Calibri" w:hAnsi="Calibri"/>
        </w:rPr>
      </w:pPr>
      <w:proofErr w:type="spellStart"/>
      <w:r w:rsidRPr="00FD4864">
        <w:rPr>
          <w:rFonts w:ascii="Calibri" w:hAnsi="Calibri"/>
        </w:rPr>
        <w:t>Sinkinson</w:t>
      </w:r>
      <w:proofErr w:type="spellEnd"/>
      <w:r w:rsidRPr="00FD4864">
        <w:rPr>
          <w:rFonts w:ascii="Calibri" w:hAnsi="Calibri"/>
        </w:rPr>
        <w:t xml:space="preserve">, C., Alexander, S., Hicks, A. and Kahn, M. (2012), “Guiding </w:t>
      </w:r>
      <w:r w:rsidR="002E6956">
        <w:rPr>
          <w:rFonts w:ascii="Calibri" w:hAnsi="Calibri"/>
        </w:rPr>
        <w:t>d</w:t>
      </w:r>
      <w:r w:rsidRPr="00FD4864">
        <w:rPr>
          <w:rFonts w:ascii="Calibri" w:hAnsi="Calibri"/>
        </w:rPr>
        <w:t xml:space="preserve">esign: </w:t>
      </w:r>
      <w:r w:rsidR="002E6956">
        <w:rPr>
          <w:rFonts w:ascii="Calibri" w:hAnsi="Calibri"/>
        </w:rPr>
        <w:t>e</w:t>
      </w:r>
      <w:r w:rsidRPr="00FD4864">
        <w:rPr>
          <w:rFonts w:ascii="Calibri" w:hAnsi="Calibri"/>
        </w:rPr>
        <w:t xml:space="preserve">xposing </w:t>
      </w:r>
      <w:r w:rsidR="002E6956">
        <w:rPr>
          <w:rFonts w:ascii="Calibri" w:hAnsi="Calibri"/>
        </w:rPr>
        <w:t>l</w:t>
      </w:r>
      <w:r w:rsidRPr="00FD4864">
        <w:rPr>
          <w:rFonts w:ascii="Calibri" w:hAnsi="Calibri"/>
        </w:rPr>
        <w:t xml:space="preserve">ibrarian and </w:t>
      </w:r>
      <w:r w:rsidR="002E6956">
        <w:rPr>
          <w:rFonts w:ascii="Calibri" w:hAnsi="Calibri"/>
        </w:rPr>
        <w:t>s</w:t>
      </w:r>
      <w:r w:rsidRPr="00FD4864">
        <w:rPr>
          <w:rFonts w:ascii="Calibri" w:hAnsi="Calibri"/>
        </w:rPr>
        <w:t xml:space="preserve">tudent </w:t>
      </w:r>
      <w:r w:rsidR="002E6956">
        <w:rPr>
          <w:rFonts w:ascii="Calibri" w:hAnsi="Calibri"/>
        </w:rPr>
        <w:t>m</w:t>
      </w:r>
      <w:r w:rsidRPr="00FD4864">
        <w:rPr>
          <w:rFonts w:ascii="Calibri" w:hAnsi="Calibri"/>
        </w:rPr>
        <w:t xml:space="preserve">ental </w:t>
      </w:r>
      <w:r w:rsidR="002E6956">
        <w:rPr>
          <w:rFonts w:ascii="Calibri" w:hAnsi="Calibri"/>
        </w:rPr>
        <w:t>m</w:t>
      </w:r>
      <w:r w:rsidRPr="00FD4864">
        <w:rPr>
          <w:rFonts w:ascii="Calibri" w:hAnsi="Calibri"/>
        </w:rPr>
        <w:t xml:space="preserve">odels of </w:t>
      </w:r>
      <w:r w:rsidR="002E6956">
        <w:rPr>
          <w:rFonts w:ascii="Calibri" w:hAnsi="Calibri"/>
        </w:rPr>
        <w:t>r</w:t>
      </w:r>
      <w:r w:rsidRPr="00FD4864">
        <w:rPr>
          <w:rFonts w:ascii="Calibri" w:hAnsi="Calibri"/>
        </w:rPr>
        <w:t xml:space="preserve">esearch </w:t>
      </w:r>
      <w:r w:rsidR="002E6956">
        <w:rPr>
          <w:rFonts w:ascii="Calibri" w:hAnsi="Calibri"/>
        </w:rPr>
        <w:t>g</w:t>
      </w:r>
      <w:r w:rsidRPr="00FD4864">
        <w:rPr>
          <w:rFonts w:ascii="Calibri" w:hAnsi="Calibri"/>
        </w:rPr>
        <w:t xml:space="preserve">uides”, </w:t>
      </w:r>
      <w:r w:rsidR="002E6956">
        <w:rPr>
          <w:rFonts w:ascii="Calibri" w:hAnsi="Calibri"/>
          <w:i/>
          <w:iCs/>
        </w:rPr>
        <w:t>p</w:t>
      </w:r>
      <w:r w:rsidRPr="00FD4864">
        <w:rPr>
          <w:rFonts w:ascii="Calibri" w:hAnsi="Calibri"/>
          <w:i/>
          <w:iCs/>
        </w:rPr>
        <w:t>ortal: Libraries and the Academy</w:t>
      </w:r>
      <w:r w:rsidRPr="00FD4864">
        <w:rPr>
          <w:rFonts w:ascii="Calibri" w:hAnsi="Calibri"/>
        </w:rPr>
        <w:t>, Vol. 12 No. 1, pp. 63–84.</w:t>
      </w:r>
    </w:p>
    <w:p w14:paraId="2C299F2C" w14:textId="3C0C772F" w:rsidR="00FD4864" w:rsidRPr="00FD4864" w:rsidRDefault="00FD4864" w:rsidP="00FD4864">
      <w:pPr>
        <w:pStyle w:val="Bibliography"/>
        <w:rPr>
          <w:rFonts w:ascii="Calibri" w:hAnsi="Calibri"/>
        </w:rPr>
      </w:pPr>
      <w:r w:rsidRPr="00FD4864">
        <w:rPr>
          <w:rFonts w:ascii="Calibri" w:hAnsi="Calibri"/>
        </w:rPr>
        <w:t xml:space="preserve">Staley, S.M. (2007), “Academic </w:t>
      </w:r>
      <w:r w:rsidR="002E6956">
        <w:rPr>
          <w:rFonts w:ascii="Calibri" w:hAnsi="Calibri"/>
        </w:rPr>
        <w:t>s</w:t>
      </w:r>
      <w:r w:rsidRPr="00FD4864">
        <w:rPr>
          <w:rFonts w:ascii="Calibri" w:hAnsi="Calibri"/>
        </w:rPr>
        <w:t xml:space="preserve">ubject </w:t>
      </w:r>
      <w:r w:rsidR="002E6956">
        <w:rPr>
          <w:rFonts w:ascii="Calibri" w:hAnsi="Calibri"/>
        </w:rPr>
        <w:t>g</w:t>
      </w:r>
      <w:r w:rsidRPr="00FD4864">
        <w:rPr>
          <w:rFonts w:ascii="Calibri" w:hAnsi="Calibri"/>
        </w:rPr>
        <w:t xml:space="preserve">uides: </w:t>
      </w:r>
      <w:r w:rsidR="002E6956">
        <w:rPr>
          <w:rFonts w:ascii="Calibri" w:hAnsi="Calibri"/>
        </w:rPr>
        <w:t>a</w:t>
      </w:r>
      <w:r w:rsidRPr="00FD4864">
        <w:rPr>
          <w:rFonts w:ascii="Calibri" w:hAnsi="Calibri"/>
        </w:rPr>
        <w:t xml:space="preserve"> </w:t>
      </w:r>
      <w:r w:rsidR="002E6956">
        <w:rPr>
          <w:rFonts w:ascii="Calibri" w:hAnsi="Calibri"/>
        </w:rPr>
        <w:t>c</w:t>
      </w:r>
      <w:r w:rsidRPr="00FD4864">
        <w:rPr>
          <w:rFonts w:ascii="Calibri" w:hAnsi="Calibri"/>
        </w:rPr>
        <w:t xml:space="preserve">ase </w:t>
      </w:r>
      <w:r w:rsidR="002E6956">
        <w:rPr>
          <w:rFonts w:ascii="Calibri" w:hAnsi="Calibri"/>
        </w:rPr>
        <w:t>s</w:t>
      </w:r>
      <w:r w:rsidRPr="00FD4864">
        <w:rPr>
          <w:rFonts w:ascii="Calibri" w:hAnsi="Calibri"/>
        </w:rPr>
        <w:t xml:space="preserve">tudy of </w:t>
      </w:r>
      <w:r w:rsidR="002E6956">
        <w:rPr>
          <w:rFonts w:ascii="Calibri" w:hAnsi="Calibri"/>
        </w:rPr>
        <w:t>u</w:t>
      </w:r>
      <w:r w:rsidRPr="00FD4864">
        <w:rPr>
          <w:rFonts w:ascii="Calibri" w:hAnsi="Calibri"/>
        </w:rPr>
        <w:t xml:space="preserve">se at San José State University”, </w:t>
      </w:r>
      <w:r w:rsidRPr="00FD4864">
        <w:rPr>
          <w:rFonts w:ascii="Calibri" w:hAnsi="Calibri"/>
          <w:i/>
          <w:iCs/>
        </w:rPr>
        <w:t>College &amp; Research Libraries</w:t>
      </w:r>
      <w:r w:rsidRPr="00FD4864">
        <w:rPr>
          <w:rFonts w:ascii="Calibri" w:hAnsi="Calibri"/>
        </w:rPr>
        <w:t>, Vol. 68 No. 2, pp. 119–140.</w:t>
      </w:r>
    </w:p>
    <w:p w14:paraId="28417106" w14:textId="77777777" w:rsidR="0032674B" w:rsidRPr="009D3E62" w:rsidRDefault="0032674B" w:rsidP="0032674B">
      <w:pPr>
        <w:pStyle w:val="Bibliography"/>
        <w:rPr>
          <w:rFonts w:ascii="Calibri" w:hAnsi="Calibri"/>
        </w:rPr>
      </w:pPr>
      <w:r w:rsidRPr="009D3E62">
        <w:rPr>
          <w:rFonts w:ascii="Calibri" w:hAnsi="Calibri"/>
        </w:rPr>
        <w:lastRenderedPageBreak/>
        <w:t xml:space="preserve">Townsend, L., Brunetti, K. and Hofer, A.R. (2011), “Threshold </w:t>
      </w:r>
      <w:r>
        <w:rPr>
          <w:rFonts w:ascii="Calibri" w:hAnsi="Calibri"/>
        </w:rPr>
        <w:t>c</w:t>
      </w:r>
      <w:r w:rsidRPr="009D3E62">
        <w:rPr>
          <w:rFonts w:ascii="Calibri" w:hAnsi="Calibri"/>
        </w:rPr>
        <w:t xml:space="preserve">oncepts and </w:t>
      </w:r>
      <w:r>
        <w:rPr>
          <w:rFonts w:ascii="Calibri" w:hAnsi="Calibri"/>
        </w:rPr>
        <w:t>i</w:t>
      </w:r>
      <w:r w:rsidRPr="009D3E62">
        <w:rPr>
          <w:rFonts w:ascii="Calibri" w:hAnsi="Calibri"/>
        </w:rPr>
        <w:t xml:space="preserve">nformation </w:t>
      </w:r>
      <w:r>
        <w:rPr>
          <w:rFonts w:ascii="Calibri" w:hAnsi="Calibri"/>
        </w:rPr>
        <w:t>l</w:t>
      </w:r>
      <w:r w:rsidRPr="009D3E62">
        <w:rPr>
          <w:rFonts w:ascii="Calibri" w:hAnsi="Calibri"/>
        </w:rPr>
        <w:t xml:space="preserve">iteracy”, </w:t>
      </w:r>
      <w:r>
        <w:rPr>
          <w:rFonts w:ascii="Calibri" w:hAnsi="Calibri"/>
          <w:i/>
          <w:iCs/>
        </w:rPr>
        <w:t>p</w:t>
      </w:r>
      <w:r w:rsidRPr="009D3E62">
        <w:rPr>
          <w:rFonts w:ascii="Calibri" w:hAnsi="Calibri"/>
          <w:i/>
          <w:iCs/>
        </w:rPr>
        <w:t>ortal: Libraries and the Academy</w:t>
      </w:r>
      <w:r w:rsidRPr="009D3E62">
        <w:rPr>
          <w:rFonts w:ascii="Calibri" w:hAnsi="Calibri"/>
        </w:rPr>
        <w:t>, Vol. 11 No. 3, pp. 853–869.</w:t>
      </w:r>
    </w:p>
    <w:p w14:paraId="7B7B6E7C" w14:textId="407297CB" w:rsidR="0032674B" w:rsidRPr="00CD4733" w:rsidRDefault="00FD4864">
      <w:pPr>
        <w:pStyle w:val="Bibliography"/>
        <w:rPr>
          <w:rFonts w:ascii="Calibri" w:hAnsi="Calibri"/>
        </w:rPr>
      </w:pPr>
      <w:r w:rsidRPr="00FD4864">
        <w:rPr>
          <w:rFonts w:ascii="Calibri" w:hAnsi="Calibri"/>
        </w:rPr>
        <w:t xml:space="preserve">Turner, B., Fuchs, C. and </w:t>
      </w:r>
      <w:proofErr w:type="spellStart"/>
      <w:r w:rsidRPr="00FD4864">
        <w:rPr>
          <w:rFonts w:ascii="Calibri" w:hAnsi="Calibri"/>
        </w:rPr>
        <w:t>Todman</w:t>
      </w:r>
      <w:proofErr w:type="spellEnd"/>
      <w:r w:rsidRPr="00FD4864">
        <w:rPr>
          <w:rFonts w:ascii="Calibri" w:hAnsi="Calibri"/>
        </w:rPr>
        <w:t xml:space="preserve">, A. (2015), “Static vs. </w:t>
      </w:r>
      <w:r w:rsidR="002E6956">
        <w:rPr>
          <w:rFonts w:ascii="Calibri" w:hAnsi="Calibri"/>
        </w:rPr>
        <w:t>d</w:t>
      </w:r>
      <w:r w:rsidRPr="00FD4864">
        <w:rPr>
          <w:rFonts w:ascii="Calibri" w:hAnsi="Calibri"/>
        </w:rPr>
        <w:t xml:space="preserve">ynamic </w:t>
      </w:r>
      <w:r w:rsidR="002E6956">
        <w:rPr>
          <w:rFonts w:ascii="Calibri" w:hAnsi="Calibri"/>
        </w:rPr>
        <w:t>t</w:t>
      </w:r>
      <w:r w:rsidRPr="00FD4864">
        <w:rPr>
          <w:rFonts w:ascii="Calibri" w:hAnsi="Calibri"/>
        </w:rPr>
        <w:t xml:space="preserve">utorials: </w:t>
      </w:r>
      <w:r w:rsidR="002E6956">
        <w:rPr>
          <w:rFonts w:ascii="Calibri" w:hAnsi="Calibri"/>
        </w:rPr>
        <w:t>a</w:t>
      </w:r>
      <w:r w:rsidRPr="00FD4864">
        <w:rPr>
          <w:rFonts w:ascii="Calibri" w:hAnsi="Calibri"/>
        </w:rPr>
        <w:t xml:space="preserve">pplying </w:t>
      </w:r>
      <w:r w:rsidR="002E6956">
        <w:rPr>
          <w:rFonts w:ascii="Calibri" w:hAnsi="Calibri"/>
        </w:rPr>
        <w:t>u</w:t>
      </w:r>
      <w:r w:rsidRPr="00FD4864">
        <w:rPr>
          <w:rFonts w:ascii="Calibri" w:hAnsi="Calibri"/>
        </w:rPr>
        <w:t xml:space="preserve">sability </w:t>
      </w:r>
      <w:r w:rsidR="002E6956">
        <w:rPr>
          <w:rFonts w:ascii="Calibri" w:hAnsi="Calibri"/>
        </w:rPr>
        <w:t>p</w:t>
      </w:r>
      <w:r w:rsidRPr="00FD4864">
        <w:rPr>
          <w:rFonts w:ascii="Calibri" w:hAnsi="Calibri"/>
        </w:rPr>
        <w:t xml:space="preserve">rinciples to </w:t>
      </w:r>
      <w:r w:rsidR="002E6956">
        <w:rPr>
          <w:rFonts w:ascii="Calibri" w:hAnsi="Calibri"/>
        </w:rPr>
        <w:t>e</w:t>
      </w:r>
      <w:r w:rsidRPr="00FD4864">
        <w:rPr>
          <w:rFonts w:ascii="Calibri" w:hAnsi="Calibri"/>
        </w:rPr>
        <w:t xml:space="preserve">valuate </w:t>
      </w:r>
      <w:r w:rsidR="002E6956">
        <w:rPr>
          <w:rFonts w:ascii="Calibri" w:hAnsi="Calibri"/>
        </w:rPr>
        <w:t>o</w:t>
      </w:r>
      <w:r w:rsidRPr="00FD4864">
        <w:rPr>
          <w:rFonts w:ascii="Calibri" w:hAnsi="Calibri"/>
        </w:rPr>
        <w:t xml:space="preserve">nline </w:t>
      </w:r>
      <w:r w:rsidR="002E6956">
        <w:rPr>
          <w:rFonts w:ascii="Calibri" w:hAnsi="Calibri"/>
        </w:rPr>
        <w:t>p</w:t>
      </w:r>
      <w:r w:rsidRPr="00FD4864">
        <w:rPr>
          <w:rFonts w:ascii="Calibri" w:hAnsi="Calibri"/>
        </w:rPr>
        <w:t>oint-of-</w:t>
      </w:r>
      <w:r w:rsidR="002E6956">
        <w:rPr>
          <w:rFonts w:ascii="Calibri" w:hAnsi="Calibri"/>
        </w:rPr>
        <w:t>n</w:t>
      </w:r>
      <w:r w:rsidRPr="00FD4864">
        <w:rPr>
          <w:rFonts w:ascii="Calibri" w:hAnsi="Calibri"/>
        </w:rPr>
        <w:t xml:space="preserve">eed </w:t>
      </w:r>
      <w:r w:rsidR="002E6956">
        <w:rPr>
          <w:rFonts w:ascii="Calibri" w:hAnsi="Calibri"/>
        </w:rPr>
        <w:t>i</w:t>
      </w:r>
      <w:r w:rsidRPr="00FD4864">
        <w:rPr>
          <w:rFonts w:ascii="Calibri" w:hAnsi="Calibri"/>
        </w:rPr>
        <w:t xml:space="preserve">nstruction”, </w:t>
      </w:r>
      <w:r w:rsidRPr="00FD4864">
        <w:rPr>
          <w:rFonts w:ascii="Calibri" w:hAnsi="Calibri"/>
          <w:i/>
          <w:iCs/>
        </w:rPr>
        <w:t>Information Technology and Libraries</w:t>
      </w:r>
      <w:r w:rsidRPr="00FD4864">
        <w:rPr>
          <w:rFonts w:ascii="Calibri" w:hAnsi="Calibri"/>
        </w:rPr>
        <w:t>, Vol. 34 No. 4, pp. 30–54.</w:t>
      </w:r>
      <w:r w:rsidR="002E6956" w:rsidRPr="002E6956">
        <w:rPr>
          <w:rFonts w:ascii="Calibri" w:hAnsi="Calibri"/>
        </w:rPr>
        <w:t xml:space="preserve"> </w:t>
      </w:r>
    </w:p>
    <w:p w14:paraId="524EF2A8" w14:textId="77777777" w:rsidR="00C22013" w:rsidRPr="00C22013" w:rsidRDefault="00C22013" w:rsidP="00C22013">
      <w:pPr>
        <w:pStyle w:val="Bibliography"/>
        <w:rPr>
          <w:rFonts w:ascii="Calibri" w:hAnsi="Calibri"/>
        </w:rPr>
      </w:pPr>
      <w:r w:rsidRPr="00C22013">
        <w:rPr>
          <w:rFonts w:ascii="Calibri" w:hAnsi="Calibri"/>
        </w:rPr>
        <w:t>Webb, K.K. and Hoover, J. (2015), "Universal Design for Learning (UDL) in the academic library: a methodology for mapping multiple means of representation in library tutorials"</w:t>
      </w:r>
      <w:r w:rsidRPr="00C22013">
        <w:rPr>
          <w:rFonts w:ascii="Calibri" w:hAnsi="Calibri"/>
          <w:i/>
          <w:iCs/>
        </w:rPr>
        <w:t>, College &amp; Research Libraries, </w:t>
      </w:r>
      <w:r w:rsidRPr="00C22013">
        <w:rPr>
          <w:rFonts w:ascii="Calibri" w:hAnsi="Calibri"/>
        </w:rPr>
        <w:t>Vol. 76, No. 4, pp. 537-553.</w:t>
      </w:r>
    </w:p>
    <w:p w14:paraId="3F7DC677" w14:textId="77777777" w:rsidR="00C22013" w:rsidRPr="00C22013" w:rsidRDefault="00C22013" w:rsidP="00C22013">
      <w:pPr>
        <w:pStyle w:val="Bibliography"/>
        <w:rPr>
          <w:rFonts w:ascii="Calibri" w:hAnsi="Calibri"/>
        </w:rPr>
      </w:pPr>
      <w:r w:rsidRPr="00C22013">
        <w:rPr>
          <w:rFonts w:ascii="Calibri" w:hAnsi="Calibri"/>
        </w:rPr>
        <w:t xml:space="preserve">Wilkinson, L. (2014), “The problem with threshold concepts”, </w:t>
      </w:r>
      <w:r w:rsidRPr="00C22013">
        <w:rPr>
          <w:rFonts w:ascii="Calibri" w:hAnsi="Calibri"/>
          <w:i/>
          <w:iCs/>
        </w:rPr>
        <w:t>Sense &amp; Reference</w:t>
      </w:r>
      <w:r w:rsidRPr="00C22013">
        <w:rPr>
          <w:rFonts w:ascii="Calibri" w:hAnsi="Calibri"/>
        </w:rPr>
        <w:t xml:space="preserve">, 19 June, available at: </w:t>
      </w:r>
      <w:hyperlink r:id="rId12" w:history="1">
        <w:r w:rsidRPr="00C22013">
          <w:rPr>
            <w:rStyle w:val="Hyperlink"/>
            <w:rFonts w:ascii="Calibri" w:hAnsi="Calibri"/>
          </w:rPr>
          <w:t>https://senseandreference.wordpress.com/2014/06/19/the-problem-with-threshold-concepts/</w:t>
        </w:r>
      </w:hyperlink>
      <w:r w:rsidRPr="00C22013">
        <w:rPr>
          <w:rFonts w:ascii="Calibri" w:hAnsi="Calibri"/>
        </w:rPr>
        <w:t xml:space="preserve"> (accessed 17 May 2018).</w:t>
      </w:r>
    </w:p>
    <w:p w14:paraId="2C43F1F3" w14:textId="77777777" w:rsidR="00C22013" w:rsidRPr="00C22013" w:rsidRDefault="00C22013" w:rsidP="00C22013">
      <w:pPr>
        <w:pStyle w:val="Bibliography"/>
        <w:rPr>
          <w:rFonts w:ascii="Calibri" w:hAnsi="Calibri"/>
        </w:rPr>
      </w:pPr>
      <w:r w:rsidRPr="00C22013">
        <w:rPr>
          <w:rFonts w:ascii="Calibri" w:hAnsi="Calibri"/>
        </w:rPr>
        <w:t xml:space="preserve"> Wilkinson, L. (2015), “Reconsidering threshold concepts: a critical appraisal to of the ACRL Framework for Information Literacy”, presented at the Library Orientation Exchange (LOEX), Denver, CO, 30 May.</w:t>
      </w:r>
    </w:p>
    <w:p w14:paraId="7E1B6194" w14:textId="029AE5CB" w:rsidR="0032674B" w:rsidRDefault="00C22013" w:rsidP="00C22013">
      <w:pPr>
        <w:pStyle w:val="Bibliography"/>
        <w:rPr>
          <w:rFonts w:ascii="Calibri" w:hAnsi="Calibri"/>
        </w:rPr>
      </w:pPr>
      <w:r w:rsidRPr="00C22013">
        <w:rPr>
          <w:rFonts w:ascii="Calibri" w:hAnsi="Calibri"/>
        </w:rPr>
        <w:t xml:space="preserve"> </w:t>
      </w:r>
    </w:p>
    <w:p w14:paraId="4014B104" w14:textId="77777777" w:rsidR="00C22013" w:rsidRPr="00C22013" w:rsidRDefault="00C22013" w:rsidP="00C22013"/>
    <w:p w14:paraId="2E323E95" w14:textId="77777777" w:rsidR="008056BC" w:rsidRDefault="008056BC" w:rsidP="0032674B"/>
    <w:p w14:paraId="5897B850" w14:textId="3B028D37" w:rsidR="008056BC" w:rsidRDefault="008056BC" w:rsidP="008056BC"/>
    <w:p w14:paraId="6BF0541D" w14:textId="7DD7D444" w:rsidR="001C6DC7" w:rsidRDefault="001C6DC7" w:rsidP="008056BC"/>
    <w:p w14:paraId="5BF73F18" w14:textId="373C6871" w:rsidR="001C6DC7" w:rsidRDefault="001C6DC7" w:rsidP="008056BC"/>
    <w:p w14:paraId="237F8008" w14:textId="6D5F8999" w:rsidR="001C6DC7" w:rsidRDefault="001C6DC7" w:rsidP="008056BC"/>
    <w:p w14:paraId="052E927F" w14:textId="66B6B26E" w:rsidR="001C6DC7" w:rsidRDefault="001C6DC7" w:rsidP="008056BC"/>
    <w:p w14:paraId="15AAFA86" w14:textId="77777777" w:rsidR="001C6DC7" w:rsidRDefault="001C6DC7" w:rsidP="001C6DC7">
      <w:pPr>
        <w:pStyle w:val="ListParagraph"/>
      </w:pPr>
    </w:p>
    <w:p w14:paraId="65F7DBCC" w14:textId="77777777" w:rsidR="001C6DC7" w:rsidRPr="008056BC" w:rsidRDefault="001C6DC7" w:rsidP="001C6DC7"/>
    <w:p w14:paraId="6DCB688E" w14:textId="77777777" w:rsidR="00C22013" w:rsidRDefault="00C22013" w:rsidP="008056BC"/>
    <w:p w14:paraId="05243007" w14:textId="77777777" w:rsidR="00C22013" w:rsidRDefault="00C22013" w:rsidP="008056BC"/>
    <w:p w14:paraId="0B771535" w14:textId="77777777" w:rsidR="00C22013" w:rsidRDefault="00C22013" w:rsidP="008056BC"/>
    <w:p w14:paraId="16C1D6F7" w14:textId="77777777" w:rsidR="00C22013" w:rsidRDefault="00C22013" w:rsidP="008056BC"/>
    <w:p w14:paraId="7FFEC99D" w14:textId="77777777" w:rsidR="00C22013" w:rsidRDefault="00C22013" w:rsidP="008056BC"/>
    <w:p w14:paraId="723224C9" w14:textId="77777777" w:rsidR="00C22013" w:rsidRDefault="00C22013" w:rsidP="008056BC"/>
    <w:p w14:paraId="69772D06" w14:textId="77777777" w:rsidR="00C22013" w:rsidRDefault="00C22013" w:rsidP="008056BC"/>
    <w:p w14:paraId="5806FE99" w14:textId="77777777" w:rsidR="00C22013" w:rsidRDefault="00C22013" w:rsidP="008056BC"/>
    <w:p w14:paraId="122ABD12" w14:textId="77777777" w:rsidR="00C22013" w:rsidRDefault="00C22013" w:rsidP="008056BC"/>
    <w:p w14:paraId="0C4E5AE8" w14:textId="1F621E22" w:rsidR="008056BC" w:rsidRDefault="008056BC" w:rsidP="008056BC">
      <w:r>
        <w:t>APPENDIX: SURVEY INSTRUMENT</w:t>
      </w:r>
    </w:p>
    <w:p w14:paraId="4065814F" w14:textId="77777777" w:rsidR="008056BC" w:rsidRDefault="008056BC" w:rsidP="008056BC"/>
    <w:p w14:paraId="35023167" w14:textId="77777777" w:rsidR="008056BC" w:rsidRDefault="008056BC" w:rsidP="008056BC">
      <w:pPr>
        <w:pStyle w:val="ListParagraph"/>
        <w:numPr>
          <w:ilvl w:val="0"/>
          <w:numId w:val="4"/>
        </w:numPr>
        <w:spacing w:after="200" w:line="276" w:lineRule="auto"/>
      </w:pPr>
      <w:r>
        <w:t>Name of library</w:t>
      </w:r>
    </w:p>
    <w:p w14:paraId="302DFBF5" w14:textId="77777777" w:rsidR="008056BC" w:rsidRDefault="008056BC" w:rsidP="008056BC">
      <w:pPr>
        <w:pStyle w:val="ListParagraph"/>
      </w:pPr>
    </w:p>
    <w:p w14:paraId="6F27C10A" w14:textId="77777777" w:rsidR="008056BC" w:rsidRDefault="008056BC" w:rsidP="008056BC">
      <w:pPr>
        <w:pStyle w:val="ListParagraph"/>
        <w:numPr>
          <w:ilvl w:val="0"/>
          <w:numId w:val="4"/>
        </w:numPr>
        <w:spacing w:after="200" w:line="276" w:lineRule="auto"/>
      </w:pPr>
      <w:r>
        <w:t>What type of institution? (Public/Private)</w:t>
      </w:r>
    </w:p>
    <w:p w14:paraId="63259112" w14:textId="77777777" w:rsidR="008056BC" w:rsidRDefault="008056BC" w:rsidP="008056BC">
      <w:pPr>
        <w:pStyle w:val="ListParagraph"/>
      </w:pPr>
    </w:p>
    <w:p w14:paraId="333B43DF" w14:textId="77777777" w:rsidR="008056BC" w:rsidRDefault="008056BC" w:rsidP="008056BC">
      <w:pPr>
        <w:pStyle w:val="ListParagraph"/>
        <w:numPr>
          <w:ilvl w:val="0"/>
          <w:numId w:val="4"/>
        </w:numPr>
        <w:spacing w:after="200" w:line="276" w:lineRule="auto"/>
      </w:pPr>
      <w:r>
        <w:t>Is there a First-Year Writing course guide (Yes/No)</w:t>
      </w:r>
    </w:p>
    <w:p w14:paraId="03A77DCF" w14:textId="77777777" w:rsidR="008056BC" w:rsidRDefault="008056BC" w:rsidP="008056BC">
      <w:pPr>
        <w:pStyle w:val="ListParagraph"/>
      </w:pPr>
    </w:p>
    <w:p w14:paraId="4B921FBA" w14:textId="36282989" w:rsidR="008056BC" w:rsidRDefault="008056BC" w:rsidP="008056BC">
      <w:pPr>
        <w:pStyle w:val="ListParagraph"/>
        <w:numPr>
          <w:ilvl w:val="0"/>
          <w:numId w:val="4"/>
        </w:numPr>
        <w:spacing w:after="200" w:line="276" w:lineRule="auto"/>
      </w:pPr>
      <w:r>
        <w:t>How many tabs does it have? (If Q3 is Yes)</w:t>
      </w:r>
    </w:p>
    <w:p w14:paraId="3FD7FEE2" w14:textId="77777777" w:rsidR="008056BC" w:rsidRDefault="008056BC" w:rsidP="008056BC">
      <w:pPr>
        <w:pStyle w:val="ListParagraph"/>
      </w:pPr>
    </w:p>
    <w:p w14:paraId="5C59F58C" w14:textId="7160159D" w:rsidR="008056BC" w:rsidRDefault="008056BC" w:rsidP="008056BC">
      <w:pPr>
        <w:pStyle w:val="ListParagraph"/>
        <w:numPr>
          <w:ilvl w:val="0"/>
          <w:numId w:val="4"/>
        </w:numPr>
        <w:spacing w:after="200" w:line="276" w:lineRule="auto"/>
      </w:pPr>
      <w:r>
        <w:t>How are the tabs organized? (If Q4 is more than 1)</w:t>
      </w:r>
    </w:p>
    <w:p w14:paraId="022DE6B6" w14:textId="77777777" w:rsidR="008056BC" w:rsidRDefault="008056BC" w:rsidP="008056BC">
      <w:pPr>
        <w:pStyle w:val="ListParagraph"/>
        <w:numPr>
          <w:ilvl w:val="1"/>
          <w:numId w:val="4"/>
        </w:numPr>
        <w:spacing w:after="200" w:line="276" w:lineRule="auto"/>
      </w:pPr>
      <w:r>
        <w:t>By task</w:t>
      </w:r>
    </w:p>
    <w:p w14:paraId="35F88858" w14:textId="77777777" w:rsidR="008056BC" w:rsidRDefault="008056BC" w:rsidP="008056BC">
      <w:pPr>
        <w:pStyle w:val="ListParagraph"/>
        <w:numPr>
          <w:ilvl w:val="1"/>
          <w:numId w:val="4"/>
        </w:numPr>
        <w:spacing w:after="200" w:line="276" w:lineRule="auto"/>
      </w:pPr>
      <w:r>
        <w:t>by format</w:t>
      </w:r>
    </w:p>
    <w:p w14:paraId="6A452D62" w14:textId="1A924D7B" w:rsidR="00C04025" w:rsidRDefault="008056BC" w:rsidP="008056BC">
      <w:pPr>
        <w:pStyle w:val="ListParagraph"/>
        <w:numPr>
          <w:ilvl w:val="1"/>
          <w:numId w:val="4"/>
        </w:numPr>
        <w:spacing w:after="200" w:line="276" w:lineRule="auto"/>
      </w:pPr>
      <w:r>
        <w:t>other</w:t>
      </w:r>
    </w:p>
    <w:p w14:paraId="2E828FEB" w14:textId="77777777" w:rsidR="008056BC" w:rsidRDefault="008056BC" w:rsidP="00BD49E2">
      <w:pPr>
        <w:pStyle w:val="ListParagraph"/>
        <w:spacing w:after="200" w:line="276" w:lineRule="auto"/>
        <w:ind w:left="1440"/>
      </w:pPr>
    </w:p>
    <w:p w14:paraId="61D7E809" w14:textId="77777777" w:rsidR="008056BC" w:rsidRDefault="008056BC" w:rsidP="008056BC">
      <w:pPr>
        <w:pStyle w:val="ListParagraph"/>
        <w:numPr>
          <w:ilvl w:val="0"/>
          <w:numId w:val="4"/>
        </w:numPr>
        <w:spacing w:after="200" w:line="276" w:lineRule="auto"/>
      </w:pPr>
      <w:r>
        <w:t>Does it link to the Writing Center? (Yes/No)</w:t>
      </w:r>
    </w:p>
    <w:p w14:paraId="32ED8DEB" w14:textId="77777777" w:rsidR="008056BC" w:rsidRDefault="008056BC" w:rsidP="008056BC">
      <w:pPr>
        <w:pStyle w:val="ListParagraph"/>
      </w:pPr>
    </w:p>
    <w:p w14:paraId="5E6A3262" w14:textId="77777777" w:rsidR="008056BC" w:rsidRDefault="008056BC" w:rsidP="008056BC">
      <w:pPr>
        <w:pStyle w:val="ListParagraph"/>
        <w:numPr>
          <w:ilvl w:val="0"/>
          <w:numId w:val="4"/>
        </w:numPr>
        <w:spacing w:after="200" w:line="276" w:lineRule="auto"/>
      </w:pPr>
      <w:r>
        <w:t>Is instructional content included? (Yes/No)</w:t>
      </w:r>
    </w:p>
    <w:p w14:paraId="2B1BB46B" w14:textId="77777777" w:rsidR="008056BC" w:rsidRDefault="008056BC" w:rsidP="008056BC">
      <w:pPr>
        <w:pStyle w:val="ListParagraph"/>
      </w:pPr>
    </w:p>
    <w:p w14:paraId="60E5260A" w14:textId="6BC33069" w:rsidR="008056BC" w:rsidRDefault="008056BC" w:rsidP="008056BC">
      <w:pPr>
        <w:pStyle w:val="ListParagraph"/>
        <w:numPr>
          <w:ilvl w:val="0"/>
          <w:numId w:val="4"/>
        </w:numPr>
        <w:spacing w:after="200" w:line="276" w:lineRule="auto"/>
      </w:pPr>
      <w:r>
        <w:t>What topics or skills are covered? (If Q</w:t>
      </w:r>
      <w:r w:rsidR="00C04025">
        <w:t>7</w:t>
      </w:r>
      <w:r>
        <w:t xml:space="preserve"> is Yes)</w:t>
      </w:r>
    </w:p>
    <w:p w14:paraId="51F13E2D" w14:textId="77777777" w:rsidR="008056BC" w:rsidRDefault="008056BC" w:rsidP="008056BC">
      <w:pPr>
        <w:pStyle w:val="ListParagraph"/>
        <w:numPr>
          <w:ilvl w:val="1"/>
          <w:numId w:val="4"/>
        </w:numPr>
        <w:spacing w:after="200" w:line="276" w:lineRule="auto"/>
      </w:pPr>
      <w:r>
        <w:t>Topic development</w:t>
      </w:r>
    </w:p>
    <w:p w14:paraId="2EEB1772" w14:textId="77777777" w:rsidR="008056BC" w:rsidRDefault="008056BC" w:rsidP="008056BC">
      <w:pPr>
        <w:pStyle w:val="ListParagraph"/>
        <w:numPr>
          <w:ilvl w:val="1"/>
          <w:numId w:val="4"/>
        </w:numPr>
        <w:spacing w:after="200" w:line="276" w:lineRule="auto"/>
      </w:pPr>
      <w:r>
        <w:t>Writing a thesis</w:t>
      </w:r>
    </w:p>
    <w:p w14:paraId="0BEF34C1" w14:textId="77777777" w:rsidR="008056BC" w:rsidRDefault="008056BC" w:rsidP="008056BC">
      <w:pPr>
        <w:pStyle w:val="ListParagraph"/>
        <w:numPr>
          <w:ilvl w:val="1"/>
          <w:numId w:val="4"/>
        </w:numPr>
        <w:spacing w:after="200" w:line="276" w:lineRule="auto"/>
      </w:pPr>
      <w:r>
        <w:t>Using sources</w:t>
      </w:r>
    </w:p>
    <w:p w14:paraId="72C77666" w14:textId="77777777" w:rsidR="008056BC" w:rsidRDefault="008056BC" w:rsidP="008056BC">
      <w:pPr>
        <w:pStyle w:val="ListParagraph"/>
        <w:numPr>
          <w:ilvl w:val="1"/>
          <w:numId w:val="4"/>
        </w:numPr>
        <w:spacing w:after="200" w:line="276" w:lineRule="auto"/>
      </w:pPr>
      <w:r>
        <w:t>Keyword development</w:t>
      </w:r>
    </w:p>
    <w:p w14:paraId="69162049" w14:textId="77777777" w:rsidR="008056BC" w:rsidRDefault="008056BC" w:rsidP="008056BC">
      <w:pPr>
        <w:pStyle w:val="ListParagraph"/>
        <w:numPr>
          <w:ilvl w:val="1"/>
          <w:numId w:val="4"/>
        </w:numPr>
        <w:spacing w:after="200" w:line="276" w:lineRule="auto"/>
      </w:pPr>
      <w:r>
        <w:t>Search strategies</w:t>
      </w:r>
    </w:p>
    <w:p w14:paraId="10E18CD4" w14:textId="77777777" w:rsidR="008056BC" w:rsidRDefault="008056BC" w:rsidP="008056BC">
      <w:pPr>
        <w:pStyle w:val="ListParagraph"/>
        <w:numPr>
          <w:ilvl w:val="1"/>
          <w:numId w:val="4"/>
        </w:numPr>
        <w:spacing w:after="200" w:line="276" w:lineRule="auto"/>
      </w:pPr>
      <w:r>
        <w:t>Evaluating sources</w:t>
      </w:r>
    </w:p>
    <w:p w14:paraId="37E4619B" w14:textId="77777777" w:rsidR="008056BC" w:rsidRDefault="008056BC" w:rsidP="008056BC">
      <w:pPr>
        <w:pStyle w:val="ListParagraph"/>
        <w:numPr>
          <w:ilvl w:val="1"/>
          <w:numId w:val="4"/>
        </w:numPr>
        <w:spacing w:after="200" w:line="276" w:lineRule="auto"/>
      </w:pPr>
      <w:r>
        <w:t>Citing sources</w:t>
      </w:r>
    </w:p>
    <w:p w14:paraId="4F8140D0" w14:textId="77777777" w:rsidR="008056BC" w:rsidRDefault="008056BC" w:rsidP="008056BC">
      <w:pPr>
        <w:pStyle w:val="ListParagraph"/>
        <w:numPr>
          <w:ilvl w:val="1"/>
          <w:numId w:val="4"/>
        </w:numPr>
        <w:spacing w:after="200" w:line="276" w:lineRule="auto"/>
      </w:pPr>
      <w:r>
        <w:t>Popular and scholarly articles</w:t>
      </w:r>
    </w:p>
    <w:p w14:paraId="2CA04CAC" w14:textId="77777777" w:rsidR="008056BC" w:rsidRDefault="008056BC" w:rsidP="008056BC">
      <w:pPr>
        <w:pStyle w:val="ListParagraph"/>
        <w:numPr>
          <w:ilvl w:val="1"/>
          <w:numId w:val="4"/>
        </w:numPr>
        <w:spacing w:after="200" w:line="276" w:lineRule="auto"/>
      </w:pPr>
      <w:r>
        <w:t>Other</w:t>
      </w:r>
    </w:p>
    <w:p w14:paraId="1CAA258C" w14:textId="77777777" w:rsidR="008056BC" w:rsidRDefault="008056BC" w:rsidP="008056BC">
      <w:pPr>
        <w:pStyle w:val="ListParagraph"/>
        <w:ind w:left="1440"/>
      </w:pPr>
    </w:p>
    <w:p w14:paraId="466F3524" w14:textId="3A252634" w:rsidR="008056BC" w:rsidRDefault="008056BC" w:rsidP="008056BC">
      <w:pPr>
        <w:pStyle w:val="ListParagraph"/>
        <w:numPr>
          <w:ilvl w:val="0"/>
          <w:numId w:val="4"/>
        </w:numPr>
        <w:spacing w:after="200" w:line="276" w:lineRule="auto"/>
      </w:pPr>
      <w:r>
        <w:t>What type of instructional content is included? (If Q</w:t>
      </w:r>
      <w:r w:rsidR="00C04025">
        <w:t>7</w:t>
      </w:r>
      <w:r>
        <w:t xml:space="preserve"> is Yes)</w:t>
      </w:r>
    </w:p>
    <w:p w14:paraId="33567248" w14:textId="77777777" w:rsidR="008056BC" w:rsidRDefault="008056BC" w:rsidP="008056BC">
      <w:pPr>
        <w:pStyle w:val="ListParagraph"/>
        <w:numPr>
          <w:ilvl w:val="1"/>
          <w:numId w:val="4"/>
        </w:numPr>
        <w:spacing w:after="200" w:line="276" w:lineRule="auto"/>
      </w:pPr>
      <w:r>
        <w:t>Text</w:t>
      </w:r>
    </w:p>
    <w:p w14:paraId="166B0395" w14:textId="77777777" w:rsidR="008056BC" w:rsidRDefault="008056BC" w:rsidP="008056BC">
      <w:pPr>
        <w:pStyle w:val="ListParagraph"/>
        <w:numPr>
          <w:ilvl w:val="1"/>
          <w:numId w:val="4"/>
        </w:numPr>
        <w:spacing w:after="200" w:line="276" w:lineRule="auto"/>
      </w:pPr>
      <w:r>
        <w:t>Screen shots</w:t>
      </w:r>
    </w:p>
    <w:p w14:paraId="22753349" w14:textId="77777777" w:rsidR="008056BC" w:rsidRDefault="008056BC" w:rsidP="008056BC">
      <w:pPr>
        <w:pStyle w:val="ListParagraph"/>
        <w:numPr>
          <w:ilvl w:val="1"/>
          <w:numId w:val="4"/>
        </w:numPr>
        <w:spacing w:after="200" w:line="276" w:lineRule="auto"/>
      </w:pPr>
      <w:r>
        <w:t>Handouts</w:t>
      </w:r>
    </w:p>
    <w:p w14:paraId="053D4E4A" w14:textId="77777777" w:rsidR="008056BC" w:rsidRDefault="008056BC" w:rsidP="008056BC">
      <w:pPr>
        <w:pStyle w:val="ListParagraph"/>
        <w:numPr>
          <w:ilvl w:val="1"/>
          <w:numId w:val="4"/>
        </w:numPr>
        <w:spacing w:after="200" w:line="276" w:lineRule="auto"/>
      </w:pPr>
      <w:r>
        <w:t>Embedded video</w:t>
      </w:r>
    </w:p>
    <w:p w14:paraId="1BF12D66" w14:textId="77777777" w:rsidR="008056BC" w:rsidRDefault="008056BC" w:rsidP="008056BC">
      <w:pPr>
        <w:pStyle w:val="ListParagraph"/>
        <w:numPr>
          <w:ilvl w:val="1"/>
          <w:numId w:val="4"/>
        </w:numPr>
        <w:spacing w:after="200" w:line="276" w:lineRule="auto"/>
      </w:pPr>
      <w:r>
        <w:t>Link to video</w:t>
      </w:r>
    </w:p>
    <w:p w14:paraId="0E676498" w14:textId="77777777" w:rsidR="008056BC" w:rsidRDefault="008056BC" w:rsidP="008056BC">
      <w:pPr>
        <w:pStyle w:val="ListParagraph"/>
        <w:numPr>
          <w:ilvl w:val="1"/>
          <w:numId w:val="4"/>
        </w:numPr>
        <w:spacing w:after="200" w:line="276" w:lineRule="auto"/>
      </w:pPr>
      <w:r>
        <w:lastRenderedPageBreak/>
        <w:t>Link to another website</w:t>
      </w:r>
    </w:p>
    <w:p w14:paraId="2F8ADA16" w14:textId="77777777" w:rsidR="008056BC" w:rsidRDefault="008056BC" w:rsidP="008056BC">
      <w:pPr>
        <w:pStyle w:val="ListParagraph"/>
        <w:numPr>
          <w:ilvl w:val="1"/>
          <w:numId w:val="4"/>
        </w:numPr>
        <w:spacing w:after="200" w:line="276" w:lineRule="auto"/>
      </w:pPr>
      <w:r>
        <w:t xml:space="preserve">Link to another </w:t>
      </w:r>
      <w:proofErr w:type="spellStart"/>
      <w:r>
        <w:t>LibGuide</w:t>
      </w:r>
      <w:proofErr w:type="spellEnd"/>
    </w:p>
    <w:p w14:paraId="7CDD40AD" w14:textId="77777777" w:rsidR="008056BC" w:rsidRDefault="008056BC" w:rsidP="008056BC">
      <w:pPr>
        <w:pStyle w:val="ListParagraph"/>
        <w:numPr>
          <w:ilvl w:val="1"/>
          <w:numId w:val="4"/>
        </w:numPr>
        <w:spacing w:after="200" w:line="276" w:lineRule="auto"/>
      </w:pPr>
      <w:r>
        <w:t>In-class exercise</w:t>
      </w:r>
    </w:p>
    <w:p w14:paraId="4F072003" w14:textId="77777777" w:rsidR="008056BC" w:rsidRDefault="008056BC" w:rsidP="008056BC">
      <w:pPr>
        <w:pStyle w:val="ListParagraph"/>
        <w:numPr>
          <w:ilvl w:val="1"/>
          <w:numId w:val="4"/>
        </w:numPr>
        <w:spacing w:after="200" w:line="276" w:lineRule="auto"/>
      </w:pPr>
      <w:r>
        <w:t>Out-of-class assignment</w:t>
      </w:r>
    </w:p>
    <w:p w14:paraId="5F63F3F8" w14:textId="77777777" w:rsidR="008056BC" w:rsidRDefault="008056BC" w:rsidP="008056BC">
      <w:pPr>
        <w:pStyle w:val="ListParagraph"/>
        <w:numPr>
          <w:ilvl w:val="1"/>
          <w:numId w:val="4"/>
        </w:numPr>
        <w:spacing w:after="200" w:line="276" w:lineRule="auto"/>
      </w:pPr>
      <w:r>
        <w:t>Other</w:t>
      </w:r>
    </w:p>
    <w:p w14:paraId="18936BFB" w14:textId="77777777" w:rsidR="008056BC" w:rsidRDefault="008056BC" w:rsidP="008056BC">
      <w:pPr>
        <w:pStyle w:val="ListParagraph"/>
        <w:ind w:left="1440"/>
      </w:pPr>
    </w:p>
    <w:p w14:paraId="6AA22B76" w14:textId="77777777" w:rsidR="008056BC" w:rsidRDefault="008056BC" w:rsidP="008056BC">
      <w:pPr>
        <w:pStyle w:val="ListParagraph"/>
        <w:numPr>
          <w:ilvl w:val="0"/>
          <w:numId w:val="4"/>
        </w:numPr>
        <w:spacing w:after="200" w:line="276" w:lineRule="auto"/>
      </w:pPr>
      <w:r>
        <w:t>Are any ACRL Frames addressed? (Yes/No)</w:t>
      </w:r>
    </w:p>
    <w:p w14:paraId="6A6A3F4E" w14:textId="77777777" w:rsidR="008056BC" w:rsidRDefault="008056BC" w:rsidP="008056BC">
      <w:pPr>
        <w:pStyle w:val="ListParagraph"/>
      </w:pPr>
    </w:p>
    <w:p w14:paraId="090B93B1" w14:textId="3E376EAF" w:rsidR="008056BC" w:rsidRDefault="008056BC" w:rsidP="008056BC">
      <w:pPr>
        <w:pStyle w:val="ListParagraph"/>
        <w:numPr>
          <w:ilvl w:val="0"/>
          <w:numId w:val="4"/>
        </w:numPr>
        <w:spacing w:after="200" w:line="276" w:lineRule="auto"/>
      </w:pPr>
      <w:r>
        <w:t>Which ACRL Frames are addressed? (If Q1</w:t>
      </w:r>
      <w:r w:rsidR="00C04025">
        <w:t>0</w:t>
      </w:r>
      <w:r>
        <w:t xml:space="preserve"> is Yes)</w:t>
      </w:r>
    </w:p>
    <w:p w14:paraId="1C2DA68C" w14:textId="77777777" w:rsidR="008056BC" w:rsidRDefault="008056BC" w:rsidP="008056BC">
      <w:pPr>
        <w:pStyle w:val="ListParagraph"/>
        <w:numPr>
          <w:ilvl w:val="1"/>
          <w:numId w:val="4"/>
        </w:numPr>
        <w:spacing w:after="200" w:line="276" w:lineRule="auto"/>
      </w:pPr>
      <w:r>
        <w:t>Authority is constructed and contextual</w:t>
      </w:r>
    </w:p>
    <w:p w14:paraId="1E5B1A02" w14:textId="77777777" w:rsidR="008056BC" w:rsidRDefault="008056BC" w:rsidP="008056BC">
      <w:pPr>
        <w:pStyle w:val="ListParagraph"/>
        <w:numPr>
          <w:ilvl w:val="1"/>
          <w:numId w:val="4"/>
        </w:numPr>
        <w:spacing w:after="200" w:line="276" w:lineRule="auto"/>
      </w:pPr>
      <w:r>
        <w:t>Information creation as process</w:t>
      </w:r>
    </w:p>
    <w:p w14:paraId="28018DB4" w14:textId="77777777" w:rsidR="008056BC" w:rsidRDefault="008056BC" w:rsidP="008056BC">
      <w:pPr>
        <w:pStyle w:val="ListParagraph"/>
        <w:numPr>
          <w:ilvl w:val="1"/>
          <w:numId w:val="4"/>
        </w:numPr>
        <w:spacing w:after="200" w:line="276" w:lineRule="auto"/>
      </w:pPr>
      <w:r>
        <w:t>Information has value</w:t>
      </w:r>
    </w:p>
    <w:p w14:paraId="5EA5F719" w14:textId="77777777" w:rsidR="008056BC" w:rsidRDefault="008056BC" w:rsidP="008056BC">
      <w:pPr>
        <w:pStyle w:val="ListParagraph"/>
        <w:numPr>
          <w:ilvl w:val="1"/>
          <w:numId w:val="4"/>
        </w:numPr>
        <w:spacing w:after="200" w:line="276" w:lineRule="auto"/>
      </w:pPr>
      <w:r>
        <w:t>Research as inquiry</w:t>
      </w:r>
    </w:p>
    <w:p w14:paraId="20056994" w14:textId="77777777" w:rsidR="008056BC" w:rsidRDefault="008056BC" w:rsidP="008056BC">
      <w:pPr>
        <w:pStyle w:val="ListParagraph"/>
        <w:numPr>
          <w:ilvl w:val="1"/>
          <w:numId w:val="4"/>
        </w:numPr>
        <w:spacing w:after="200" w:line="276" w:lineRule="auto"/>
      </w:pPr>
      <w:r>
        <w:t>Scholarship as conversation</w:t>
      </w:r>
    </w:p>
    <w:p w14:paraId="0AB01109" w14:textId="77777777" w:rsidR="008056BC" w:rsidRDefault="008056BC" w:rsidP="008056BC">
      <w:pPr>
        <w:pStyle w:val="ListParagraph"/>
        <w:numPr>
          <w:ilvl w:val="1"/>
          <w:numId w:val="4"/>
        </w:numPr>
        <w:spacing w:after="200" w:line="276" w:lineRule="auto"/>
      </w:pPr>
      <w:r>
        <w:t>Searching as strategic exploration</w:t>
      </w:r>
    </w:p>
    <w:p w14:paraId="1F8A3793" w14:textId="77777777" w:rsidR="008056BC" w:rsidRDefault="008056BC" w:rsidP="008056BC">
      <w:pPr>
        <w:pStyle w:val="ListParagraph"/>
        <w:ind w:left="1440"/>
      </w:pPr>
    </w:p>
    <w:p w14:paraId="1482C9D0" w14:textId="77777777" w:rsidR="008056BC" w:rsidRDefault="008056BC" w:rsidP="008056BC">
      <w:pPr>
        <w:pStyle w:val="ListParagraph"/>
        <w:numPr>
          <w:ilvl w:val="0"/>
          <w:numId w:val="4"/>
        </w:numPr>
        <w:spacing w:after="200" w:line="276" w:lineRule="auto"/>
      </w:pPr>
      <w:r>
        <w:t>Anything else of note?</w:t>
      </w:r>
    </w:p>
    <w:p w14:paraId="4B920B06" w14:textId="77777777" w:rsidR="008056BC" w:rsidRPr="008056BC" w:rsidRDefault="008056BC" w:rsidP="008056BC"/>
    <w:p w14:paraId="0BA3AAC8" w14:textId="66732B1C" w:rsidR="009A2479" w:rsidRDefault="009A2479" w:rsidP="009A3482"/>
    <w:p w14:paraId="20DB678A" w14:textId="77777777" w:rsidR="009A2479" w:rsidRDefault="009A2479" w:rsidP="009A3482"/>
    <w:p w14:paraId="47EF2277" w14:textId="0C3CA151" w:rsidR="00676FC4" w:rsidRDefault="00676FC4" w:rsidP="009A3482"/>
    <w:p w14:paraId="2244CB6C" w14:textId="6318B430" w:rsidR="00DD7DF9" w:rsidRDefault="00DD7DF9" w:rsidP="009A3482"/>
    <w:p w14:paraId="48BC0EEF" w14:textId="77777777" w:rsidR="00ED20C4" w:rsidRDefault="00ED20C4" w:rsidP="009A3482"/>
    <w:p w14:paraId="52EC790C" w14:textId="77777777" w:rsidR="00ED20C4" w:rsidRDefault="00ED20C4" w:rsidP="009A3482"/>
    <w:p w14:paraId="54ECB220" w14:textId="77777777" w:rsidR="00ED20C4" w:rsidRDefault="00ED20C4" w:rsidP="009A3482"/>
    <w:p w14:paraId="177A5DA1" w14:textId="77777777" w:rsidR="00ED20C4" w:rsidRDefault="00ED20C4" w:rsidP="009A3482"/>
    <w:p w14:paraId="4C66A176" w14:textId="77777777" w:rsidR="00ED20C4" w:rsidRDefault="00ED20C4" w:rsidP="009A3482"/>
    <w:p w14:paraId="184CF9A5" w14:textId="77777777" w:rsidR="00ED20C4" w:rsidRDefault="00ED20C4" w:rsidP="009A3482"/>
    <w:p w14:paraId="5C11F73F" w14:textId="77777777" w:rsidR="00ED20C4" w:rsidRDefault="00ED20C4" w:rsidP="009A3482"/>
    <w:p w14:paraId="38471097" w14:textId="77777777" w:rsidR="00ED20C4" w:rsidRDefault="00ED20C4" w:rsidP="009A3482"/>
    <w:p w14:paraId="19544F7E" w14:textId="77777777" w:rsidR="00ED20C4" w:rsidRDefault="00ED20C4" w:rsidP="009A3482"/>
    <w:p w14:paraId="527A580F" w14:textId="77777777" w:rsidR="00ED20C4" w:rsidRDefault="00ED20C4" w:rsidP="009A3482"/>
    <w:p w14:paraId="3A9115A2" w14:textId="77777777" w:rsidR="00ED20C4" w:rsidRDefault="00ED20C4" w:rsidP="009A3482"/>
    <w:p w14:paraId="6AF7CE0D" w14:textId="77777777" w:rsidR="00ED20C4" w:rsidRDefault="00ED20C4" w:rsidP="009A3482"/>
    <w:p w14:paraId="3FA8BFA2" w14:textId="77777777" w:rsidR="00ED20C4" w:rsidRDefault="00ED20C4" w:rsidP="009A3482"/>
    <w:p w14:paraId="47CC8DE1" w14:textId="77777777" w:rsidR="00ED20C4" w:rsidRDefault="00ED20C4" w:rsidP="009A3482"/>
    <w:p w14:paraId="0D6BDD63" w14:textId="77777777" w:rsidR="00ED20C4" w:rsidRDefault="00ED20C4" w:rsidP="009A3482"/>
    <w:p w14:paraId="7E18E0F9" w14:textId="77777777" w:rsidR="00ED20C4" w:rsidRDefault="00ED20C4" w:rsidP="009A3482"/>
    <w:p w14:paraId="1B7BB1A3" w14:textId="77777777" w:rsidR="00ED20C4" w:rsidRDefault="00ED20C4" w:rsidP="009A3482"/>
    <w:p w14:paraId="735A7362" w14:textId="77777777" w:rsidR="00ED20C4" w:rsidRDefault="00ED20C4" w:rsidP="009A3482"/>
    <w:p w14:paraId="70096724" w14:textId="77777777" w:rsidR="00ED20C4" w:rsidRDefault="00ED20C4" w:rsidP="009A3482"/>
    <w:p w14:paraId="33C6C9B0" w14:textId="77777777" w:rsidR="00ED20C4" w:rsidRDefault="00ED20C4" w:rsidP="009A3482"/>
    <w:p w14:paraId="6C343748" w14:textId="77777777" w:rsidR="00ED20C4" w:rsidRDefault="00ED20C4" w:rsidP="009A3482"/>
    <w:p w14:paraId="2A39B6E6" w14:textId="77777777" w:rsidR="00ED20C4" w:rsidRDefault="00ED20C4" w:rsidP="009A3482"/>
    <w:p w14:paraId="301B9BBC" w14:textId="77777777" w:rsidR="008056BC" w:rsidRDefault="008056BC" w:rsidP="009A3482"/>
    <w:sectPr w:rsidR="008056BC" w:rsidSect="008145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A170" w14:textId="77777777" w:rsidR="00CE12C2" w:rsidRDefault="00CE12C2" w:rsidP="00837079">
      <w:r>
        <w:separator/>
      </w:r>
    </w:p>
  </w:endnote>
  <w:endnote w:type="continuationSeparator" w:id="0">
    <w:p w14:paraId="4B605F4A" w14:textId="77777777" w:rsidR="00CE12C2" w:rsidRDefault="00CE12C2" w:rsidP="0083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1F30" w14:textId="77777777" w:rsidR="00620BFB" w:rsidRDefault="00620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FA05" w14:textId="77777777" w:rsidR="00620BFB" w:rsidRDefault="00620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7A6B" w14:textId="77777777" w:rsidR="00620BFB" w:rsidRDefault="00620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66E2" w14:textId="77777777" w:rsidR="00CE12C2" w:rsidRDefault="00CE12C2" w:rsidP="00837079">
      <w:r>
        <w:separator/>
      </w:r>
    </w:p>
  </w:footnote>
  <w:footnote w:type="continuationSeparator" w:id="0">
    <w:p w14:paraId="7EB76A70" w14:textId="77777777" w:rsidR="00CE12C2" w:rsidRDefault="00CE12C2" w:rsidP="0083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4537" w14:textId="77777777" w:rsidR="00620BFB" w:rsidRDefault="00620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A022" w14:textId="77777777" w:rsidR="00620BFB" w:rsidRDefault="00620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71FD" w14:textId="77777777" w:rsidR="00620BFB" w:rsidRDefault="00620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A5A"/>
    <w:multiLevelType w:val="hybridMultilevel"/>
    <w:tmpl w:val="04C2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37E6D"/>
    <w:multiLevelType w:val="hybridMultilevel"/>
    <w:tmpl w:val="EF7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93EB6"/>
    <w:multiLevelType w:val="hybridMultilevel"/>
    <w:tmpl w:val="04C2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13A82"/>
    <w:multiLevelType w:val="hybridMultilevel"/>
    <w:tmpl w:val="45A8D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86E"/>
    <w:rsid w:val="000045B3"/>
    <w:rsid w:val="00004B30"/>
    <w:rsid w:val="00007180"/>
    <w:rsid w:val="000152E9"/>
    <w:rsid w:val="00016E9A"/>
    <w:rsid w:val="00032555"/>
    <w:rsid w:val="0003395C"/>
    <w:rsid w:val="000353F6"/>
    <w:rsid w:val="00042B48"/>
    <w:rsid w:val="0004421F"/>
    <w:rsid w:val="00055F6B"/>
    <w:rsid w:val="00057779"/>
    <w:rsid w:val="00060E49"/>
    <w:rsid w:val="00063131"/>
    <w:rsid w:val="00067B51"/>
    <w:rsid w:val="00072D39"/>
    <w:rsid w:val="00087935"/>
    <w:rsid w:val="0009497E"/>
    <w:rsid w:val="000951CB"/>
    <w:rsid w:val="000A20BD"/>
    <w:rsid w:val="000A3229"/>
    <w:rsid w:val="000A50DC"/>
    <w:rsid w:val="000A5D63"/>
    <w:rsid w:val="000A7A09"/>
    <w:rsid w:val="000A7A91"/>
    <w:rsid w:val="000B3B34"/>
    <w:rsid w:val="000C4204"/>
    <w:rsid w:val="000D129C"/>
    <w:rsid w:val="000E2511"/>
    <w:rsid w:val="000E4859"/>
    <w:rsid w:val="000F36B7"/>
    <w:rsid w:val="000F6042"/>
    <w:rsid w:val="001041C2"/>
    <w:rsid w:val="001076CB"/>
    <w:rsid w:val="001141FB"/>
    <w:rsid w:val="00115A87"/>
    <w:rsid w:val="0012529B"/>
    <w:rsid w:val="001274E2"/>
    <w:rsid w:val="00130076"/>
    <w:rsid w:val="00132637"/>
    <w:rsid w:val="0013715D"/>
    <w:rsid w:val="00137E4F"/>
    <w:rsid w:val="0014665B"/>
    <w:rsid w:val="001507BD"/>
    <w:rsid w:val="00154009"/>
    <w:rsid w:val="001626B1"/>
    <w:rsid w:val="00166A27"/>
    <w:rsid w:val="001677D6"/>
    <w:rsid w:val="00170723"/>
    <w:rsid w:val="001745C5"/>
    <w:rsid w:val="00185D7A"/>
    <w:rsid w:val="00191D8D"/>
    <w:rsid w:val="0019395D"/>
    <w:rsid w:val="001A42AD"/>
    <w:rsid w:val="001A5255"/>
    <w:rsid w:val="001B0F73"/>
    <w:rsid w:val="001B2615"/>
    <w:rsid w:val="001C501E"/>
    <w:rsid w:val="001C6DC7"/>
    <w:rsid w:val="001D6CA1"/>
    <w:rsid w:val="001D6D48"/>
    <w:rsid w:val="001E031F"/>
    <w:rsid w:val="001E5A23"/>
    <w:rsid w:val="001F76C2"/>
    <w:rsid w:val="0020273D"/>
    <w:rsid w:val="002038DF"/>
    <w:rsid w:val="00205F27"/>
    <w:rsid w:val="00206164"/>
    <w:rsid w:val="002108C4"/>
    <w:rsid w:val="0021114E"/>
    <w:rsid w:val="002126A0"/>
    <w:rsid w:val="00215E1F"/>
    <w:rsid w:val="00232BF6"/>
    <w:rsid w:val="00244A04"/>
    <w:rsid w:val="00263782"/>
    <w:rsid w:val="00264D6B"/>
    <w:rsid w:val="00275DC1"/>
    <w:rsid w:val="00276631"/>
    <w:rsid w:val="00284B9F"/>
    <w:rsid w:val="0028555E"/>
    <w:rsid w:val="0028598A"/>
    <w:rsid w:val="002A6FB7"/>
    <w:rsid w:val="002B1E00"/>
    <w:rsid w:val="002B5445"/>
    <w:rsid w:val="002B6186"/>
    <w:rsid w:val="002B79DA"/>
    <w:rsid w:val="002D1462"/>
    <w:rsid w:val="002E0078"/>
    <w:rsid w:val="002E099E"/>
    <w:rsid w:val="002E3699"/>
    <w:rsid w:val="002E6956"/>
    <w:rsid w:val="002F0AAB"/>
    <w:rsid w:val="002F3979"/>
    <w:rsid w:val="002F62C4"/>
    <w:rsid w:val="00303F40"/>
    <w:rsid w:val="00304149"/>
    <w:rsid w:val="00311710"/>
    <w:rsid w:val="00311BB7"/>
    <w:rsid w:val="00313656"/>
    <w:rsid w:val="0032009B"/>
    <w:rsid w:val="003221E9"/>
    <w:rsid w:val="00324D72"/>
    <w:rsid w:val="00325026"/>
    <w:rsid w:val="0032674B"/>
    <w:rsid w:val="003320ED"/>
    <w:rsid w:val="00334796"/>
    <w:rsid w:val="0033656F"/>
    <w:rsid w:val="003368E2"/>
    <w:rsid w:val="003405AB"/>
    <w:rsid w:val="00340F35"/>
    <w:rsid w:val="0034184E"/>
    <w:rsid w:val="003650B5"/>
    <w:rsid w:val="003738F9"/>
    <w:rsid w:val="00374605"/>
    <w:rsid w:val="0037605E"/>
    <w:rsid w:val="0037787A"/>
    <w:rsid w:val="0038484D"/>
    <w:rsid w:val="00384BB9"/>
    <w:rsid w:val="00384CB7"/>
    <w:rsid w:val="003B4261"/>
    <w:rsid w:val="003C1B32"/>
    <w:rsid w:val="003C47E5"/>
    <w:rsid w:val="003C4B22"/>
    <w:rsid w:val="003C677D"/>
    <w:rsid w:val="003C71DA"/>
    <w:rsid w:val="003D30A0"/>
    <w:rsid w:val="003D6F73"/>
    <w:rsid w:val="003E267C"/>
    <w:rsid w:val="003E4261"/>
    <w:rsid w:val="003E77F7"/>
    <w:rsid w:val="003F2170"/>
    <w:rsid w:val="004059A3"/>
    <w:rsid w:val="0040789C"/>
    <w:rsid w:val="004172DC"/>
    <w:rsid w:val="00422B66"/>
    <w:rsid w:val="00424BBF"/>
    <w:rsid w:val="00437B2E"/>
    <w:rsid w:val="00442D25"/>
    <w:rsid w:val="0044464A"/>
    <w:rsid w:val="004461BF"/>
    <w:rsid w:val="0044732F"/>
    <w:rsid w:val="0044741A"/>
    <w:rsid w:val="00447F56"/>
    <w:rsid w:val="00451EF9"/>
    <w:rsid w:val="00455023"/>
    <w:rsid w:val="00456695"/>
    <w:rsid w:val="004567AB"/>
    <w:rsid w:val="004639D1"/>
    <w:rsid w:val="004651D6"/>
    <w:rsid w:val="0047626C"/>
    <w:rsid w:val="00477E99"/>
    <w:rsid w:val="00481968"/>
    <w:rsid w:val="00482928"/>
    <w:rsid w:val="00490328"/>
    <w:rsid w:val="00491E70"/>
    <w:rsid w:val="004A6403"/>
    <w:rsid w:val="004B2CBE"/>
    <w:rsid w:val="004B3D91"/>
    <w:rsid w:val="004B61DE"/>
    <w:rsid w:val="004B7C65"/>
    <w:rsid w:val="004C04E8"/>
    <w:rsid w:val="004C14F9"/>
    <w:rsid w:val="004C4503"/>
    <w:rsid w:val="004D1420"/>
    <w:rsid w:val="004D1512"/>
    <w:rsid w:val="004D2A36"/>
    <w:rsid w:val="004D2B68"/>
    <w:rsid w:val="004D3D8E"/>
    <w:rsid w:val="004D69D6"/>
    <w:rsid w:val="004E6B7C"/>
    <w:rsid w:val="004F7A53"/>
    <w:rsid w:val="00500C62"/>
    <w:rsid w:val="0050382D"/>
    <w:rsid w:val="005039A1"/>
    <w:rsid w:val="00513B34"/>
    <w:rsid w:val="005163B1"/>
    <w:rsid w:val="0051710F"/>
    <w:rsid w:val="005265F1"/>
    <w:rsid w:val="005300FB"/>
    <w:rsid w:val="00532641"/>
    <w:rsid w:val="005347B7"/>
    <w:rsid w:val="0053774C"/>
    <w:rsid w:val="00544D88"/>
    <w:rsid w:val="00552D88"/>
    <w:rsid w:val="0055626C"/>
    <w:rsid w:val="00557543"/>
    <w:rsid w:val="00557EC0"/>
    <w:rsid w:val="005605B5"/>
    <w:rsid w:val="00567D9C"/>
    <w:rsid w:val="00577A91"/>
    <w:rsid w:val="0058674D"/>
    <w:rsid w:val="00592920"/>
    <w:rsid w:val="0059368F"/>
    <w:rsid w:val="005A021B"/>
    <w:rsid w:val="005B011F"/>
    <w:rsid w:val="005C1175"/>
    <w:rsid w:val="005C3D8F"/>
    <w:rsid w:val="005C4765"/>
    <w:rsid w:val="005C4A8E"/>
    <w:rsid w:val="005E0BEE"/>
    <w:rsid w:val="005F211F"/>
    <w:rsid w:val="005F37C8"/>
    <w:rsid w:val="005F4B86"/>
    <w:rsid w:val="005F74CB"/>
    <w:rsid w:val="005F7F54"/>
    <w:rsid w:val="00606CF2"/>
    <w:rsid w:val="00610A38"/>
    <w:rsid w:val="00620BFB"/>
    <w:rsid w:val="00620DF3"/>
    <w:rsid w:val="00622AA5"/>
    <w:rsid w:val="00622FF3"/>
    <w:rsid w:val="00626B6E"/>
    <w:rsid w:val="00631AE2"/>
    <w:rsid w:val="0063516E"/>
    <w:rsid w:val="006367F9"/>
    <w:rsid w:val="006514CF"/>
    <w:rsid w:val="00651B1B"/>
    <w:rsid w:val="0065364B"/>
    <w:rsid w:val="00656F6F"/>
    <w:rsid w:val="00660568"/>
    <w:rsid w:val="006605D8"/>
    <w:rsid w:val="00663F9F"/>
    <w:rsid w:val="00676FC4"/>
    <w:rsid w:val="00681FA2"/>
    <w:rsid w:val="00682552"/>
    <w:rsid w:val="00684616"/>
    <w:rsid w:val="006879BA"/>
    <w:rsid w:val="0069416F"/>
    <w:rsid w:val="00694C4C"/>
    <w:rsid w:val="006A29EE"/>
    <w:rsid w:val="006A5123"/>
    <w:rsid w:val="006A590B"/>
    <w:rsid w:val="006D1ACF"/>
    <w:rsid w:val="006D29C6"/>
    <w:rsid w:val="006D7863"/>
    <w:rsid w:val="006E058A"/>
    <w:rsid w:val="006E0FA1"/>
    <w:rsid w:val="006F25CC"/>
    <w:rsid w:val="006F739D"/>
    <w:rsid w:val="00704B92"/>
    <w:rsid w:val="00704FC9"/>
    <w:rsid w:val="00707E8F"/>
    <w:rsid w:val="00737A2D"/>
    <w:rsid w:val="007403E2"/>
    <w:rsid w:val="00742EC2"/>
    <w:rsid w:val="007603F2"/>
    <w:rsid w:val="0076446B"/>
    <w:rsid w:val="007723D3"/>
    <w:rsid w:val="00773271"/>
    <w:rsid w:val="00773B38"/>
    <w:rsid w:val="0077684B"/>
    <w:rsid w:val="007934DB"/>
    <w:rsid w:val="00794AC9"/>
    <w:rsid w:val="007974C4"/>
    <w:rsid w:val="007A05F8"/>
    <w:rsid w:val="007A38EC"/>
    <w:rsid w:val="007A43F8"/>
    <w:rsid w:val="007A5ACE"/>
    <w:rsid w:val="007C1C97"/>
    <w:rsid w:val="007C660E"/>
    <w:rsid w:val="007E62CA"/>
    <w:rsid w:val="007F7DB6"/>
    <w:rsid w:val="0080076D"/>
    <w:rsid w:val="008056BC"/>
    <w:rsid w:val="0080694A"/>
    <w:rsid w:val="00811710"/>
    <w:rsid w:val="00814486"/>
    <w:rsid w:val="008145FF"/>
    <w:rsid w:val="00815852"/>
    <w:rsid w:val="00823E5A"/>
    <w:rsid w:val="00824555"/>
    <w:rsid w:val="00833E95"/>
    <w:rsid w:val="00837079"/>
    <w:rsid w:val="0085227F"/>
    <w:rsid w:val="00852F13"/>
    <w:rsid w:val="00853CBA"/>
    <w:rsid w:val="00862AE2"/>
    <w:rsid w:val="008631DF"/>
    <w:rsid w:val="00873974"/>
    <w:rsid w:val="008820A5"/>
    <w:rsid w:val="008A4970"/>
    <w:rsid w:val="008A5E9F"/>
    <w:rsid w:val="008C47CA"/>
    <w:rsid w:val="008C6878"/>
    <w:rsid w:val="008D0BA4"/>
    <w:rsid w:val="008D3BA1"/>
    <w:rsid w:val="008D416F"/>
    <w:rsid w:val="008E1F62"/>
    <w:rsid w:val="008F1D32"/>
    <w:rsid w:val="008F1E99"/>
    <w:rsid w:val="008F3EA7"/>
    <w:rsid w:val="009005F3"/>
    <w:rsid w:val="0090486E"/>
    <w:rsid w:val="00921E48"/>
    <w:rsid w:val="009239DE"/>
    <w:rsid w:val="009305E6"/>
    <w:rsid w:val="009315C9"/>
    <w:rsid w:val="00936EFC"/>
    <w:rsid w:val="00942A16"/>
    <w:rsid w:val="00946556"/>
    <w:rsid w:val="00947D11"/>
    <w:rsid w:val="00950EFC"/>
    <w:rsid w:val="00956699"/>
    <w:rsid w:val="00957164"/>
    <w:rsid w:val="00965402"/>
    <w:rsid w:val="0096771F"/>
    <w:rsid w:val="00972E6C"/>
    <w:rsid w:val="00977146"/>
    <w:rsid w:val="00987157"/>
    <w:rsid w:val="009925F7"/>
    <w:rsid w:val="009956F4"/>
    <w:rsid w:val="009A2479"/>
    <w:rsid w:val="009A3482"/>
    <w:rsid w:val="009A3A0A"/>
    <w:rsid w:val="009A4FE9"/>
    <w:rsid w:val="009A5324"/>
    <w:rsid w:val="009A5656"/>
    <w:rsid w:val="009B1F2E"/>
    <w:rsid w:val="009B5AB2"/>
    <w:rsid w:val="009D0FF8"/>
    <w:rsid w:val="009D522C"/>
    <w:rsid w:val="009D7F12"/>
    <w:rsid w:val="009F0A75"/>
    <w:rsid w:val="00A01122"/>
    <w:rsid w:val="00A01A85"/>
    <w:rsid w:val="00A024A0"/>
    <w:rsid w:val="00A12B42"/>
    <w:rsid w:val="00A13289"/>
    <w:rsid w:val="00A13A7B"/>
    <w:rsid w:val="00A1703C"/>
    <w:rsid w:val="00A22D0F"/>
    <w:rsid w:val="00A32527"/>
    <w:rsid w:val="00A3384C"/>
    <w:rsid w:val="00A33CCC"/>
    <w:rsid w:val="00A41F40"/>
    <w:rsid w:val="00A51C76"/>
    <w:rsid w:val="00A56994"/>
    <w:rsid w:val="00A56AF3"/>
    <w:rsid w:val="00A638F8"/>
    <w:rsid w:val="00A6503C"/>
    <w:rsid w:val="00A66C45"/>
    <w:rsid w:val="00A72894"/>
    <w:rsid w:val="00A75DD7"/>
    <w:rsid w:val="00A76856"/>
    <w:rsid w:val="00A82072"/>
    <w:rsid w:val="00A8782D"/>
    <w:rsid w:val="00A91C77"/>
    <w:rsid w:val="00AA16C5"/>
    <w:rsid w:val="00AA28D7"/>
    <w:rsid w:val="00AC59B7"/>
    <w:rsid w:val="00AC74E9"/>
    <w:rsid w:val="00AD5A71"/>
    <w:rsid w:val="00AF3FCB"/>
    <w:rsid w:val="00B0115D"/>
    <w:rsid w:val="00B05831"/>
    <w:rsid w:val="00B07D08"/>
    <w:rsid w:val="00B141B9"/>
    <w:rsid w:val="00B208FE"/>
    <w:rsid w:val="00B21356"/>
    <w:rsid w:val="00B337A5"/>
    <w:rsid w:val="00B36B54"/>
    <w:rsid w:val="00B37913"/>
    <w:rsid w:val="00B40369"/>
    <w:rsid w:val="00B42CE3"/>
    <w:rsid w:val="00B7209A"/>
    <w:rsid w:val="00B74417"/>
    <w:rsid w:val="00B76412"/>
    <w:rsid w:val="00B76BD4"/>
    <w:rsid w:val="00B817E8"/>
    <w:rsid w:val="00B8231C"/>
    <w:rsid w:val="00B82D36"/>
    <w:rsid w:val="00B84093"/>
    <w:rsid w:val="00BA678A"/>
    <w:rsid w:val="00BB19B8"/>
    <w:rsid w:val="00BC638F"/>
    <w:rsid w:val="00BD38FF"/>
    <w:rsid w:val="00BD49E2"/>
    <w:rsid w:val="00BD50E7"/>
    <w:rsid w:val="00BD5E41"/>
    <w:rsid w:val="00BD6F9B"/>
    <w:rsid w:val="00BD7551"/>
    <w:rsid w:val="00BE2181"/>
    <w:rsid w:val="00BE5EB8"/>
    <w:rsid w:val="00BF49AF"/>
    <w:rsid w:val="00C04025"/>
    <w:rsid w:val="00C04BBF"/>
    <w:rsid w:val="00C13CB8"/>
    <w:rsid w:val="00C16F86"/>
    <w:rsid w:val="00C20F10"/>
    <w:rsid w:val="00C22013"/>
    <w:rsid w:val="00C226B3"/>
    <w:rsid w:val="00C232AE"/>
    <w:rsid w:val="00C26A45"/>
    <w:rsid w:val="00C3053D"/>
    <w:rsid w:val="00C31ABA"/>
    <w:rsid w:val="00C5037B"/>
    <w:rsid w:val="00C54705"/>
    <w:rsid w:val="00C62AB8"/>
    <w:rsid w:val="00C746C3"/>
    <w:rsid w:val="00C77801"/>
    <w:rsid w:val="00C86E65"/>
    <w:rsid w:val="00C90EEE"/>
    <w:rsid w:val="00C958B9"/>
    <w:rsid w:val="00C96C3C"/>
    <w:rsid w:val="00CA21E5"/>
    <w:rsid w:val="00CA6280"/>
    <w:rsid w:val="00CB3654"/>
    <w:rsid w:val="00CC7AB4"/>
    <w:rsid w:val="00CD22C2"/>
    <w:rsid w:val="00CE12C2"/>
    <w:rsid w:val="00CE26FA"/>
    <w:rsid w:val="00CE3A47"/>
    <w:rsid w:val="00CF2CA6"/>
    <w:rsid w:val="00D043CE"/>
    <w:rsid w:val="00D158FA"/>
    <w:rsid w:val="00D21976"/>
    <w:rsid w:val="00D26C52"/>
    <w:rsid w:val="00D26D81"/>
    <w:rsid w:val="00D30BF6"/>
    <w:rsid w:val="00D33300"/>
    <w:rsid w:val="00D34E89"/>
    <w:rsid w:val="00D41304"/>
    <w:rsid w:val="00D41C83"/>
    <w:rsid w:val="00D51A80"/>
    <w:rsid w:val="00D5263F"/>
    <w:rsid w:val="00D54111"/>
    <w:rsid w:val="00D824B0"/>
    <w:rsid w:val="00D91C6C"/>
    <w:rsid w:val="00DA22BB"/>
    <w:rsid w:val="00DC2008"/>
    <w:rsid w:val="00DC2057"/>
    <w:rsid w:val="00DC4D45"/>
    <w:rsid w:val="00DD68DF"/>
    <w:rsid w:val="00DD7D64"/>
    <w:rsid w:val="00DD7DF9"/>
    <w:rsid w:val="00DE5AD5"/>
    <w:rsid w:val="00E10904"/>
    <w:rsid w:val="00E13B76"/>
    <w:rsid w:val="00E150A8"/>
    <w:rsid w:val="00E17E1F"/>
    <w:rsid w:val="00E325F0"/>
    <w:rsid w:val="00E408B4"/>
    <w:rsid w:val="00E46137"/>
    <w:rsid w:val="00E542F7"/>
    <w:rsid w:val="00E56746"/>
    <w:rsid w:val="00E61E9F"/>
    <w:rsid w:val="00E63813"/>
    <w:rsid w:val="00E7503D"/>
    <w:rsid w:val="00E83B21"/>
    <w:rsid w:val="00E842D9"/>
    <w:rsid w:val="00E86C54"/>
    <w:rsid w:val="00E87BAB"/>
    <w:rsid w:val="00E90F4F"/>
    <w:rsid w:val="00E916DD"/>
    <w:rsid w:val="00E9324B"/>
    <w:rsid w:val="00E9592A"/>
    <w:rsid w:val="00EB1536"/>
    <w:rsid w:val="00EB26A1"/>
    <w:rsid w:val="00EB3E0E"/>
    <w:rsid w:val="00EC257F"/>
    <w:rsid w:val="00ED20C4"/>
    <w:rsid w:val="00ED52EF"/>
    <w:rsid w:val="00EE407B"/>
    <w:rsid w:val="00EF1BE8"/>
    <w:rsid w:val="00EF7EF4"/>
    <w:rsid w:val="00F016E8"/>
    <w:rsid w:val="00F06A8A"/>
    <w:rsid w:val="00F07D3B"/>
    <w:rsid w:val="00F11001"/>
    <w:rsid w:val="00F122F3"/>
    <w:rsid w:val="00F2075C"/>
    <w:rsid w:val="00F2538A"/>
    <w:rsid w:val="00F25489"/>
    <w:rsid w:val="00F26DCC"/>
    <w:rsid w:val="00F33197"/>
    <w:rsid w:val="00F33B91"/>
    <w:rsid w:val="00F4037D"/>
    <w:rsid w:val="00F42991"/>
    <w:rsid w:val="00F500E2"/>
    <w:rsid w:val="00F50439"/>
    <w:rsid w:val="00F55C8D"/>
    <w:rsid w:val="00F571CC"/>
    <w:rsid w:val="00F61E79"/>
    <w:rsid w:val="00F66B34"/>
    <w:rsid w:val="00F67F51"/>
    <w:rsid w:val="00F75994"/>
    <w:rsid w:val="00F76147"/>
    <w:rsid w:val="00F94EE9"/>
    <w:rsid w:val="00FA007C"/>
    <w:rsid w:val="00FA282F"/>
    <w:rsid w:val="00FB29C5"/>
    <w:rsid w:val="00FB2BA4"/>
    <w:rsid w:val="00FB6E3A"/>
    <w:rsid w:val="00FC072F"/>
    <w:rsid w:val="00FC29E0"/>
    <w:rsid w:val="00FC404D"/>
    <w:rsid w:val="00FC58CD"/>
    <w:rsid w:val="00FC68EB"/>
    <w:rsid w:val="00FC7D9B"/>
    <w:rsid w:val="00FD20BF"/>
    <w:rsid w:val="00FD446F"/>
    <w:rsid w:val="00FD4864"/>
    <w:rsid w:val="00FE740B"/>
    <w:rsid w:val="00FF2712"/>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9958"/>
  <w14:defaultImageDpi w14:val="32767"/>
  <w15:docId w15:val="{8456DC76-D90A-CE4A-9DB3-34A460BB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75"/>
    <w:pPr>
      <w:ind w:left="720"/>
      <w:contextualSpacing/>
    </w:pPr>
  </w:style>
  <w:style w:type="paragraph" w:styleId="BalloonText">
    <w:name w:val="Balloon Text"/>
    <w:basedOn w:val="Normal"/>
    <w:link w:val="BalloonTextChar"/>
    <w:uiPriority w:val="99"/>
    <w:semiHidden/>
    <w:unhideWhenUsed/>
    <w:rsid w:val="002F3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79"/>
    <w:rPr>
      <w:rFonts w:ascii="Segoe UI" w:hAnsi="Segoe UI" w:cs="Segoe UI"/>
      <w:sz w:val="18"/>
      <w:szCs w:val="18"/>
    </w:rPr>
  </w:style>
  <w:style w:type="table" w:customStyle="1" w:styleId="GridTable2-Accent11">
    <w:name w:val="Grid Table 2 - Accent 11"/>
    <w:basedOn w:val="TableNormal"/>
    <w:uiPriority w:val="47"/>
    <w:rsid w:val="00950EF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0E251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eNormal"/>
    <w:uiPriority w:val="46"/>
    <w:rsid w:val="000E251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E251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E251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84BB9"/>
    <w:rPr>
      <w:color w:val="0563C1" w:themeColor="hyperlink"/>
      <w:u w:val="single"/>
    </w:rPr>
  </w:style>
  <w:style w:type="character" w:styleId="CommentReference">
    <w:name w:val="annotation reference"/>
    <w:basedOn w:val="DefaultParagraphFont"/>
    <w:uiPriority w:val="99"/>
    <w:semiHidden/>
    <w:unhideWhenUsed/>
    <w:rsid w:val="004A6403"/>
    <w:rPr>
      <w:sz w:val="18"/>
      <w:szCs w:val="18"/>
    </w:rPr>
  </w:style>
  <w:style w:type="paragraph" w:styleId="CommentText">
    <w:name w:val="annotation text"/>
    <w:basedOn w:val="Normal"/>
    <w:link w:val="CommentTextChar"/>
    <w:uiPriority w:val="99"/>
    <w:semiHidden/>
    <w:unhideWhenUsed/>
    <w:rsid w:val="004A6403"/>
  </w:style>
  <w:style w:type="character" w:customStyle="1" w:styleId="CommentTextChar">
    <w:name w:val="Comment Text Char"/>
    <w:basedOn w:val="DefaultParagraphFont"/>
    <w:link w:val="CommentText"/>
    <w:uiPriority w:val="99"/>
    <w:semiHidden/>
    <w:rsid w:val="004A6403"/>
  </w:style>
  <w:style w:type="paragraph" w:styleId="CommentSubject">
    <w:name w:val="annotation subject"/>
    <w:basedOn w:val="CommentText"/>
    <w:next w:val="CommentText"/>
    <w:link w:val="CommentSubjectChar"/>
    <w:uiPriority w:val="99"/>
    <w:semiHidden/>
    <w:unhideWhenUsed/>
    <w:rsid w:val="004A6403"/>
    <w:rPr>
      <w:b/>
      <w:bCs/>
      <w:sz w:val="20"/>
      <w:szCs w:val="20"/>
    </w:rPr>
  </w:style>
  <w:style w:type="character" w:customStyle="1" w:styleId="CommentSubjectChar">
    <w:name w:val="Comment Subject Char"/>
    <w:basedOn w:val="CommentTextChar"/>
    <w:link w:val="CommentSubject"/>
    <w:uiPriority w:val="99"/>
    <w:semiHidden/>
    <w:rsid w:val="004A6403"/>
    <w:rPr>
      <w:b/>
      <w:bCs/>
      <w:sz w:val="20"/>
      <w:szCs w:val="20"/>
    </w:rPr>
  </w:style>
  <w:style w:type="paragraph" w:styleId="Bibliography">
    <w:name w:val="Bibliography"/>
    <w:basedOn w:val="Normal"/>
    <w:next w:val="Normal"/>
    <w:uiPriority w:val="37"/>
    <w:unhideWhenUsed/>
    <w:rsid w:val="009A2479"/>
    <w:pPr>
      <w:spacing w:line="480" w:lineRule="auto"/>
      <w:ind w:left="720" w:hanging="720"/>
    </w:pPr>
  </w:style>
  <w:style w:type="table" w:styleId="TableGrid">
    <w:name w:val="Table Grid"/>
    <w:basedOn w:val="TableNormal"/>
    <w:uiPriority w:val="39"/>
    <w:rsid w:val="00E3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C47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958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37079"/>
    <w:pPr>
      <w:tabs>
        <w:tab w:val="center" w:pos="4680"/>
        <w:tab w:val="right" w:pos="9360"/>
      </w:tabs>
    </w:pPr>
  </w:style>
  <w:style w:type="character" w:customStyle="1" w:styleId="HeaderChar">
    <w:name w:val="Header Char"/>
    <w:basedOn w:val="DefaultParagraphFont"/>
    <w:link w:val="Header"/>
    <w:uiPriority w:val="99"/>
    <w:rsid w:val="00837079"/>
  </w:style>
  <w:style w:type="paragraph" w:styleId="Footer">
    <w:name w:val="footer"/>
    <w:basedOn w:val="Normal"/>
    <w:link w:val="FooterChar"/>
    <w:uiPriority w:val="99"/>
    <w:unhideWhenUsed/>
    <w:rsid w:val="00837079"/>
    <w:pPr>
      <w:tabs>
        <w:tab w:val="center" w:pos="4680"/>
        <w:tab w:val="right" w:pos="9360"/>
      </w:tabs>
    </w:pPr>
  </w:style>
  <w:style w:type="character" w:customStyle="1" w:styleId="FooterChar">
    <w:name w:val="Footer Char"/>
    <w:basedOn w:val="DefaultParagraphFont"/>
    <w:link w:val="Footer"/>
    <w:uiPriority w:val="99"/>
    <w:rsid w:val="00837079"/>
  </w:style>
  <w:style w:type="character" w:styleId="FollowedHyperlink">
    <w:name w:val="FollowedHyperlink"/>
    <w:basedOn w:val="DefaultParagraphFont"/>
    <w:uiPriority w:val="99"/>
    <w:semiHidden/>
    <w:unhideWhenUsed/>
    <w:rsid w:val="00E542F7"/>
    <w:rPr>
      <w:color w:val="954F72" w:themeColor="followedHyperlink"/>
      <w:u w:val="single"/>
    </w:rPr>
  </w:style>
  <w:style w:type="character" w:customStyle="1" w:styleId="UnresolvedMention1">
    <w:name w:val="Unresolved Mention1"/>
    <w:basedOn w:val="DefaultParagraphFont"/>
    <w:uiPriority w:val="99"/>
    <w:rsid w:val="005C1175"/>
    <w:rPr>
      <w:color w:val="808080"/>
      <w:shd w:val="clear" w:color="auto" w:fill="E6E6E6"/>
    </w:rPr>
  </w:style>
  <w:style w:type="character" w:styleId="UnresolvedMention">
    <w:name w:val="Unresolved Mention"/>
    <w:basedOn w:val="DefaultParagraphFont"/>
    <w:uiPriority w:val="99"/>
    <w:semiHidden/>
    <w:unhideWhenUsed/>
    <w:rsid w:val="00C2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953">
      <w:bodyDiv w:val="1"/>
      <w:marLeft w:val="0"/>
      <w:marRight w:val="0"/>
      <w:marTop w:val="0"/>
      <w:marBottom w:val="0"/>
      <w:divBdr>
        <w:top w:val="none" w:sz="0" w:space="0" w:color="auto"/>
        <w:left w:val="none" w:sz="0" w:space="0" w:color="auto"/>
        <w:bottom w:val="none" w:sz="0" w:space="0" w:color="auto"/>
        <w:right w:val="none" w:sz="0" w:space="0" w:color="auto"/>
      </w:divBdr>
    </w:div>
    <w:div w:id="105513830">
      <w:bodyDiv w:val="1"/>
      <w:marLeft w:val="0"/>
      <w:marRight w:val="0"/>
      <w:marTop w:val="0"/>
      <w:marBottom w:val="0"/>
      <w:divBdr>
        <w:top w:val="none" w:sz="0" w:space="0" w:color="auto"/>
        <w:left w:val="none" w:sz="0" w:space="0" w:color="auto"/>
        <w:bottom w:val="none" w:sz="0" w:space="0" w:color="auto"/>
        <w:right w:val="none" w:sz="0" w:space="0" w:color="auto"/>
      </w:divBdr>
    </w:div>
    <w:div w:id="331304018">
      <w:bodyDiv w:val="1"/>
      <w:marLeft w:val="0"/>
      <w:marRight w:val="0"/>
      <w:marTop w:val="0"/>
      <w:marBottom w:val="0"/>
      <w:divBdr>
        <w:top w:val="none" w:sz="0" w:space="0" w:color="auto"/>
        <w:left w:val="none" w:sz="0" w:space="0" w:color="auto"/>
        <w:bottom w:val="none" w:sz="0" w:space="0" w:color="auto"/>
        <w:right w:val="none" w:sz="0" w:space="0" w:color="auto"/>
      </w:divBdr>
    </w:div>
    <w:div w:id="403188481">
      <w:bodyDiv w:val="1"/>
      <w:marLeft w:val="0"/>
      <w:marRight w:val="0"/>
      <w:marTop w:val="0"/>
      <w:marBottom w:val="0"/>
      <w:divBdr>
        <w:top w:val="none" w:sz="0" w:space="0" w:color="auto"/>
        <w:left w:val="none" w:sz="0" w:space="0" w:color="auto"/>
        <w:bottom w:val="none" w:sz="0" w:space="0" w:color="auto"/>
        <w:right w:val="none" w:sz="0" w:space="0" w:color="auto"/>
      </w:divBdr>
      <w:divsChild>
        <w:div w:id="1265310112">
          <w:marLeft w:val="480"/>
          <w:marRight w:val="0"/>
          <w:marTop w:val="0"/>
          <w:marBottom w:val="0"/>
          <w:divBdr>
            <w:top w:val="none" w:sz="0" w:space="0" w:color="auto"/>
            <w:left w:val="none" w:sz="0" w:space="0" w:color="auto"/>
            <w:bottom w:val="none" w:sz="0" w:space="0" w:color="auto"/>
            <w:right w:val="none" w:sz="0" w:space="0" w:color="auto"/>
          </w:divBdr>
          <w:divsChild>
            <w:div w:id="18248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4337">
      <w:bodyDiv w:val="1"/>
      <w:marLeft w:val="0"/>
      <w:marRight w:val="0"/>
      <w:marTop w:val="0"/>
      <w:marBottom w:val="0"/>
      <w:divBdr>
        <w:top w:val="none" w:sz="0" w:space="0" w:color="auto"/>
        <w:left w:val="none" w:sz="0" w:space="0" w:color="auto"/>
        <w:bottom w:val="none" w:sz="0" w:space="0" w:color="auto"/>
        <w:right w:val="none" w:sz="0" w:space="0" w:color="auto"/>
      </w:divBdr>
    </w:div>
    <w:div w:id="457064147">
      <w:bodyDiv w:val="1"/>
      <w:marLeft w:val="0"/>
      <w:marRight w:val="0"/>
      <w:marTop w:val="0"/>
      <w:marBottom w:val="0"/>
      <w:divBdr>
        <w:top w:val="none" w:sz="0" w:space="0" w:color="auto"/>
        <w:left w:val="none" w:sz="0" w:space="0" w:color="auto"/>
        <w:bottom w:val="none" w:sz="0" w:space="0" w:color="auto"/>
        <w:right w:val="none" w:sz="0" w:space="0" w:color="auto"/>
      </w:divBdr>
      <w:divsChild>
        <w:div w:id="913777457">
          <w:marLeft w:val="480"/>
          <w:marRight w:val="0"/>
          <w:marTop w:val="0"/>
          <w:marBottom w:val="0"/>
          <w:divBdr>
            <w:top w:val="none" w:sz="0" w:space="0" w:color="auto"/>
            <w:left w:val="none" w:sz="0" w:space="0" w:color="auto"/>
            <w:bottom w:val="none" w:sz="0" w:space="0" w:color="auto"/>
            <w:right w:val="none" w:sz="0" w:space="0" w:color="auto"/>
          </w:divBdr>
          <w:divsChild>
            <w:div w:id="1765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591">
      <w:bodyDiv w:val="1"/>
      <w:marLeft w:val="0"/>
      <w:marRight w:val="0"/>
      <w:marTop w:val="0"/>
      <w:marBottom w:val="0"/>
      <w:divBdr>
        <w:top w:val="none" w:sz="0" w:space="0" w:color="auto"/>
        <w:left w:val="none" w:sz="0" w:space="0" w:color="auto"/>
        <w:bottom w:val="none" w:sz="0" w:space="0" w:color="auto"/>
        <w:right w:val="none" w:sz="0" w:space="0" w:color="auto"/>
      </w:divBdr>
      <w:divsChild>
        <w:div w:id="1467501554">
          <w:marLeft w:val="480"/>
          <w:marRight w:val="0"/>
          <w:marTop w:val="0"/>
          <w:marBottom w:val="0"/>
          <w:divBdr>
            <w:top w:val="none" w:sz="0" w:space="0" w:color="auto"/>
            <w:left w:val="none" w:sz="0" w:space="0" w:color="auto"/>
            <w:bottom w:val="none" w:sz="0" w:space="0" w:color="auto"/>
            <w:right w:val="none" w:sz="0" w:space="0" w:color="auto"/>
          </w:divBdr>
          <w:divsChild>
            <w:div w:id="20600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4617">
      <w:bodyDiv w:val="1"/>
      <w:marLeft w:val="0"/>
      <w:marRight w:val="0"/>
      <w:marTop w:val="0"/>
      <w:marBottom w:val="0"/>
      <w:divBdr>
        <w:top w:val="none" w:sz="0" w:space="0" w:color="auto"/>
        <w:left w:val="none" w:sz="0" w:space="0" w:color="auto"/>
        <w:bottom w:val="none" w:sz="0" w:space="0" w:color="auto"/>
        <w:right w:val="none" w:sz="0" w:space="0" w:color="auto"/>
      </w:divBdr>
      <w:divsChild>
        <w:div w:id="1943224225">
          <w:marLeft w:val="480"/>
          <w:marRight w:val="0"/>
          <w:marTop w:val="0"/>
          <w:marBottom w:val="0"/>
          <w:divBdr>
            <w:top w:val="none" w:sz="0" w:space="0" w:color="auto"/>
            <w:left w:val="none" w:sz="0" w:space="0" w:color="auto"/>
            <w:bottom w:val="none" w:sz="0" w:space="0" w:color="auto"/>
            <w:right w:val="none" w:sz="0" w:space="0" w:color="auto"/>
          </w:divBdr>
          <w:divsChild>
            <w:div w:id="9825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5823">
      <w:bodyDiv w:val="1"/>
      <w:marLeft w:val="0"/>
      <w:marRight w:val="0"/>
      <w:marTop w:val="0"/>
      <w:marBottom w:val="0"/>
      <w:divBdr>
        <w:top w:val="none" w:sz="0" w:space="0" w:color="auto"/>
        <w:left w:val="none" w:sz="0" w:space="0" w:color="auto"/>
        <w:bottom w:val="none" w:sz="0" w:space="0" w:color="auto"/>
        <w:right w:val="none" w:sz="0" w:space="0" w:color="auto"/>
      </w:divBdr>
    </w:div>
    <w:div w:id="1257059778">
      <w:bodyDiv w:val="1"/>
      <w:marLeft w:val="0"/>
      <w:marRight w:val="0"/>
      <w:marTop w:val="0"/>
      <w:marBottom w:val="0"/>
      <w:divBdr>
        <w:top w:val="none" w:sz="0" w:space="0" w:color="auto"/>
        <w:left w:val="none" w:sz="0" w:space="0" w:color="auto"/>
        <w:bottom w:val="none" w:sz="0" w:space="0" w:color="auto"/>
        <w:right w:val="none" w:sz="0" w:space="0" w:color="auto"/>
      </w:divBdr>
      <w:divsChild>
        <w:div w:id="1571697790">
          <w:marLeft w:val="480"/>
          <w:marRight w:val="0"/>
          <w:marTop w:val="0"/>
          <w:marBottom w:val="0"/>
          <w:divBdr>
            <w:top w:val="none" w:sz="0" w:space="0" w:color="auto"/>
            <w:left w:val="none" w:sz="0" w:space="0" w:color="auto"/>
            <w:bottom w:val="none" w:sz="0" w:space="0" w:color="auto"/>
            <w:right w:val="none" w:sz="0" w:space="0" w:color="auto"/>
          </w:divBdr>
          <w:divsChild>
            <w:div w:id="17146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7123">
      <w:bodyDiv w:val="1"/>
      <w:marLeft w:val="0"/>
      <w:marRight w:val="0"/>
      <w:marTop w:val="0"/>
      <w:marBottom w:val="0"/>
      <w:divBdr>
        <w:top w:val="none" w:sz="0" w:space="0" w:color="auto"/>
        <w:left w:val="none" w:sz="0" w:space="0" w:color="auto"/>
        <w:bottom w:val="none" w:sz="0" w:space="0" w:color="auto"/>
        <w:right w:val="none" w:sz="0" w:space="0" w:color="auto"/>
      </w:divBdr>
    </w:div>
    <w:div w:id="1708993919">
      <w:bodyDiv w:val="1"/>
      <w:marLeft w:val="0"/>
      <w:marRight w:val="0"/>
      <w:marTop w:val="0"/>
      <w:marBottom w:val="0"/>
      <w:divBdr>
        <w:top w:val="none" w:sz="0" w:space="0" w:color="auto"/>
        <w:left w:val="none" w:sz="0" w:space="0" w:color="auto"/>
        <w:bottom w:val="none" w:sz="0" w:space="0" w:color="auto"/>
        <w:right w:val="none" w:sz="0" w:space="0" w:color="auto"/>
      </w:divBdr>
    </w:div>
    <w:div w:id="1869564838">
      <w:bodyDiv w:val="1"/>
      <w:marLeft w:val="0"/>
      <w:marRight w:val="0"/>
      <w:marTop w:val="0"/>
      <w:marBottom w:val="0"/>
      <w:divBdr>
        <w:top w:val="none" w:sz="0" w:space="0" w:color="auto"/>
        <w:left w:val="none" w:sz="0" w:space="0" w:color="auto"/>
        <w:bottom w:val="none" w:sz="0" w:space="0" w:color="auto"/>
        <w:right w:val="none" w:sz="0" w:space="0" w:color="auto"/>
      </w:divBdr>
    </w:div>
    <w:div w:id="1904415114">
      <w:bodyDiv w:val="1"/>
      <w:marLeft w:val="0"/>
      <w:marRight w:val="0"/>
      <w:marTop w:val="0"/>
      <w:marBottom w:val="0"/>
      <w:divBdr>
        <w:top w:val="none" w:sz="0" w:space="0" w:color="auto"/>
        <w:left w:val="none" w:sz="0" w:space="0" w:color="auto"/>
        <w:bottom w:val="none" w:sz="0" w:space="0" w:color="auto"/>
        <w:right w:val="none" w:sz="0" w:space="0" w:color="auto"/>
      </w:divBdr>
      <w:divsChild>
        <w:div w:id="754326366">
          <w:marLeft w:val="480"/>
          <w:marRight w:val="0"/>
          <w:marTop w:val="0"/>
          <w:marBottom w:val="0"/>
          <w:divBdr>
            <w:top w:val="none" w:sz="0" w:space="0" w:color="auto"/>
            <w:left w:val="none" w:sz="0" w:space="0" w:color="auto"/>
            <w:bottom w:val="none" w:sz="0" w:space="0" w:color="auto"/>
            <w:right w:val="none" w:sz="0" w:space="0" w:color="auto"/>
          </w:divBdr>
          <w:divsChild>
            <w:div w:id="8109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3126">
      <w:bodyDiv w:val="1"/>
      <w:marLeft w:val="0"/>
      <w:marRight w:val="0"/>
      <w:marTop w:val="0"/>
      <w:marBottom w:val="0"/>
      <w:divBdr>
        <w:top w:val="none" w:sz="0" w:space="0" w:color="auto"/>
        <w:left w:val="none" w:sz="0" w:space="0" w:color="auto"/>
        <w:bottom w:val="none" w:sz="0" w:space="0" w:color="auto"/>
        <w:right w:val="none" w:sz="0" w:space="0" w:color="auto"/>
      </w:divBdr>
      <w:divsChild>
        <w:div w:id="54739839">
          <w:marLeft w:val="480"/>
          <w:marRight w:val="0"/>
          <w:marTop w:val="0"/>
          <w:marBottom w:val="0"/>
          <w:divBdr>
            <w:top w:val="none" w:sz="0" w:space="0" w:color="auto"/>
            <w:left w:val="none" w:sz="0" w:space="0" w:color="auto"/>
            <w:bottom w:val="none" w:sz="0" w:space="0" w:color="auto"/>
            <w:right w:val="none" w:sz="0" w:space="0" w:color="auto"/>
          </w:divBdr>
          <w:divsChild>
            <w:div w:id="4711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ibrary.okstate.edu/engl-1213/evaluating-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seandreference.wordpress.com/2014/06/19/the-problem-with-threshold-concep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xconference.org/2017/presentations/LOEX2017_Ped_Path_Preso_LoweStoneMaxs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redith.wolfwater.com/wordpress/2016/10/18/is-the-framework-elitist-is-acr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rlog.org/2015/01/07/an-open-letter-regarding-the-framework-for-information-literacy-for-higher-educ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5E0B-9870-4D2E-B89A-1AB5C306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5842</Words>
  <Characters>34238</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Insua, Glenda</dc:creator>
  <cp:keywords/>
  <dc:description/>
  <cp:lastModifiedBy>Insua, Glenda</cp:lastModifiedBy>
  <cp:revision>6</cp:revision>
  <cp:lastPrinted>2018-06-18T13:51:00Z</cp:lastPrinted>
  <dcterms:created xsi:type="dcterms:W3CDTF">2018-06-14T21:29:00Z</dcterms:created>
  <dcterms:modified xsi:type="dcterms:W3CDTF">2018-06-18T16:06:00Z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zotero-version="5.0.31"&gt;&lt;session id="yasJKaD4"/&gt;&lt;style id="http://www.zotero.org/styles/emerald-harvard"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value="0"/&gt;&lt;/prefs&gt;&lt;/data&gt;</vt:lpwstr>
  </property>
  <property fmtid="{D5CDD505-2E9C-101B-9397-08002B2CF9AE}" pid="4" name="WnCUserId">
    <vt:lpwstr>user:52f55b50adfeaa27e84f1025</vt:lpwstr>
  </property>
  <property fmtid="{D5CDD505-2E9C-101B-9397-08002B2CF9AE}" pid="5" name="WnCSubscriberId">
    <vt:lpwstr>0</vt:lpwstr>
  </property>
  <property fmtid="{D5CDD505-2E9C-101B-9397-08002B2CF9AE}" pid="6" name="WnCOutputStyleId">
    <vt:lpwstr>1669</vt:lpwstr>
  </property>
  <property fmtid="{D5CDD505-2E9C-101B-9397-08002B2CF9AE}" pid="7" name="RWProductId">
    <vt:lpwstr>Flow</vt:lpwstr>
  </property>
  <property fmtid="{D5CDD505-2E9C-101B-9397-08002B2CF9AE}" pid="8" name="WnC4Folder">
    <vt:lpwstr>Documents///LibGuides Final Submission</vt:lpwstr>
  </property>
</Properties>
</file>