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62" w:rsidRDefault="00652F6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Originally Published: </w:t>
      </w:r>
      <w:r>
        <w:rPr>
          <w:rFonts w:ascii="Garamond" w:hAnsi="Garamond"/>
          <w:sz w:val="23"/>
          <w:szCs w:val="23"/>
        </w:rPr>
        <w:t xml:space="preserve">“LibGuides with the Research Group.” </w:t>
      </w:r>
      <w:r>
        <w:rPr>
          <w:rFonts w:ascii="Garamond" w:hAnsi="Garamond"/>
          <w:i/>
          <w:iCs/>
          <w:sz w:val="23"/>
          <w:szCs w:val="23"/>
        </w:rPr>
        <w:t>MLA News</w:t>
      </w:r>
      <w:r>
        <w:rPr>
          <w:rFonts w:ascii="Garamond" w:hAnsi="Garamond"/>
          <w:sz w:val="23"/>
          <w:szCs w:val="23"/>
        </w:rPr>
        <w:t xml:space="preserve">. September 2012; 52(8):19. </w:t>
      </w:r>
    </w:p>
    <w:p w:rsidR="00652F62" w:rsidRDefault="00652F6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8D69EB" w:rsidRDefault="008D69EB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LibGuides and the Research Group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Submitted by Abigail Goben, University of Illinois at Chicago; edited by Dina J. McKelvy, AHIP</w:t>
      </w:r>
    </w:p>
    <w:p w:rsidR="008D69EB" w:rsidRDefault="008D69EB">
      <w:pPr>
        <w:rPr>
          <w:rFonts w:ascii="Times New Roman" w:hAnsi="Times New Roman" w:cs="Times New Roman"/>
          <w:sz w:val="24"/>
          <w:szCs w:val="24"/>
        </w:rPr>
      </w:pPr>
    </w:p>
    <w:p w:rsidR="008D69EB" w:rsidRDefault="008D6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libraries have adopted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LibGuide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portal format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Springshare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serve both as a tool for general reference guides across disciplines and for targeted resource lists for classes. </w:t>
      </w:r>
    </w:p>
    <w:p w:rsidR="008D69EB" w:rsidRDefault="008D6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research faculty member communicated that he and his team were having trouble navigating through the library’s resources to access relevant articles; they were not being served by a disciplinary or course-specific research guide.  To alleviate some of the navigation challenges, </w:t>
      </w:r>
      <w:r w:rsidR="00B15731">
        <w:rPr>
          <w:rFonts w:ascii="Times New Roman" w:hAnsi="Times New Roman" w:cs="Times New Roman"/>
          <w:sz w:val="24"/>
          <w:szCs w:val="24"/>
        </w:rPr>
        <w:t>a librarian</w:t>
      </w:r>
      <w:r>
        <w:rPr>
          <w:rFonts w:ascii="Times New Roman" w:hAnsi="Times New Roman" w:cs="Times New Roman"/>
          <w:sz w:val="24"/>
          <w:szCs w:val="24"/>
        </w:rPr>
        <w:t xml:space="preserve"> developed a guide for the team that specifically focused on the resources that would best serve their research. The process of creating a research team-specific guide provided new opportunities to use an already familiar technology to support a different audience and provide passive library outreach. </w:t>
      </w:r>
    </w:p>
    <w:p w:rsidR="008D69EB" w:rsidRDefault="008D69EB">
      <w:pPr>
        <w:pStyle w:val="PlainText"/>
        <w:spacing w:line="27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this was the first version of a team-focused research guide, more familiar tools were included: </w:t>
      </w:r>
    </w:p>
    <w:p w:rsidR="008D69EB" w:rsidRDefault="008D69E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Proxied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databases links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These links facilitated easy access on campus or on the go. </w:t>
      </w:r>
    </w:p>
    <w:p w:rsidR="008D69EB" w:rsidRDefault="008D69E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RSS of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PubMed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search</w:t>
      </w:r>
      <w:r>
        <w:rPr>
          <w:rFonts w:ascii="Times New Roman" w:hAnsi="Times New Roman" w:cs="Times New Roman"/>
          <w:sz w:val="24"/>
          <w:szCs w:val="24"/>
        </w:rPr>
        <w:t xml:space="preserve">. Developed in collaboration with the team, a search feed provides for planned serendipitous discovery as the projected proceeded. </w:t>
      </w:r>
    </w:p>
    <w:p w:rsidR="008D69EB" w:rsidRDefault="008D69E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Librarian contact information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standard profile box was rejected for a simpler box with only email and phone number. </w:t>
      </w:r>
    </w:p>
    <w:p w:rsidR="008D69EB" w:rsidRDefault="008D69E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Direct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link to interlibrary loan</w:t>
      </w:r>
      <w:r>
        <w:rPr>
          <w:rFonts w:ascii="Times New Roman" w:hAnsi="Times New Roman" w:cs="Times New Roman"/>
          <w:sz w:val="24"/>
          <w:szCs w:val="24"/>
        </w:rPr>
        <w:t xml:space="preserve">. Due to the university having multiple campuses, patrons have to select interlibrary loan from the home page and then identify their campus before they can request materials. In keeping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Ranganathan’s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Fourth Law, a direct link to the campus appropriate log in page was included. </w:t>
      </w:r>
    </w:p>
    <w:p w:rsidR="008D69EB" w:rsidRDefault="008D69E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Table of contents for team-identified journals.</w:t>
      </w:r>
      <w:r>
        <w:rPr>
          <w:rFonts w:ascii="Times New Roman" w:hAnsi="Times New Roman" w:cs="Times New Roman"/>
          <w:sz w:val="24"/>
          <w:szCs w:val="24"/>
        </w:rPr>
        <w:t xml:space="preserve"> By pulling in the RSS feeds of the most recent table of contents, team members could quickly scan and go directly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proxied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full </w:t>
      </w:r>
      <w:proofErr w:type="gramStart"/>
      <w:r>
        <w:rPr>
          <w:rFonts w:ascii="Times New Roman" w:hAnsi="Times New Roman" w:cs="Times New Roman"/>
          <w:sz w:val="24"/>
          <w:szCs w:val="24"/>
        </w:rPr>
        <w:t>text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9EB" w:rsidRDefault="008D69E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Citation Matcher.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 direct link to this fill-in-the-blank form allows a researcher to start with what they have and then move quickly to full text or an article request. </w:t>
      </w:r>
    </w:p>
    <w:p w:rsidR="008D69EB" w:rsidRDefault="008D69EB">
      <w:pPr>
        <w:pStyle w:val="PlainText"/>
        <w:spacing w:line="27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development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LibGuide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complete, it was launched privately so that it was only available to the team. A member of the research team, in this case the initial faculty contact, was given editing permissions to the research guide. </w:t>
      </w:r>
    </w:p>
    <w:p w:rsidR="008D69EB" w:rsidRDefault="008D69EB">
      <w:pPr>
        <w:pStyle w:val="PlainText"/>
        <w:spacing w:line="276" w:lineRule="atLeast"/>
        <w:rPr>
          <w:rFonts w:ascii="Times New Roman" w:hAnsi="Times New Roman" w:cs="Times New Roman"/>
          <w:sz w:val="24"/>
          <w:szCs w:val="24"/>
        </w:rPr>
      </w:pPr>
    </w:p>
    <w:p w:rsidR="008D69EB" w:rsidRDefault="008D69EB">
      <w:pPr>
        <w:pStyle w:val="PlainText"/>
        <w:spacing w:line="27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that the guide has b</w:t>
      </w:r>
      <w:r w:rsidR="0077657F">
        <w:rPr>
          <w:rFonts w:ascii="Times New Roman" w:hAnsi="Times New Roman" w:cs="Times New Roman"/>
          <w:sz w:val="24"/>
          <w:szCs w:val="24"/>
        </w:rPr>
        <w:t>een successfully launched, library staff</w:t>
      </w:r>
      <w:r>
        <w:rPr>
          <w:rFonts w:ascii="Times New Roman" w:hAnsi="Times New Roman" w:cs="Times New Roman"/>
          <w:sz w:val="24"/>
          <w:szCs w:val="24"/>
        </w:rPr>
        <w:t xml:space="preserve"> considered opportunities to expand. Other potential features that have been identified for inclusion are:</w:t>
      </w:r>
    </w:p>
    <w:p w:rsidR="008D69EB" w:rsidRDefault="008D69E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Data Repositories and Management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feature would help researchers find a place to store data to meet grant funding requirements or discover other data sets that may assist their research. </w:t>
      </w:r>
      <w:r w:rsidR="00B15731">
        <w:rPr>
          <w:rFonts w:ascii="Times New Roman" w:hAnsi="Times New Roman" w:cs="Times New Roman"/>
          <w:sz w:val="24"/>
          <w:szCs w:val="24"/>
        </w:rPr>
        <w:t xml:space="preserve">It can also serve to promote library data management services. </w:t>
      </w:r>
    </w:p>
    <w:p w:rsidR="008D69EB" w:rsidRDefault="008D69E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/>
          <w:sz w:val="24"/>
          <w:szCs w:val="24"/>
        </w:rPr>
        <w:lastRenderedPageBreak/>
        <w:t></w:t>
      </w:r>
      <w:r>
        <w:rPr>
          <w:rFonts w:ascii="Symbol" w:hAnsi="Symbol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Institutional Links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LibGuide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make for convenient one-stop gathering of sites that researchers may need such as the Research Office or institutional repository. </w:t>
      </w:r>
    </w:p>
    <w:p w:rsidR="008D69EB" w:rsidRDefault="008D69E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Tutorials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LibGuide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research starting point for the team, a select number (&lt; 5) of tutorials can answer problems the team might encounter when a librarian isn’t available, for example a quick refresher on importing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PubMed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citations into citation management software. </w:t>
      </w:r>
    </w:p>
    <w:p w:rsidR="008D69EB" w:rsidRDefault="008D69EB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/>
          <w:sz w:val="24"/>
          <w:szCs w:val="24"/>
        </w:rPr>
        <w:t></w:t>
      </w:r>
      <w:r>
        <w:rPr>
          <w:rFonts w:ascii="Symbol" w:hAnsi="Symbol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Chat box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the librarian has a personal chat account and is available during most working hours, this may be useful to include with the contact information. </w:t>
      </w:r>
    </w:p>
    <w:p w:rsidR="008D69EB" w:rsidRDefault="008D6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a few potential challenges to developing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LibGuide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 research team. Groups that span multiple institutions will not all be able to access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proxied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material. Usage attrition can happen, potentially alleviated through communication with the librarian. Scaling collaboration and updating various unique guides can be difficult for busy librarians with many other responsibilities. </w:t>
      </w:r>
    </w:p>
    <w:p w:rsidR="008D69EB" w:rsidRDefault="008D6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with the development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LibGuide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comes the possibility to collaborate further with a research team. Usage statistics can guide revision and provide an opportunity for the librarian to communicate with the team and further develop the supportive relationship. </w:t>
      </w:r>
      <w:proofErr w:type="spellStart"/>
      <w:r>
        <w:rPr>
          <w:rFonts w:ascii="Times New Roman" w:hAnsi="Times New Roman" w:cs="Times New Roman"/>
          <w:sz w:val="24"/>
          <w:szCs w:val="24"/>
        </w:rPr>
        <w:t>LibGuides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used by many libraries and can be expanded to reach a new audience to promote the offerings of the library and the expertise of the library staff. </w:t>
      </w:r>
    </w:p>
    <w:p w:rsidR="008D69EB" w:rsidRDefault="008D69EB">
      <w:pPr>
        <w:rPr>
          <w:rFonts w:ascii="Times New Roman" w:hAnsi="Times New Roman" w:cs="Times New Roman"/>
          <w:sz w:val="24"/>
          <w:szCs w:val="24"/>
        </w:rPr>
      </w:pPr>
    </w:p>
    <w:p w:rsidR="008D69EB" w:rsidRDefault="008D69EB">
      <w:pPr>
        <w:rPr>
          <w:rFonts w:ascii="Times New Roman" w:hAnsi="Times New Roman" w:cs="Times New Roman"/>
          <w:sz w:val="24"/>
          <w:szCs w:val="24"/>
        </w:rPr>
      </w:pPr>
    </w:p>
    <w:sectPr w:rsidR="008D69EB" w:rsidSect="00E004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B15731"/>
    <w:rsid w:val="00652F62"/>
    <w:rsid w:val="0077657F"/>
    <w:rsid w:val="008D69EB"/>
    <w:rsid w:val="009A5D64"/>
    <w:rsid w:val="00B15731"/>
    <w:rsid w:val="00E0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0B"/>
    <w:pPr>
      <w:spacing w:after="200" w:line="276" w:lineRule="atLeast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0040B"/>
    <w:pPr>
      <w:spacing w:after="0" w:line="240" w:lineRule="auto"/>
    </w:pPr>
    <w:rPr>
      <w:rFonts w:ascii="Consolas" w:hAnsi="Consolas" w:cs="Consolas"/>
      <w:sz w:val="21"/>
    </w:rPr>
  </w:style>
  <w:style w:type="paragraph" w:styleId="ListParagraph">
    <w:name w:val="List Paragraph"/>
    <w:basedOn w:val="Normal"/>
    <w:qFormat/>
    <w:rsid w:val="00E0040B"/>
    <w:pPr>
      <w:ind w:left="720"/>
    </w:pPr>
  </w:style>
  <w:style w:type="paragraph" w:styleId="BalloonText">
    <w:name w:val="Balloon Text"/>
    <w:basedOn w:val="Normal"/>
    <w:rsid w:val="00E0040B"/>
    <w:rPr>
      <w:rFonts w:ascii="Tahoma" w:hAnsi="Tahoma" w:cs="Tahoma"/>
      <w:sz w:val="16"/>
    </w:rPr>
  </w:style>
  <w:style w:type="paragraph" w:styleId="HTMLPreformatted">
    <w:name w:val="HTML Preformatted"/>
    <w:basedOn w:val="Normal"/>
    <w:rsid w:val="00E00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noProof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LibGuides and the Research Group</vt:lpstr>
    </vt:vector>
  </TitlesOfParts>
  <Company>ACCC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LibGuides and the Research Group</dc:title>
  <dc:creator>Abigail Goben</dc:creator>
  <cp:lastModifiedBy>Abigail Goben</cp:lastModifiedBy>
  <cp:revision>3</cp:revision>
  <cp:lastPrinted>2012-07-24T20:08:00Z</cp:lastPrinted>
  <dcterms:created xsi:type="dcterms:W3CDTF">2012-07-26T20:29:00Z</dcterms:created>
  <dcterms:modified xsi:type="dcterms:W3CDTF">2013-04-12T16:05:00Z</dcterms:modified>
</cp:coreProperties>
</file>