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5A" w:rsidRPr="00FA2489" w:rsidRDefault="008F365A" w:rsidP="00691632">
      <w:pPr>
        <w:ind w:firstLine="0"/>
        <w:jc w:val="center"/>
        <w:rPr>
          <w:rFonts w:ascii="Times New Roman" w:hAnsi="Times New Roman" w:cs="Times New Roman"/>
          <w:b/>
          <w:sz w:val="24"/>
          <w:szCs w:val="24"/>
        </w:rPr>
      </w:pPr>
      <w:r w:rsidRPr="00FA2489">
        <w:rPr>
          <w:rFonts w:ascii="Times New Roman" w:hAnsi="Times New Roman" w:cs="Times New Roman"/>
          <w:b/>
          <w:sz w:val="24"/>
          <w:szCs w:val="24"/>
        </w:rPr>
        <w:t>Suicidality and Treatment Experience among Young People Who Inject Drugs</w:t>
      </w:r>
    </w:p>
    <w:p w:rsidR="008F365A" w:rsidRPr="00FA2489" w:rsidRDefault="008F365A" w:rsidP="00691632">
      <w:pPr>
        <w:ind w:firstLine="0"/>
        <w:jc w:val="center"/>
        <w:rPr>
          <w:rFonts w:ascii="Times New Roman" w:hAnsi="Times New Roman" w:cs="Times New Roman"/>
          <w:b/>
          <w:sz w:val="24"/>
          <w:szCs w:val="24"/>
        </w:rPr>
      </w:pPr>
    </w:p>
    <w:p w:rsidR="008F365A" w:rsidRPr="00FA2489" w:rsidRDefault="008F365A" w:rsidP="00691632">
      <w:pPr>
        <w:jc w:val="center"/>
        <w:rPr>
          <w:rFonts w:ascii="Times New Roman" w:eastAsia="Calibri" w:hAnsi="Times New Roman" w:cs="Times New Roman"/>
          <w:sz w:val="24"/>
          <w:szCs w:val="24"/>
        </w:rPr>
      </w:pPr>
      <w:r w:rsidRPr="00FA2489">
        <w:rPr>
          <w:rFonts w:ascii="Times New Roman" w:eastAsia="Calibri" w:hAnsi="Times New Roman" w:cs="Times New Roman"/>
          <w:sz w:val="24"/>
          <w:szCs w:val="24"/>
        </w:rPr>
        <w:t>Mary E. Mackesy-Amiti, Ph.D.</w:t>
      </w:r>
      <w:r w:rsidRPr="00A42604">
        <w:rPr>
          <w:rFonts w:ascii="Times New Roman" w:eastAsia="Calibri" w:hAnsi="Times New Roman" w:cs="Times New Roman"/>
          <w:sz w:val="24"/>
          <w:szCs w:val="24"/>
          <w:vertAlign w:val="superscript"/>
        </w:rPr>
        <w:t>a</w:t>
      </w:r>
      <w:r>
        <w:rPr>
          <w:rFonts w:ascii="Times New Roman" w:eastAsia="Calibri" w:hAnsi="Times New Roman" w:cs="Times New Roman"/>
          <w:sz w:val="24"/>
          <w:szCs w:val="24"/>
          <w:vertAlign w:val="superscript"/>
        </w:rPr>
        <w:t>,b</w:t>
      </w:r>
      <w:r w:rsidRPr="00FA2489">
        <w:rPr>
          <w:rFonts w:ascii="Times New Roman" w:eastAsia="Calibri" w:hAnsi="Times New Roman" w:cs="Times New Roman"/>
          <w:sz w:val="24"/>
          <w:szCs w:val="24"/>
        </w:rPr>
        <w:t xml:space="preserve"> &amp; Lawrence J. Ouellet, Ph.D.</w:t>
      </w:r>
      <w:r w:rsidRPr="00A42604">
        <w:rPr>
          <w:rFonts w:ascii="Times New Roman" w:eastAsia="Calibri" w:hAnsi="Times New Roman" w:cs="Times New Roman"/>
          <w:sz w:val="24"/>
          <w:szCs w:val="24"/>
          <w:vertAlign w:val="superscript"/>
        </w:rPr>
        <w:t>b</w:t>
      </w:r>
    </w:p>
    <w:p w:rsidR="008F365A" w:rsidRPr="00FA2489" w:rsidRDefault="008F365A" w:rsidP="00720916">
      <w:pPr>
        <w:spacing w:line="360" w:lineRule="auto"/>
        <w:jc w:val="center"/>
        <w:rPr>
          <w:rFonts w:ascii="Times New Roman" w:eastAsia="Calibri" w:hAnsi="Times New Roman" w:cs="Times New Roman"/>
          <w:sz w:val="24"/>
          <w:szCs w:val="24"/>
        </w:rPr>
      </w:pPr>
      <w:r w:rsidRPr="00A42604">
        <w:rPr>
          <w:rFonts w:ascii="Times New Roman" w:eastAsia="Calibri" w:hAnsi="Times New Roman" w:cs="Times New Roman"/>
          <w:sz w:val="24"/>
          <w:szCs w:val="24"/>
          <w:vertAlign w:val="superscript"/>
        </w:rPr>
        <w:t>a</w:t>
      </w:r>
      <w:r w:rsidRPr="00FA2489">
        <w:rPr>
          <w:rFonts w:ascii="Times New Roman" w:eastAsia="Calibri" w:hAnsi="Times New Roman" w:cs="Times New Roman"/>
          <w:sz w:val="24"/>
          <w:szCs w:val="24"/>
        </w:rPr>
        <w:t xml:space="preserve"> Division of Community Health Sciences, School of Public Health, University of Illinois at Chicago, </w:t>
      </w:r>
      <w:r>
        <w:rPr>
          <w:rFonts w:ascii="Times New Roman" w:eastAsia="Calibri" w:hAnsi="Times New Roman" w:cs="Times New Roman"/>
          <w:sz w:val="24"/>
          <w:szCs w:val="24"/>
        </w:rPr>
        <w:t xml:space="preserve">1603 W. Taylor St., </w:t>
      </w:r>
      <w:r w:rsidRPr="00FA2489">
        <w:rPr>
          <w:rFonts w:ascii="Times New Roman" w:eastAsia="Calibri" w:hAnsi="Times New Roman" w:cs="Times New Roman"/>
          <w:sz w:val="24"/>
          <w:szCs w:val="24"/>
        </w:rPr>
        <w:t xml:space="preserve">Chicago, Illinois </w:t>
      </w:r>
      <w:r>
        <w:rPr>
          <w:rFonts w:ascii="Times New Roman" w:eastAsia="Calibri" w:hAnsi="Times New Roman" w:cs="Times New Roman"/>
          <w:sz w:val="24"/>
          <w:szCs w:val="24"/>
        </w:rPr>
        <w:t>USA</w:t>
      </w:r>
    </w:p>
    <w:p w:rsidR="008F365A" w:rsidRPr="00FA2489" w:rsidRDefault="008F365A" w:rsidP="00720916">
      <w:pPr>
        <w:spacing w:line="360" w:lineRule="auto"/>
        <w:jc w:val="center"/>
        <w:rPr>
          <w:rFonts w:ascii="Times New Roman" w:eastAsia="Calibri" w:hAnsi="Times New Roman" w:cs="Times New Roman"/>
          <w:sz w:val="24"/>
          <w:szCs w:val="24"/>
        </w:rPr>
      </w:pPr>
      <w:r w:rsidRPr="00A42604">
        <w:rPr>
          <w:rFonts w:ascii="Times New Roman" w:eastAsia="Calibri" w:hAnsi="Times New Roman" w:cs="Times New Roman"/>
          <w:sz w:val="24"/>
          <w:szCs w:val="24"/>
          <w:vertAlign w:val="superscript"/>
        </w:rPr>
        <w:t>b</w:t>
      </w:r>
      <w:r w:rsidRPr="00FA2489">
        <w:rPr>
          <w:rFonts w:ascii="Times New Roman" w:eastAsia="Calibri" w:hAnsi="Times New Roman" w:cs="Times New Roman"/>
          <w:sz w:val="24"/>
          <w:szCs w:val="24"/>
        </w:rPr>
        <w:t xml:space="preserve"> Community Outreach Intervention Projects, School of Public Health, University of Illinois at Chicago, </w:t>
      </w:r>
      <w:r>
        <w:rPr>
          <w:rFonts w:ascii="Times New Roman" w:eastAsia="Calibri" w:hAnsi="Times New Roman" w:cs="Times New Roman"/>
          <w:sz w:val="24"/>
          <w:szCs w:val="24"/>
        </w:rPr>
        <w:t xml:space="preserve">1603 W. Taylor St., </w:t>
      </w:r>
      <w:r w:rsidRPr="00FA2489">
        <w:rPr>
          <w:rFonts w:ascii="Times New Roman" w:eastAsia="Calibri" w:hAnsi="Times New Roman" w:cs="Times New Roman"/>
          <w:sz w:val="24"/>
          <w:szCs w:val="24"/>
        </w:rPr>
        <w:t>Chicago, Illinois</w:t>
      </w:r>
      <w:r>
        <w:rPr>
          <w:rFonts w:ascii="Times New Roman" w:eastAsia="Calibri" w:hAnsi="Times New Roman" w:cs="Times New Roman"/>
          <w:sz w:val="24"/>
          <w:szCs w:val="24"/>
        </w:rPr>
        <w:t xml:space="preserve"> USA</w:t>
      </w:r>
      <w:r w:rsidRPr="00FA2489">
        <w:rPr>
          <w:rFonts w:ascii="Times New Roman" w:eastAsia="Calibri" w:hAnsi="Times New Roman" w:cs="Times New Roman"/>
          <w:sz w:val="24"/>
          <w:szCs w:val="24"/>
        </w:rPr>
        <w:t xml:space="preserve"> </w:t>
      </w:r>
    </w:p>
    <w:p w:rsidR="008F365A" w:rsidRPr="00FA2489" w:rsidRDefault="008F365A" w:rsidP="00691632">
      <w:pPr>
        <w:spacing w:line="360" w:lineRule="auto"/>
        <w:jc w:val="center"/>
        <w:rPr>
          <w:rFonts w:ascii="Times New Roman" w:eastAsia="Calibri" w:hAnsi="Times New Roman" w:cs="Times New Roman"/>
          <w:sz w:val="24"/>
          <w:szCs w:val="24"/>
        </w:rPr>
      </w:pPr>
    </w:p>
    <w:p w:rsidR="008F365A" w:rsidRPr="00FA2489" w:rsidRDefault="008F365A" w:rsidP="00691632">
      <w:pPr>
        <w:rPr>
          <w:rFonts w:ascii="Times New Roman" w:eastAsia="Calibri" w:hAnsi="Times New Roman" w:cs="Times New Roman"/>
          <w:sz w:val="24"/>
          <w:szCs w:val="24"/>
        </w:rPr>
      </w:pPr>
    </w:p>
    <w:p w:rsidR="008F365A" w:rsidRPr="00FA2489" w:rsidRDefault="008F365A" w:rsidP="00691632">
      <w:pPr>
        <w:ind w:firstLine="0"/>
        <w:rPr>
          <w:rFonts w:ascii="Times New Roman" w:eastAsia="Calibri" w:hAnsi="Times New Roman" w:cs="Times New Roman"/>
          <w:sz w:val="24"/>
          <w:szCs w:val="24"/>
        </w:rPr>
      </w:pPr>
      <w:r w:rsidRPr="00BF5FBA">
        <w:rPr>
          <w:rFonts w:ascii="Times New Roman" w:eastAsia="Calibri" w:hAnsi="Times New Roman" w:cs="Times New Roman"/>
          <w:sz w:val="24"/>
          <w:szCs w:val="24"/>
        </w:rPr>
        <w:t>Correspondence concerning this article should be addressed to:</w:t>
      </w:r>
      <w:r w:rsidRPr="00FA2489">
        <w:rPr>
          <w:rFonts w:ascii="Times New Roman" w:eastAsia="Calibri" w:hAnsi="Times New Roman" w:cs="Times New Roman"/>
          <w:sz w:val="24"/>
          <w:szCs w:val="24"/>
        </w:rPr>
        <w:t>:</w:t>
      </w:r>
    </w:p>
    <w:p w:rsidR="008F365A" w:rsidRPr="00FA2489" w:rsidRDefault="008F365A" w:rsidP="00A3254B">
      <w:pPr>
        <w:spacing w:line="240" w:lineRule="auto"/>
        <w:ind w:firstLine="0"/>
        <w:rPr>
          <w:rFonts w:ascii="Times New Roman" w:eastAsia="Calibri" w:hAnsi="Times New Roman" w:cs="Times New Roman"/>
          <w:sz w:val="24"/>
          <w:szCs w:val="24"/>
        </w:rPr>
      </w:pPr>
      <w:r w:rsidRPr="00FA2489">
        <w:rPr>
          <w:rFonts w:ascii="Times New Roman" w:eastAsia="Calibri" w:hAnsi="Times New Roman" w:cs="Times New Roman"/>
          <w:sz w:val="24"/>
          <w:szCs w:val="24"/>
        </w:rPr>
        <w:t>Dr. Mary E. Mackesy-Amiti</w:t>
      </w:r>
    </w:p>
    <w:p w:rsidR="008F365A" w:rsidRPr="00FA2489" w:rsidRDefault="008F365A" w:rsidP="00A3254B">
      <w:pPr>
        <w:spacing w:line="240" w:lineRule="auto"/>
        <w:ind w:firstLine="0"/>
        <w:rPr>
          <w:rFonts w:ascii="Times New Roman" w:eastAsia="Calibri" w:hAnsi="Times New Roman" w:cs="Times New Roman"/>
          <w:sz w:val="24"/>
          <w:szCs w:val="24"/>
        </w:rPr>
      </w:pPr>
      <w:r w:rsidRPr="00FA2489">
        <w:rPr>
          <w:rFonts w:ascii="Times New Roman" w:eastAsia="Calibri" w:hAnsi="Times New Roman" w:cs="Times New Roman"/>
          <w:sz w:val="24"/>
          <w:szCs w:val="24"/>
        </w:rPr>
        <w:t>School of Public Health</w:t>
      </w:r>
    </w:p>
    <w:p w:rsidR="008F365A" w:rsidRPr="00FA2489" w:rsidRDefault="008F365A" w:rsidP="00A3254B">
      <w:pPr>
        <w:spacing w:line="240" w:lineRule="auto"/>
        <w:ind w:firstLine="0"/>
        <w:rPr>
          <w:rFonts w:ascii="Times New Roman" w:eastAsia="Calibri" w:hAnsi="Times New Roman" w:cs="Times New Roman"/>
          <w:sz w:val="24"/>
          <w:szCs w:val="24"/>
        </w:rPr>
      </w:pPr>
      <w:r w:rsidRPr="00FA2489">
        <w:rPr>
          <w:rFonts w:ascii="Times New Roman" w:eastAsia="Calibri" w:hAnsi="Times New Roman" w:cs="Times New Roman"/>
          <w:sz w:val="24"/>
          <w:szCs w:val="24"/>
        </w:rPr>
        <w:t>University of Illinois at Chicago</w:t>
      </w:r>
    </w:p>
    <w:p w:rsidR="008F365A" w:rsidRPr="00FA2489" w:rsidRDefault="008F365A" w:rsidP="00A3254B">
      <w:pPr>
        <w:spacing w:line="240" w:lineRule="auto"/>
        <w:ind w:firstLine="0"/>
        <w:rPr>
          <w:rFonts w:ascii="Times New Roman" w:eastAsia="Calibri" w:hAnsi="Times New Roman" w:cs="Times New Roman"/>
          <w:sz w:val="24"/>
          <w:szCs w:val="24"/>
        </w:rPr>
      </w:pPr>
      <w:r w:rsidRPr="00FA2489">
        <w:rPr>
          <w:rFonts w:ascii="Times New Roman" w:eastAsia="Calibri" w:hAnsi="Times New Roman" w:cs="Times New Roman"/>
          <w:sz w:val="24"/>
          <w:szCs w:val="24"/>
        </w:rPr>
        <w:t>1603 W. Taylor St.</w:t>
      </w:r>
    </w:p>
    <w:p w:rsidR="008F365A" w:rsidRPr="00FA2489" w:rsidRDefault="008F365A" w:rsidP="00A3254B">
      <w:pPr>
        <w:spacing w:line="240" w:lineRule="auto"/>
        <w:ind w:firstLine="0"/>
        <w:rPr>
          <w:rFonts w:ascii="Times New Roman" w:eastAsia="Calibri" w:hAnsi="Times New Roman" w:cs="Times New Roman"/>
          <w:sz w:val="24"/>
          <w:szCs w:val="24"/>
        </w:rPr>
      </w:pPr>
      <w:r w:rsidRPr="00FA2489">
        <w:rPr>
          <w:rFonts w:ascii="Times New Roman" w:eastAsia="Calibri" w:hAnsi="Times New Roman" w:cs="Times New Roman"/>
          <w:sz w:val="24"/>
          <w:szCs w:val="24"/>
        </w:rPr>
        <w:t>Chicago, IL 60612</w:t>
      </w:r>
    </w:p>
    <w:p w:rsidR="008F365A" w:rsidRPr="00FA2489" w:rsidRDefault="008F365A" w:rsidP="00A3254B">
      <w:pPr>
        <w:spacing w:line="240" w:lineRule="auto"/>
        <w:ind w:firstLine="0"/>
        <w:rPr>
          <w:rFonts w:ascii="Times New Roman" w:eastAsia="Calibri" w:hAnsi="Times New Roman" w:cs="Times New Roman"/>
          <w:sz w:val="24"/>
          <w:szCs w:val="24"/>
        </w:rPr>
      </w:pPr>
      <w:r w:rsidRPr="00FA2489">
        <w:rPr>
          <w:rFonts w:ascii="Times New Roman" w:eastAsia="Calibri" w:hAnsi="Times New Roman" w:cs="Times New Roman"/>
          <w:sz w:val="24"/>
          <w:szCs w:val="24"/>
        </w:rPr>
        <w:t>phone: (312) 355-4892</w:t>
      </w:r>
    </w:p>
    <w:p w:rsidR="008F365A" w:rsidRPr="00FA2489" w:rsidRDefault="008F365A" w:rsidP="00A3254B">
      <w:pPr>
        <w:spacing w:line="240" w:lineRule="auto"/>
        <w:ind w:firstLine="0"/>
        <w:rPr>
          <w:rFonts w:ascii="Times New Roman" w:eastAsia="Calibri" w:hAnsi="Times New Roman" w:cs="Times New Roman"/>
          <w:sz w:val="24"/>
          <w:szCs w:val="24"/>
        </w:rPr>
      </w:pPr>
      <w:r w:rsidRPr="00FA2489">
        <w:rPr>
          <w:rFonts w:ascii="Times New Roman" w:eastAsia="Calibri" w:hAnsi="Times New Roman" w:cs="Times New Roman"/>
          <w:sz w:val="24"/>
          <w:szCs w:val="24"/>
        </w:rPr>
        <w:t>fax: (312) 996-1450</w:t>
      </w:r>
    </w:p>
    <w:p w:rsidR="008F365A" w:rsidRPr="00FA2489" w:rsidRDefault="008F365A" w:rsidP="00A3254B">
      <w:pPr>
        <w:spacing w:line="240" w:lineRule="auto"/>
        <w:ind w:firstLine="0"/>
        <w:rPr>
          <w:rFonts w:ascii="Times New Roman" w:eastAsia="Calibri" w:hAnsi="Times New Roman" w:cs="Times New Roman"/>
          <w:sz w:val="24"/>
          <w:szCs w:val="24"/>
        </w:rPr>
      </w:pPr>
      <w:hyperlink r:id="rId7" w:history="1">
        <w:r w:rsidRPr="00FA2489">
          <w:rPr>
            <w:rFonts w:ascii="Times New Roman" w:eastAsia="Calibri" w:hAnsi="Times New Roman" w:cs="Times New Roman"/>
            <w:color w:val="0000FF"/>
            <w:sz w:val="24"/>
            <w:u w:val="single"/>
          </w:rPr>
          <w:t>mmamiti@uic.edu</w:t>
        </w:r>
      </w:hyperlink>
    </w:p>
    <w:p w:rsidR="008F365A" w:rsidRPr="00FA2489" w:rsidRDefault="008F365A" w:rsidP="00691632">
      <w:pPr>
        <w:rPr>
          <w:rFonts w:ascii="Times New Roman" w:eastAsia="Calibri" w:hAnsi="Times New Roman" w:cs="Times New Roman"/>
          <w:sz w:val="24"/>
          <w:szCs w:val="24"/>
        </w:rPr>
      </w:pPr>
    </w:p>
    <w:p w:rsidR="008F365A" w:rsidRPr="00FA2489" w:rsidRDefault="008F365A" w:rsidP="00691632">
      <w:pPr>
        <w:rPr>
          <w:rFonts w:ascii="Times New Roman" w:eastAsia="Calibri" w:hAnsi="Times New Roman" w:cs="Times New Roman"/>
          <w:sz w:val="24"/>
          <w:szCs w:val="24"/>
        </w:rPr>
      </w:pPr>
    </w:p>
    <w:p w:rsidR="008F365A" w:rsidRDefault="008F365A">
      <w:pPr>
        <w:rPr>
          <w:rFonts w:ascii="Times New Roman" w:hAnsi="Times New Roman" w:cs="Times New Roman"/>
        </w:rPr>
      </w:pPr>
    </w:p>
    <w:p w:rsidR="008F365A" w:rsidRDefault="008F365A">
      <w:pPr>
        <w:rPr>
          <w:rFonts w:ascii="Times New Roman" w:hAnsi="Times New Roman" w:cs="Times New Roman"/>
        </w:rPr>
      </w:pPr>
    </w:p>
    <w:p w:rsidR="008F365A" w:rsidRPr="00C27768" w:rsidRDefault="008F365A" w:rsidP="00294D7F">
      <w:pPr>
        <w:spacing w:line="240" w:lineRule="auto"/>
        <w:ind w:firstLine="0"/>
        <w:rPr>
          <w:rFonts w:ascii="Times New Roman" w:eastAsia="Calibri" w:hAnsi="Times New Roman" w:cs="Times New Roman"/>
          <w:sz w:val="24"/>
          <w:szCs w:val="24"/>
        </w:rPr>
      </w:pPr>
      <w:r w:rsidRPr="00C27768">
        <w:rPr>
          <w:rFonts w:ascii="Times New Roman" w:eastAsia="Calibri" w:hAnsi="Times New Roman" w:cs="Times New Roman"/>
          <w:sz w:val="24"/>
          <w:szCs w:val="24"/>
        </w:rPr>
        <w:t>This work was supported by the National Institute on Drug Abuse [grant number R01DA020368] and a grant from the School of Public Health, University of Illinois at Chicago. The contents of this paper</w:t>
      </w:r>
      <w:r>
        <w:rPr>
          <w:rFonts w:ascii="Times New Roman" w:eastAsia="Calibri" w:hAnsi="Times New Roman" w:cs="Times New Roman"/>
          <w:sz w:val="24"/>
          <w:szCs w:val="24"/>
        </w:rPr>
        <w:t xml:space="preserve"> </w:t>
      </w:r>
      <w:r w:rsidRPr="00C27768">
        <w:rPr>
          <w:rFonts w:ascii="Times New Roman" w:eastAsia="Calibri" w:hAnsi="Times New Roman" w:cs="Times New Roman"/>
          <w:sz w:val="24"/>
          <w:szCs w:val="24"/>
        </w:rPr>
        <w:t>are solely the responsibility of the authors and do not necessarily</w:t>
      </w:r>
      <w:r>
        <w:rPr>
          <w:rFonts w:ascii="Times New Roman" w:eastAsia="Calibri" w:hAnsi="Times New Roman" w:cs="Times New Roman"/>
          <w:sz w:val="24"/>
          <w:szCs w:val="24"/>
        </w:rPr>
        <w:t xml:space="preserve"> </w:t>
      </w:r>
      <w:r w:rsidRPr="00C27768">
        <w:rPr>
          <w:rFonts w:ascii="Times New Roman" w:eastAsia="Calibri" w:hAnsi="Times New Roman" w:cs="Times New Roman"/>
          <w:sz w:val="24"/>
          <w:szCs w:val="24"/>
        </w:rPr>
        <w:t>represent the official views of NIDA or the National Institutes of</w:t>
      </w:r>
      <w:r>
        <w:rPr>
          <w:rFonts w:ascii="Times New Roman" w:eastAsia="Calibri" w:hAnsi="Times New Roman" w:cs="Times New Roman"/>
          <w:sz w:val="24"/>
          <w:szCs w:val="24"/>
        </w:rPr>
        <w:t xml:space="preserve"> </w:t>
      </w:r>
      <w:r w:rsidRPr="00C27768">
        <w:rPr>
          <w:rFonts w:ascii="Times New Roman" w:eastAsia="Calibri" w:hAnsi="Times New Roman" w:cs="Times New Roman"/>
          <w:sz w:val="24"/>
          <w:szCs w:val="24"/>
        </w:rPr>
        <w:t>Health.</w:t>
      </w:r>
    </w:p>
    <w:p w:rsidR="008F365A" w:rsidRDefault="008F365A" w:rsidP="00294D7F">
      <w:pPr>
        <w:ind w:firstLine="0"/>
        <w:rPr>
          <w:rFonts w:ascii="Times New Roman" w:hAnsi="Times New Roman" w:cs="Times New Roman"/>
        </w:rPr>
      </w:pPr>
    </w:p>
    <w:p w:rsidR="008F365A" w:rsidRDefault="008F365A">
      <w:pPr>
        <w:rPr>
          <w:rFonts w:ascii="Times New Roman" w:hAnsi="Times New Roman" w:cs="Times New Roman"/>
        </w:rPr>
      </w:pPr>
    </w:p>
    <w:p w:rsidR="008F365A" w:rsidRPr="00BF5FBA" w:rsidRDefault="008F365A" w:rsidP="00BF5FBA">
      <w:pPr>
        <w:ind w:firstLine="0"/>
        <w:rPr>
          <w:rFonts w:ascii="Times New Roman" w:hAnsi="Times New Roman" w:cs="Times New Roman"/>
          <w:sz w:val="24"/>
        </w:rPr>
      </w:pPr>
      <w:r w:rsidRPr="00BF5FBA">
        <w:rPr>
          <w:rFonts w:ascii="Times New Roman" w:hAnsi="Times New Roman" w:cs="Times New Roman"/>
          <w:sz w:val="24"/>
        </w:rPr>
        <w:t>This is an unpublished draft manuscript that has not been peer-reviewed</w:t>
      </w:r>
    </w:p>
    <w:p w:rsidR="008F365A" w:rsidRPr="00BF5FBA" w:rsidRDefault="008F365A" w:rsidP="00B84BBE">
      <w:pPr>
        <w:ind w:firstLine="0"/>
        <w:rPr>
          <w:rFonts w:ascii="Times New Roman" w:hAnsi="Times New Roman" w:cs="Times New Roman"/>
          <w:sz w:val="24"/>
        </w:rPr>
      </w:pPr>
      <w:r w:rsidRPr="00BF5FBA">
        <w:rPr>
          <w:rFonts w:ascii="Times New Roman" w:hAnsi="Times New Roman" w:cs="Times New Roman"/>
          <w:sz w:val="24"/>
        </w:rPr>
        <w:t>Preprint, v 1., Oct. 13, 2020</w:t>
      </w:r>
      <w:r w:rsidRPr="00BF5FBA">
        <w:rPr>
          <w:rFonts w:ascii="Times New Roman" w:hAnsi="Times New Roman" w:cs="Times New Roman"/>
          <w:sz w:val="24"/>
        </w:rPr>
        <w:br w:type="page"/>
      </w:r>
    </w:p>
    <w:p w:rsidR="008F365A" w:rsidRPr="00FA2489" w:rsidRDefault="008F365A" w:rsidP="00C2537C">
      <w:pPr>
        <w:ind w:firstLine="0"/>
        <w:rPr>
          <w:rFonts w:ascii="Times New Roman" w:hAnsi="Times New Roman" w:cs="Times New Roman"/>
          <w:b/>
          <w:sz w:val="24"/>
          <w:szCs w:val="24"/>
        </w:rPr>
      </w:pPr>
      <w:r>
        <w:rPr>
          <w:rFonts w:ascii="Times New Roman" w:hAnsi="Times New Roman" w:cs="Times New Roman"/>
          <w:b/>
          <w:sz w:val="24"/>
          <w:szCs w:val="24"/>
        </w:rPr>
        <w:lastRenderedPageBreak/>
        <w:t>Abstract</w:t>
      </w:r>
    </w:p>
    <w:p w:rsidR="008F365A" w:rsidRPr="00FA2489" w:rsidRDefault="008F365A" w:rsidP="009F07A4">
      <w:pPr>
        <w:ind w:firstLine="0"/>
        <w:rPr>
          <w:rFonts w:ascii="Times New Roman" w:hAnsi="Times New Roman" w:cs="Times New Roman"/>
          <w:sz w:val="24"/>
          <w:szCs w:val="24"/>
        </w:rPr>
      </w:pPr>
      <w:r w:rsidRPr="00FA2489">
        <w:rPr>
          <w:rFonts w:ascii="Times New Roman" w:hAnsi="Times New Roman" w:cs="Times New Roman"/>
          <w:i/>
          <w:sz w:val="24"/>
          <w:szCs w:val="24"/>
        </w:rPr>
        <w:t>Background</w:t>
      </w:r>
      <w:r w:rsidRPr="00FA2489">
        <w:rPr>
          <w:rFonts w:ascii="Times New Roman" w:hAnsi="Times New Roman" w:cs="Times New Roman"/>
          <w:sz w:val="24"/>
          <w:szCs w:val="24"/>
        </w:rPr>
        <w:t xml:space="preserve">. We examined correlates of past year suicidal thoughts and behavior (STB) and described past year treatment experiences among young </w:t>
      </w:r>
      <w:r>
        <w:rPr>
          <w:rFonts w:ascii="Times New Roman" w:hAnsi="Times New Roman" w:cs="Times New Roman"/>
          <w:sz w:val="24"/>
          <w:szCs w:val="24"/>
        </w:rPr>
        <w:t>people</w:t>
      </w:r>
      <w:r w:rsidRPr="00FA2489">
        <w:rPr>
          <w:rFonts w:ascii="Times New Roman" w:hAnsi="Times New Roman" w:cs="Times New Roman"/>
          <w:sz w:val="24"/>
          <w:szCs w:val="24"/>
        </w:rPr>
        <w:t xml:space="preserve"> who inject drugs</w:t>
      </w:r>
      <w:r>
        <w:rPr>
          <w:rFonts w:ascii="Times New Roman" w:hAnsi="Times New Roman" w:cs="Times New Roman"/>
          <w:sz w:val="24"/>
          <w:szCs w:val="24"/>
        </w:rPr>
        <w:t xml:space="preserve"> (PWID)</w:t>
      </w:r>
      <w:r w:rsidRPr="00FA2489">
        <w:rPr>
          <w:rFonts w:ascii="Times New Roman" w:hAnsi="Times New Roman" w:cs="Times New Roman"/>
          <w:sz w:val="24"/>
          <w:szCs w:val="24"/>
        </w:rPr>
        <w:t xml:space="preserve">. </w:t>
      </w:r>
      <w:r w:rsidRPr="00FA2489">
        <w:rPr>
          <w:rFonts w:ascii="Times New Roman" w:hAnsi="Times New Roman" w:cs="Times New Roman"/>
          <w:i/>
          <w:sz w:val="24"/>
          <w:szCs w:val="24"/>
        </w:rPr>
        <w:t>Methods.</w:t>
      </w:r>
      <w:r w:rsidRPr="00FA2489">
        <w:rPr>
          <w:rFonts w:ascii="Times New Roman" w:hAnsi="Times New Roman" w:cs="Times New Roman"/>
          <w:sz w:val="24"/>
          <w:szCs w:val="24"/>
        </w:rPr>
        <w:t xml:space="preserve"> Participants were 570 adults (18-25 years) who injected primarily heroin. Interviews were conducted at field stations operated by Community Outreach Intervention Projects in Chicago</w:t>
      </w:r>
      <w:r>
        <w:rPr>
          <w:rFonts w:ascii="Times New Roman" w:hAnsi="Times New Roman" w:cs="Times New Roman"/>
          <w:sz w:val="24"/>
          <w:szCs w:val="24"/>
        </w:rPr>
        <w:t>, Illinois (USA)</w:t>
      </w:r>
      <w:r w:rsidRPr="00FA2489">
        <w:rPr>
          <w:rFonts w:ascii="Times New Roman" w:hAnsi="Times New Roman" w:cs="Times New Roman"/>
          <w:sz w:val="24"/>
          <w:szCs w:val="24"/>
        </w:rPr>
        <w:t xml:space="preserve">. </w:t>
      </w:r>
      <w:r>
        <w:rPr>
          <w:rFonts w:ascii="Times New Roman" w:hAnsi="Times New Roman" w:cs="Times New Roman"/>
          <w:sz w:val="24"/>
          <w:szCs w:val="24"/>
        </w:rPr>
        <w:t>I</w:t>
      </w:r>
      <w:r w:rsidRPr="00FA2489">
        <w:rPr>
          <w:rFonts w:ascii="Times New Roman" w:hAnsi="Times New Roman" w:cs="Times New Roman"/>
          <w:sz w:val="24"/>
          <w:szCs w:val="24"/>
        </w:rPr>
        <w:t>nterviewers administered the Psychiatric Research Instrument for Substance and Mental Disorders. Substance use and mental disorders were based on DSM-IV diagnostic criteria.</w:t>
      </w:r>
      <w:r>
        <w:rPr>
          <w:rFonts w:ascii="Times New Roman" w:hAnsi="Times New Roman" w:cs="Times New Roman"/>
          <w:sz w:val="24"/>
          <w:szCs w:val="24"/>
        </w:rPr>
        <w:t xml:space="preserve"> </w:t>
      </w:r>
      <w:r w:rsidRPr="00FA2489">
        <w:rPr>
          <w:rFonts w:ascii="Times New Roman" w:hAnsi="Times New Roman" w:cs="Times New Roman"/>
          <w:sz w:val="24"/>
          <w:szCs w:val="24"/>
        </w:rPr>
        <w:t xml:space="preserve">Past year STB was based on multiple questions. </w:t>
      </w:r>
      <w:r w:rsidRPr="00FA2489">
        <w:rPr>
          <w:rFonts w:ascii="Times New Roman" w:hAnsi="Times New Roman" w:cs="Times New Roman"/>
          <w:i/>
          <w:sz w:val="24"/>
          <w:szCs w:val="24"/>
        </w:rPr>
        <w:t>Results</w:t>
      </w:r>
      <w:r w:rsidRPr="00FA2489">
        <w:rPr>
          <w:rFonts w:ascii="Times New Roman" w:hAnsi="Times New Roman" w:cs="Times New Roman"/>
          <w:sz w:val="24"/>
          <w:szCs w:val="24"/>
        </w:rPr>
        <w:t>. Sixteen percent of men and 25% of women reported STB in the past year. In multivariable analysis, STB was associated with non-heterosexual orientation, foster care, and being raised by two parents. Primary major depression, post-traumatic stress disorder, other anxiety disorders, and borderline personality disorder had independent effects on suicidality. Among those reporting past year STB (n=111), 83% ever received mental health treatment, while 4</w:t>
      </w:r>
      <w:r>
        <w:rPr>
          <w:rFonts w:ascii="Times New Roman" w:hAnsi="Times New Roman" w:cs="Times New Roman"/>
          <w:sz w:val="24"/>
          <w:szCs w:val="24"/>
        </w:rPr>
        <w:t>4</w:t>
      </w:r>
      <w:r w:rsidRPr="00FA2489">
        <w:rPr>
          <w:rFonts w:ascii="Times New Roman" w:hAnsi="Times New Roman" w:cs="Times New Roman"/>
          <w:sz w:val="24"/>
          <w:szCs w:val="24"/>
        </w:rPr>
        <w:t xml:space="preserve">% did so in the past year. </w:t>
      </w:r>
      <w:r w:rsidRPr="00806B57">
        <w:rPr>
          <w:rFonts w:ascii="Times New Roman" w:hAnsi="Times New Roman" w:cs="Times New Roman"/>
          <w:sz w:val="24"/>
          <w:szCs w:val="24"/>
        </w:rPr>
        <w:t>While 24% of respondents indicated that at least one treatment matched their needs very well, 30% reported treatment that did not match their needs at all. The most common reason for ending treatment was program completion (about 50%) while getting better was endorsed by about 25%.</w:t>
      </w:r>
      <w:r w:rsidRPr="00FA2489">
        <w:rPr>
          <w:rFonts w:ascii="Times New Roman" w:hAnsi="Times New Roman" w:cs="Times New Roman"/>
          <w:sz w:val="24"/>
          <w:szCs w:val="24"/>
        </w:rPr>
        <w:t xml:space="preserve"> </w:t>
      </w:r>
      <w:r>
        <w:rPr>
          <w:rFonts w:ascii="Times New Roman" w:hAnsi="Times New Roman" w:cs="Times New Roman"/>
          <w:sz w:val="24"/>
          <w:szCs w:val="24"/>
        </w:rPr>
        <w:t>Nearly half</w:t>
      </w:r>
      <w:r w:rsidRPr="00FA2489">
        <w:rPr>
          <w:rFonts w:ascii="Times New Roman" w:hAnsi="Times New Roman" w:cs="Times New Roman"/>
          <w:sz w:val="24"/>
          <w:szCs w:val="24"/>
        </w:rPr>
        <w:t xml:space="preserve"> reported ending treatment due to a bad experience, logistical issues, or expense. </w:t>
      </w:r>
      <w:r w:rsidRPr="00FA2489">
        <w:rPr>
          <w:rFonts w:ascii="Times New Roman" w:hAnsi="Times New Roman" w:cs="Times New Roman"/>
          <w:i/>
          <w:sz w:val="24"/>
          <w:szCs w:val="24"/>
        </w:rPr>
        <w:t>Conclusions</w:t>
      </w:r>
      <w:r w:rsidRPr="00FA2489">
        <w:rPr>
          <w:rFonts w:ascii="Times New Roman" w:hAnsi="Times New Roman" w:cs="Times New Roman"/>
          <w:sz w:val="24"/>
          <w:szCs w:val="24"/>
        </w:rPr>
        <w:t>. Young PWID are at high risk for suicidal behavior and their mental health treatment experiences often do not meet their needs. There is a pressing need for more integrated substance use and mental health treatment.</w:t>
      </w:r>
    </w:p>
    <w:p w:rsidR="008F365A" w:rsidRPr="00FA2489" w:rsidRDefault="008F365A" w:rsidP="00766EB5">
      <w:pPr>
        <w:ind w:firstLine="0"/>
        <w:rPr>
          <w:rFonts w:ascii="Times New Roman" w:hAnsi="Times New Roman" w:cs="Times New Roman"/>
          <w:sz w:val="24"/>
          <w:szCs w:val="24"/>
        </w:rPr>
        <w:sectPr w:rsidR="008F365A" w:rsidRPr="00FA2489" w:rsidSect="008F365A">
          <w:headerReference w:type="default" r:id="rId8"/>
          <w:pgSz w:w="12240" w:h="15840"/>
          <w:pgMar w:top="1440" w:right="1440" w:bottom="1440" w:left="1440" w:header="720" w:footer="720" w:gutter="0"/>
          <w:cols w:space="720"/>
          <w:titlePg/>
          <w:docGrid w:linePitch="360"/>
        </w:sectPr>
      </w:pPr>
      <w:r w:rsidRPr="00FA2489">
        <w:rPr>
          <w:rFonts w:ascii="Times New Roman" w:hAnsi="Times New Roman" w:cs="Times New Roman"/>
          <w:b/>
          <w:sz w:val="24"/>
          <w:szCs w:val="24"/>
        </w:rPr>
        <w:t>Keywords: injection drug use, suicidal behavior, mental health treatment</w:t>
      </w:r>
      <w:r>
        <w:rPr>
          <w:rFonts w:ascii="Times New Roman" w:hAnsi="Times New Roman" w:cs="Times New Roman"/>
          <w:b/>
          <w:sz w:val="24"/>
          <w:szCs w:val="24"/>
        </w:rPr>
        <w:t>, co-occurring disorders</w:t>
      </w:r>
    </w:p>
    <w:p w:rsidR="008F365A" w:rsidRPr="00FA2489" w:rsidRDefault="008F365A" w:rsidP="00691632">
      <w:pPr>
        <w:ind w:firstLine="0"/>
        <w:rPr>
          <w:rFonts w:ascii="Times New Roman" w:hAnsi="Times New Roman" w:cs="Times New Roman"/>
          <w:b/>
        </w:rPr>
      </w:pPr>
      <w:r w:rsidRPr="00FA2489">
        <w:rPr>
          <w:rFonts w:ascii="Times New Roman" w:hAnsi="Times New Roman" w:cs="Times New Roman"/>
          <w:b/>
        </w:rPr>
        <w:lastRenderedPageBreak/>
        <w:t>1. Introduction</w:t>
      </w:r>
    </w:p>
    <w:p w:rsidR="008F365A" w:rsidRPr="00FA2489" w:rsidRDefault="008F365A" w:rsidP="00B02B54">
      <w:pPr>
        <w:ind w:firstLine="0"/>
        <w:rPr>
          <w:rFonts w:ascii="Times New Roman" w:hAnsi="Times New Roman" w:cs="Times New Roman"/>
          <w:sz w:val="24"/>
          <w:szCs w:val="24"/>
        </w:rPr>
      </w:pPr>
      <w:r w:rsidRPr="00FA2489">
        <w:rPr>
          <w:rFonts w:ascii="Times New Roman" w:hAnsi="Times New Roman" w:cs="Times New Roman"/>
          <w:sz w:val="24"/>
          <w:szCs w:val="24"/>
        </w:rPr>
        <w:t xml:space="preserve">There is a well-established connection between substance misuse and suicidality </w:t>
      </w:r>
      <w:r>
        <w:rPr>
          <w:rFonts w:ascii="Times New Roman" w:hAnsi="Times New Roman" w:cs="Times New Roman"/>
          <w:noProof/>
          <w:sz w:val="24"/>
          <w:szCs w:val="24"/>
        </w:rPr>
        <w:t>(Borges et al., 2000; Mino et al., 1999; Tondo et al., 1999; Wilcox et al., 2004)</w:t>
      </w:r>
      <w:r w:rsidRPr="00FA2489">
        <w:rPr>
          <w:rFonts w:ascii="Times New Roman" w:hAnsi="Times New Roman" w:cs="Times New Roman"/>
          <w:sz w:val="24"/>
          <w:szCs w:val="24"/>
        </w:rPr>
        <w:t xml:space="preserve">, that has been recently highlighted by the ongoing opioid crisis </w:t>
      </w:r>
      <w:r>
        <w:rPr>
          <w:rFonts w:ascii="Times New Roman" w:hAnsi="Times New Roman" w:cs="Times New Roman"/>
          <w:noProof/>
          <w:sz w:val="24"/>
          <w:szCs w:val="24"/>
        </w:rPr>
        <w:t>(Wilson et al., 2020)</w:t>
      </w:r>
      <w:r w:rsidRPr="00FA2489">
        <w:rPr>
          <w:rFonts w:ascii="Times New Roman" w:hAnsi="Times New Roman" w:cs="Times New Roman"/>
          <w:sz w:val="24"/>
          <w:szCs w:val="24"/>
        </w:rPr>
        <w:t xml:space="preserve"> and the recent upward trend in suicide deaths </w:t>
      </w:r>
      <w:r>
        <w:rPr>
          <w:rFonts w:ascii="Times New Roman" w:hAnsi="Times New Roman" w:cs="Times New Roman"/>
          <w:noProof/>
          <w:sz w:val="24"/>
          <w:szCs w:val="24"/>
        </w:rPr>
        <w:t>(Bohnert and Ilgen, 2019; Braden et al., 2017; Curtin and Heron, 2019; Curtin et al., 2016; Hedegaard et al., 2018; Trust for America's Health and Well Being Trust, 2019)</w:t>
      </w:r>
      <w:r w:rsidRPr="00FA2489">
        <w:rPr>
          <w:rFonts w:ascii="Times New Roman" w:hAnsi="Times New Roman" w:cs="Times New Roman"/>
          <w:sz w:val="24"/>
          <w:szCs w:val="24"/>
        </w:rPr>
        <w:t xml:space="preserve">. The problem may even be understated as some proportion of overdose deaths counted as accidental were likely suicides </w:t>
      </w:r>
      <w:r>
        <w:rPr>
          <w:rFonts w:ascii="Times New Roman" w:hAnsi="Times New Roman" w:cs="Times New Roman"/>
          <w:noProof/>
          <w:sz w:val="24"/>
          <w:szCs w:val="24"/>
        </w:rPr>
        <w:t>(Bohnert et al., 2010; Connery et al., 2019; Gicquelais et al., 2020; Liu et al., 2020; Neale, 2000; Oquendo and Volkow, 2018; Richer et al., 2013)</w:t>
      </w:r>
      <w:r w:rsidRPr="00FA2489">
        <w:rPr>
          <w:rFonts w:ascii="Times New Roman" w:hAnsi="Times New Roman" w:cs="Times New Roman"/>
          <w:sz w:val="24"/>
          <w:szCs w:val="24"/>
        </w:rPr>
        <w:t>. In particular, polydrug use and injection drug use are associated with greater risk of suicidal behavior</w:t>
      </w:r>
      <w:r>
        <w:rPr>
          <w:rFonts w:ascii="Times New Roman" w:hAnsi="Times New Roman" w:cs="Times New Roman"/>
          <w:sz w:val="24"/>
          <w:szCs w:val="24"/>
        </w:rPr>
        <w:t xml:space="preserve"> </w:t>
      </w:r>
      <w:r>
        <w:rPr>
          <w:rFonts w:ascii="Times New Roman" w:hAnsi="Times New Roman" w:cs="Times New Roman"/>
          <w:noProof/>
          <w:sz w:val="24"/>
          <w:szCs w:val="24"/>
        </w:rPr>
        <w:t>(Wilcox et al., 2004)</w:t>
      </w:r>
      <w:r w:rsidRPr="00FA2489">
        <w:rPr>
          <w:rFonts w:ascii="Times New Roman" w:hAnsi="Times New Roman" w:cs="Times New Roman"/>
          <w:sz w:val="24"/>
          <w:szCs w:val="24"/>
        </w:rPr>
        <w:t xml:space="preserve">, a difference </w:t>
      </w:r>
      <w:r>
        <w:rPr>
          <w:rFonts w:ascii="Times New Roman" w:hAnsi="Times New Roman" w:cs="Times New Roman"/>
          <w:sz w:val="24"/>
          <w:szCs w:val="24"/>
        </w:rPr>
        <w:t>attributable</w:t>
      </w:r>
      <w:r w:rsidRPr="00FA2489">
        <w:rPr>
          <w:rFonts w:ascii="Times New Roman" w:hAnsi="Times New Roman" w:cs="Times New Roman"/>
          <w:sz w:val="24"/>
          <w:szCs w:val="24"/>
        </w:rPr>
        <w:t xml:space="preserve"> to higher rates of predisposing factors including childhood </w:t>
      </w:r>
      <w:r>
        <w:rPr>
          <w:rFonts w:ascii="Times New Roman" w:hAnsi="Times New Roman" w:cs="Times New Roman"/>
          <w:sz w:val="24"/>
          <w:szCs w:val="24"/>
        </w:rPr>
        <w:t>trauma</w:t>
      </w:r>
      <w:r w:rsidRPr="00FA2489">
        <w:rPr>
          <w:rFonts w:ascii="Times New Roman" w:hAnsi="Times New Roman" w:cs="Times New Roman"/>
          <w:sz w:val="24"/>
          <w:szCs w:val="24"/>
        </w:rPr>
        <w:t xml:space="preserve">, depression, and other mental health problems </w:t>
      </w:r>
      <w:r>
        <w:rPr>
          <w:rFonts w:ascii="Times New Roman" w:hAnsi="Times New Roman" w:cs="Times New Roman"/>
          <w:noProof/>
          <w:sz w:val="24"/>
          <w:szCs w:val="24"/>
        </w:rPr>
        <w:t>(Artenie et al., 2015; Darke et al., 2004; Darke et al., 2007; Darke and Torok, 2013; Havens et al., 2006; Havens et al., 2004; Lloyd et al., 2007; Maloney et al., 2007; Roy, 2010)</w:t>
      </w:r>
      <w:r w:rsidRPr="00FA2489">
        <w:rPr>
          <w:rFonts w:ascii="Times New Roman" w:hAnsi="Times New Roman" w:cs="Times New Roman"/>
          <w:sz w:val="24"/>
          <w:szCs w:val="24"/>
        </w:rPr>
        <w:t xml:space="preserve">. </w:t>
      </w:r>
      <w:r>
        <w:rPr>
          <w:rFonts w:ascii="Times New Roman" w:hAnsi="Times New Roman" w:cs="Times New Roman"/>
          <w:sz w:val="24"/>
          <w:szCs w:val="24"/>
        </w:rPr>
        <w:t xml:space="preserve">Major depression, bipolar disorder, borderline personality disorder (BPD), and post-traumatic stress disorder (PTSD) are associated with suicidality among people with substance use disorder </w:t>
      </w:r>
      <w:r>
        <w:rPr>
          <w:rFonts w:ascii="Times New Roman" w:hAnsi="Times New Roman" w:cs="Times New Roman"/>
          <w:noProof/>
          <w:sz w:val="24"/>
          <w:szCs w:val="24"/>
        </w:rPr>
        <w:t>(Yuodelis-Flores and Ries, 2015)</w:t>
      </w:r>
      <w:r>
        <w:rPr>
          <w:rFonts w:ascii="Times New Roman" w:hAnsi="Times New Roman" w:cs="Times New Roman"/>
          <w:sz w:val="24"/>
          <w:szCs w:val="24"/>
        </w:rPr>
        <w:t xml:space="preserve">. </w:t>
      </w:r>
      <w:r w:rsidRPr="00FA2489">
        <w:rPr>
          <w:rFonts w:ascii="Times New Roman" w:hAnsi="Times New Roman" w:cs="Times New Roman"/>
          <w:sz w:val="24"/>
          <w:szCs w:val="24"/>
        </w:rPr>
        <w:t xml:space="preserve">Sexual orientation and gender identity minority status are also significant risk factors, likely through increased psychological distress </w:t>
      </w:r>
      <w:r>
        <w:rPr>
          <w:rFonts w:ascii="Times New Roman" w:hAnsi="Times New Roman" w:cs="Times New Roman"/>
          <w:noProof/>
          <w:sz w:val="24"/>
          <w:szCs w:val="24"/>
        </w:rPr>
        <w:t>(Haas et al., 2010; Havens et al., 2006; King et al., 2008; Pompili et al., 2014)</w:t>
      </w:r>
      <w:r w:rsidRPr="00FA2489">
        <w:rPr>
          <w:rFonts w:ascii="Times New Roman" w:hAnsi="Times New Roman" w:cs="Times New Roman"/>
          <w:sz w:val="24"/>
          <w:szCs w:val="24"/>
        </w:rPr>
        <w:t xml:space="preserve">. </w:t>
      </w:r>
    </w:p>
    <w:p w:rsidR="008F365A" w:rsidRPr="00FA2489" w:rsidRDefault="008F365A" w:rsidP="00B02B54">
      <w:pPr>
        <w:ind w:firstLine="0"/>
        <w:rPr>
          <w:rFonts w:ascii="Times New Roman" w:hAnsi="Times New Roman" w:cs="Times New Roman"/>
          <w:sz w:val="24"/>
          <w:szCs w:val="24"/>
        </w:rPr>
      </w:pPr>
      <w:r w:rsidRPr="00FA2489">
        <w:rPr>
          <w:rFonts w:ascii="Times New Roman" w:hAnsi="Times New Roman" w:cs="Times New Roman"/>
          <w:sz w:val="24"/>
          <w:szCs w:val="24"/>
        </w:rPr>
        <w:t xml:space="preserve"> </w:t>
      </w:r>
      <w:r w:rsidRPr="00FA2489">
        <w:rPr>
          <w:rFonts w:ascii="Times New Roman" w:hAnsi="Times New Roman" w:cs="Times New Roman"/>
          <w:sz w:val="24"/>
          <w:szCs w:val="24"/>
        </w:rPr>
        <w:tab/>
        <w:t>The mental health treatment experiences of people who inject drugs (PWID) are not well known. While some progress has been made in the recognition of the need to address substance use treatment needs within mental health treatment</w:t>
      </w:r>
      <w:r>
        <w:rPr>
          <w:rFonts w:ascii="Times New Roman" w:hAnsi="Times New Roman" w:cs="Times New Roman"/>
          <w:sz w:val="24"/>
          <w:szCs w:val="24"/>
        </w:rPr>
        <w:t xml:space="preserve"> </w:t>
      </w:r>
      <w:r>
        <w:rPr>
          <w:rFonts w:ascii="Times New Roman" w:hAnsi="Times New Roman" w:cs="Times New Roman"/>
          <w:noProof/>
          <w:sz w:val="24"/>
          <w:szCs w:val="24"/>
        </w:rPr>
        <w:t>(Substance Abuse and Mental Health Services Administration (SAMHSA), 2020)</w:t>
      </w:r>
      <w:r w:rsidRPr="00FA2489">
        <w:rPr>
          <w:rFonts w:ascii="Times New Roman" w:hAnsi="Times New Roman" w:cs="Times New Roman"/>
          <w:sz w:val="24"/>
          <w:szCs w:val="24"/>
        </w:rPr>
        <w:t xml:space="preserve">, few providers offer integrated treatment in line with the Integrated Dual Diagnosis Treatment model </w:t>
      </w:r>
      <w:r>
        <w:rPr>
          <w:rFonts w:ascii="Times New Roman" w:hAnsi="Times New Roman" w:cs="Times New Roman"/>
          <w:noProof/>
          <w:sz w:val="24"/>
          <w:szCs w:val="24"/>
        </w:rPr>
        <w:t>(Mues</w:t>
      </w:r>
      <w:bookmarkStart w:id="0" w:name="_GoBack"/>
      <w:bookmarkEnd w:id="0"/>
      <w:r>
        <w:rPr>
          <w:rFonts w:ascii="Times New Roman" w:hAnsi="Times New Roman" w:cs="Times New Roman"/>
          <w:noProof/>
          <w:sz w:val="24"/>
          <w:szCs w:val="24"/>
        </w:rPr>
        <w:t>er, 2003; Spivak et al., 2020)</w:t>
      </w:r>
      <w:r w:rsidRPr="00FA2489">
        <w:rPr>
          <w:rFonts w:ascii="Times New Roman" w:hAnsi="Times New Roman" w:cs="Times New Roman"/>
          <w:sz w:val="24"/>
          <w:szCs w:val="24"/>
        </w:rPr>
        <w:t xml:space="preserve">. There is </w:t>
      </w:r>
      <w:r w:rsidRPr="00FA2489">
        <w:rPr>
          <w:rFonts w:ascii="Times New Roman" w:hAnsi="Times New Roman" w:cs="Times New Roman"/>
          <w:sz w:val="24"/>
          <w:szCs w:val="24"/>
        </w:rPr>
        <w:lastRenderedPageBreak/>
        <w:t xml:space="preserve">evidence that people with psychiatric problems experience less success with substance abuse treatment (premature termination, relapse) compared to those without comorbid conditions, and consequently experience more adverse outcomes </w:t>
      </w:r>
      <w:r>
        <w:rPr>
          <w:rFonts w:ascii="Times New Roman" w:hAnsi="Times New Roman" w:cs="Times New Roman"/>
          <w:noProof/>
          <w:sz w:val="24"/>
          <w:szCs w:val="24"/>
        </w:rPr>
        <w:t>(Andersson et al., 2019; Syan et al., 2020; Teesson et al., 2015; Teesson et al., 2008; van Hagen et al., 2019)</w:t>
      </w:r>
      <w:r w:rsidRPr="00FA2489">
        <w:rPr>
          <w:rFonts w:ascii="Times New Roman" w:hAnsi="Times New Roman" w:cs="Times New Roman"/>
          <w:sz w:val="24"/>
          <w:szCs w:val="24"/>
        </w:rPr>
        <w:t xml:space="preserve">. </w:t>
      </w:r>
      <w:r>
        <w:rPr>
          <w:rFonts w:ascii="Times New Roman" w:hAnsi="Times New Roman" w:cs="Times New Roman"/>
          <w:sz w:val="24"/>
          <w:szCs w:val="24"/>
        </w:rPr>
        <w:t>The need for better systems of treatment for comorbid substance use and other mental health problems is starkly evident in the wake of the COVID-19 pandemic, that has both exacerbated mental health issues and disrupted systems of care.</w:t>
      </w:r>
    </w:p>
    <w:p w:rsidR="008F365A" w:rsidRPr="00FA2489" w:rsidRDefault="008F365A" w:rsidP="00B02B54">
      <w:pPr>
        <w:ind w:firstLine="0"/>
        <w:rPr>
          <w:rFonts w:ascii="Times New Roman" w:hAnsi="Times New Roman" w:cs="Times New Roman"/>
        </w:rPr>
      </w:pPr>
      <w:r w:rsidRPr="00FA2489">
        <w:rPr>
          <w:rFonts w:ascii="Times New Roman" w:hAnsi="Times New Roman" w:cs="Times New Roman"/>
          <w:sz w:val="24"/>
          <w:szCs w:val="24"/>
        </w:rPr>
        <w:tab/>
      </w:r>
      <w:r>
        <w:rPr>
          <w:rFonts w:ascii="Times New Roman" w:hAnsi="Times New Roman" w:cs="Times New Roman"/>
          <w:sz w:val="24"/>
          <w:szCs w:val="24"/>
        </w:rPr>
        <w:t xml:space="preserve">To inform intervention development for suicide prevention among high-risk populations such as PWID, we analyzed data from a study on the mental health of young PWID. </w:t>
      </w:r>
      <w:r w:rsidRPr="00FA2489">
        <w:rPr>
          <w:rFonts w:ascii="Times New Roman" w:hAnsi="Times New Roman" w:cs="Times New Roman"/>
          <w:sz w:val="24"/>
          <w:szCs w:val="24"/>
        </w:rPr>
        <w:t>The present study reports correlates of past year suicidal t</w:t>
      </w:r>
      <w:r>
        <w:rPr>
          <w:rFonts w:ascii="Times New Roman" w:hAnsi="Times New Roman" w:cs="Times New Roman"/>
          <w:sz w:val="24"/>
          <w:szCs w:val="24"/>
        </w:rPr>
        <w:t xml:space="preserve">houghts and behavior (STB) in this out-of-treatment </w:t>
      </w:r>
      <w:r w:rsidRPr="00FA2489">
        <w:rPr>
          <w:rFonts w:ascii="Times New Roman" w:hAnsi="Times New Roman" w:cs="Times New Roman"/>
          <w:sz w:val="24"/>
          <w:szCs w:val="24"/>
        </w:rPr>
        <w:t xml:space="preserve">sample </w:t>
      </w:r>
      <w:r>
        <w:rPr>
          <w:rFonts w:ascii="Times New Roman" w:hAnsi="Times New Roman" w:cs="Times New Roman"/>
          <w:sz w:val="24"/>
          <w:szCs w:val="24"/>
        </w:rPr>
        <w:t>recruited in 2008-2010</w:t>
      </w:r>
      <w:r w:rsidRPr="00FA2489">
        <w:rPr>
          <w:rFonts w:ascii="Times New Roman" w:hAnsi="Times New Roman" w:cs="Times New Roman"/>
          <w:sz w:val="24"/>
          <w:szCs w:val="24"/>
        </w:rPr>
        <w:t xml:space="preserve">, </w:t>
      </w:r>
      <w:r>
        <w:rPr>
          <w:rFonts w:ascii="Times New Roman" w:hAnsi="Times New Roman" w:cs="Times New Roman"/>
          <w:sz w:val="24"/>
          <w:szCs w:val="24"/>
        </w:rPr>
        <w:t>as well as</w:t>
      </w:r>
      <w:r w:rsidRPr="00FA2489">
        <w:rPr>
          <w:rFonts w:ascii="Times New Roman" w:hAnsi="Times New Roman" w:cs="Times New Roman"/>
          <w:sz w:val="24"/>
          <w:szCs w:val="24"/>
        </w:rPr>
        <w:t xml:space="preserve"> clinical characteristics and self-reported mental health and substance use related treatment experiences among those who disclosed past year STB.  </w:t>
      </w:r>
    </w:p>
    <w:p w:rsidR="008F365A" w:rsidRPr="00FA2489" w:rsidRDefault="008F365A" w:rsidP="00A47511">
      <w:pPr>
        <w:autoSpaceDE w:val="0"/>
        <w:autoSpaceDN w:val="0"/>
        <w:adjustRightInd w:val="0"/>
        <w:spacing w:line="240" w:lineRule="auto"/>
        <w:ind w:firstLine="0"/>
        <w:rPr>
          <w:rFonts w:ascii="Times New Roman" w:hAnsi="Times New Roman" w:cs="Times New Roman"/>
          <w:sz w:val="24"/>
          <w:szCs w:val="24"/>
        </w:rPr>
      </w:pPr>
    </w:p>
    <w:p w:rsidR="008F365A" w:rsidRPr="00FA2489" w:rsidRDefault="008F365A" w:rsidP="00691632">
      <w:pPr>
        <w:ind w:firstLine="0"/>
        <w:rPr>
          <w:rFonts w:ascii="Times New Roman" w:hAnsi="Times New Roman" w:cs="Times New Roman"/>
          <w:b/>
        </w:rPr>
      </w:pPr>
      <w:r w:rsidRPr="00FA2489">
        <w:rPr>
          <w:rFonts w:ascii="Times New Roman" w:hAnsi="Times New Roman" w:cs="Times New Roman"/>
          <w:b/>
        </w:rPr>
        <w:t>2. Methods</w:t>
      </w:r>
    </w:p>
    <w:p w:rsidR="008F365A" w:rsidRPr="00FA2489" w:rsidRDefault="008F365A" w:rsidP="00D526E3">
      <w:pPr>
        <w:ind w:firstLine="0"/>
        <w:rPr>
          <w:rFonts w:ascii="Times New Roman" w:hAnsi="Times New Roman" w:cs="Times New Roman"/>
        </w:rPr>
      </w:pPr>
      <w:r w:rsidRPr="00FA2489">
        <w:rPr>
          <w:rFonts w:ascii="Times New Roman" w:hAnsi="Times New Roman" w:cs="Times New Roman"/>
          <w:sz w:val="24"/>
          <w:szCs w:val="24"/>
        </w:rPr>
        <w:t xml:space="preserve">Details of the study methods have been previously reported </w:t>
      </w:r>
      <w:r>
        <w:rPr>
          <w:rFonts w:ascii="Times New Roman" w:hAnsi="Times New Roman" w:cs="Times New Roman"/>
          <w:noProof/>
          <w:sz w:val="24"/>
          <w:szCs w:val="24"/>
        </w:rPr>
        <w:t>(Mackesy-Amiti et al., 2012)</w:t>
      </w:r>
      <w:r w:rsidRPr="00FA2489">
        <w:rPr>
          <w:rFonts w:ascii="Times New Roman" w:hAnsi="Times New Roman" w:cs="Times New Roman"/>
          <w:sz w:val="24"/>
          <w:szCs w:val="24"/>
        </w:rPr>
        <w:t>. All study procedures were approved by the Institutional Review Board of the University of Illinois at Chicago.</w:t>
      </w:r>
    </w:p>
    <w:p w:rsidR="008F365A" w:rsidRPr="00FA2489" w:rsidRDefault="008F365A" w:rsidP="00215DD5">
      <w:pPr>
        <w:ind w:firstLine="0"/>
        <w:rPr>
          <w:rFonts w:ascii="Times New Roman" w:hAnsi="Times New Roman" w:cs="Times New Roman"/>
          <w:sz w:val="24"/>
          <w:szCs w:val="24"/>
        </w:rPr>
      </w:pPr>
      <w:r w:rsidRPr="00FA2489">
        <w:rPr>
          <w:rFonts w:ascii="Times New Roman" w:hAnsi="Times New Roman" w:cs="Times New Roman"/>
          <w:i/>
          <w:sz w:val="24"/>
          <w:szCs w:val="24"/>
        </w:rPr>
        <w:t>2.1. Sample recruitment</w:t>
      </w:r>
      <w:r w:rsidRPr="00FA2489">
        <w:rPr>
          <w:rFonts w:ascii="Times New Roman" w:hAnsi="Times New Roman" w:cs="Times New Roman"/>
          <w:sz w:val="24"/>
          <w:szCs w:val="24"/>
        </w:rPr>
        <w:t xml:space="preserve">.  </w:t>
      </w:r>
    </w:p>
    <w:p w:rsidR="008F365A" w:rsidRPr="00FA2489" w:rsidRDefault="008F365A" w:rsidP="00215DD5">
      <w:pPr>
        <w:rPr>
          <w:rFonts w:ascii="Times New Roman" w:hAnsi="Times New Roman" w:cs="Times New Roman"/>
          <w:sz w:val="24"/>
          <w:szCs w:val="24"/>
        </w:rPr>
      </w:pPr>
      <w:r w:rsidRPr="00FA2489">
        <w:rPr>
          <w:rFonts w:ascii="Times New Roman" w:hAnsi="Times New Roman" w:cs="Times New Roman"/>
          <w:sz w:val="24"/>
          <w:szCs w:val="24"/>
        </w:rPr>
        <w:t xml:space="preserve">The study was conducted at two field sites of the Community Outreach Intervention Projects in West and Northwest Side neighborhoods in Chicago, Illinois (USA). These sites provide a variety of services including HIV testing and counseling, hepatitis (HBV and HCV) testing, substance abuse treatment referrals, and syringe services. Participants were eligible for the study if they had injected drugs at least once in the past 30 days and were age 18 to 25. </w:t>
      </w:r>
      <w:r w:rsidRPr="00FA2489">
        <w:rPr>
          <w:rFonts w:ascii="Times New Roman" w:hAnsi="Times New Roman" w:cs="Times New Roman"/>
          <w:sz w:val="24"/>
          <w:szCs w:val="24"/>
        </w:rPr>
        <w:lastRenderedPageBreak/>
        <w:t>Current injection was verified by trained counselors who inspected for injection stigmata, and age was verified with a driver’s license or state identification card.</w:t>
      </w:r>
      <w:r>
        <w:rPr>
          <w:rFonts w:ascii="Times New Roman" w:hAnsi="Times New Roman" w:cs="Times New Roman"/>
          <w:sz w:val="24"/>
          <w:szCs w:val="24"/>
        </w:rPr>
        <w:t xml:space="preserve">  Those without identification were assisted by staff assisted in obtaining these documents. </w:t>
      </w:r>
    </w:p>
    <w:p w:rsidR="008F365A" w:rsidRPr="00FA2489" w:rsidRDefault="008F365A" w:rsidP="00215DD5">
      <w:pPr>
        <w:rPr>
          <w:rFonts w:ascii="Times New Roman" w:hAnsi="Times New Roman" w:cs="Times New Roman"/>
          <w:sz w:val="24"/>
          <w:szCs w:val="24"/>
        </w:rPr>
      </w:pPr>
      <w:r w:rsidRPr="00FA2489">
        <w:rPr>
          <w:rFonts w:ascii="Times New Roman" w:hAnsi="Times New Roman" w:cs="Times New Roman"/>
          <w:sz w:val="24"/>
          <w:szCs w:val="24"/>
        </w:rPr>
        <w:t>Study participants were recruited using outreach and respondent</w:t>
      </w:r>
      <w:r>
        <w:rPr>
          <w:rFonts w:ascii="Times New Roman" w:hAnsi="Times New Roman" w:cs="Times New Roman"/>
          <w:sz w:val="24"/>
          <w:szCs w:val="24"/>
        </w:rPr>
        <w:t>-</w:t>
      </w:r>
      <w:r w:rsidRPr="00FA2489">
        <w:rPr>
          <w:rFonts w:ascii="Times New Roman" w:hAnsi="Times New Roman" w:cs="Times New Roman"/>
          <w:sz w:val="24"/>
          <w:szCs w:val="24"/>
        </w:rPr>
        <w:t xml:space="preserve">driven sampling (RDS) methods </w:t>
      </w:r>
      <w:r>
        <w:rPr>
          <w:rFonts w:ascii="Times New Roman" w:hAnsi="Times New Roman" w:cs="Times New Roman"/>
          <w:noProof/>
          <w:sz w:val="24"/>
          <w:szCs w:val="24"/>
        </w:rPr>
        <w:t>(Heckathorn, 1997, 2002)</w:t>
      </w:r>
      <w:r w:rsidRPr="00FA2489">
        <w:rPr>
          <w:rFonts w:ascii="Times New Roman" w:hAnsi="Times New Roman" w:cs="Times New Roman"/>
          <w:sz w:val="24"/>
          <w:szCs w:val="24"/>
        </w:rPr>
        <w:t>. Initial participants (seeds) were recruited by outreach workers at the two field sites and were selected to be heterogeneous with respect to gender, race/ethnicity, socioeconomic status, and sexual orientation. Each seed, and each recruited participant that followed, received up to four recruitment coupons after completing the interview. Coupons included a map to the field site from which they were issued, a toll-free phone number for obtaining more information or for arranging appointments, and a unique serial number, with the first digit identifying the site. The coupon numbers were entered into a computer database that established links between seeds and the chains of recruits and recruiters that followed. Participants received compensation for each coupon that was brought in by a person eligible to participate in the study. Compensation began at $15 and was later increased to $20 in an effort to increase recruitment. Recruitment chains tended to be short, and many seeds were not productive, therefore outreach workers also continued to recruit participants directly throughout the study. Forty percent of enrolled participants were recruited by outreach.</w:t>
      </w:r>
    </w:p>
    <w:p w:rsidR="008F365A" w:rsidRPr="00FA2489" w:rsidRDefault="008F365A" w:rsidP="00215DD5">
      <w:pPr>
        <w:rPr>
          <w:rFonts w:ascii="Times New Roman" w:hAnsi="Times New Roman" w:cs="Times New Roman"/>
          <w:sz w:val="24"/>
          <w:szCs w:val="24"/>
        </w:rPr>
      </w:pPr>
      <w:r w:rsidRPr="00FA2489">
        <w:rPr>
          <w:rFonts w:ascii="Times New Roman" w:hAnsi="Times New Roman" w:cs="Times New Roman"/>
          <w:sz w:val="24"/>
          <w:szCs w:val="24"/>
        </w:rPr>
        <w:t xml:space="preserve">Participants who distributed coupons had to return to the field site to receive compensation and were paid $10-$15 for the coupon review session, independent of compensation for coupons redeemed. Those who successfully recruited eligible potential participants, and returned to the field site for a coupon review, were given additional coupons. Lost coupons were replaced upon request, and the original coupons voided. </w:t>
      </w:r>
    </w:p>
    <w:p w:rsidR="008F365A" w:rsidRPr="00FA2489" w:rsidRDefault="008F365A" w:rsidP="00FE3DAB">
      <w:pPr>
        <w:keepNext/>
        <w:ind w:firstLine="0"/>
        <w:rPr>
          <w:rFonts w:ascii="Times New Roman" w:hAnsi="Times New Roman" w:cs="Times New Roman"/>
          <w:i/>
          <w:sz w:val="24"/>
          <w:szCs w:val="24"/>
        </w:rPr>
      </w:pPr>
      <w:r w:rsidRPr="00FA2489">
        <w:rPr>
          <w:rFonts w:ascii="Times New Roman" w:hAnsi="Times New Roman" w:cs="Times New Roman"/>
          <w:i/>
          <w:sz w:val="24"/>
          <w:szCs w:val="24"/>
        </w:rPr>
        <w:lastRenderedPageBreak/>
        <w:t xml:space="preserve"> 2.2. Procedures.</w:t>
      </w:r>
    </w:p>
    <w:p w:rsidR="008F365A" w:rsidRPr="00FA2489" w:rsidRDefault="008F365A" w:rsidP="00215DD5">
      <w:pPr>
        <w:ind w:firstLine="0"/>
        <w:rPr>
          <w:rFonts w:ascii="Times New Roman" w:hAnsi="Times New Roman" w:cs="Times New Roman"/>
          <w:sz w:val="24"/>
          <w:szCs w:val="24"/>
        </w:rPr>
      </w:pPr>
      <w:r w:rsidRPr="00FA2489">
        <w:rPr>
          <w:rFonts w:ascii="Times New Roman" w:hAnsi="Times New Roman" w:cs="Times New Roman"/>
          <w:sz w:val="24"/>
          <w:szCs w:val="24"/>
        </w:rPr>
        <w:tab/>
        <w:t xml:space="preserve">After screening for eligibility, and completing informed consent procedures, participants completed a brief computer-based assessment including questions about the size and composition of their injection drug-using network, and the nature of their relationship with their recruiter. Participants then completed an audio computer-assisted self-interview (ACASI) to assess socio-demographic background, family background, drug use, injection risk behavior, sexual risk behavior, recent mental health and substance use treatment services, HIV and hepatitis testing, HIV/hepatitis knowledge, attitudes regarding and subjective norms for HIV risk behavior, and self-efficacy for sex- and injection-related HIV risk reduction behaviors. </w:t>
      </w:r>
    </w:p>
    <w:p w:rsidR="008F365A" w:rsidRPr="00FA2489" w:rsidRDefault="008F365A" w:rsidP="00215DD5">
      <w:pPr>
        <w:rPr>
          <w:rFonts w:ascii="Times New Roman" w:hAnsi="Times New Roman" w:cs="Times New Roman"/>
          <w:sz w:val="24"/>
          <w:szCs w:val="24"/>
        </w:rPr>
      </w:pPr>
      <w:r w:rsidRPr="00FA2489">
        <w:rPr>
          <w:rFonts w:ascii="Times New Roman" w:hAnsi="Times New Roman" w:cs="Times New Roman"/>
          <w:sz w:val="24"/>
          <w:szCs w:val="24"/>
        </w:rPr>
        <w:t>Following the ACASI, a trained interviewer administered the Psychiatric Research Interview for Substance and Mental Disorders (PRISM, version 6). On request, or if no interviewer was immediately available, participants were allowed to make an appointment to return for the PRISM interview. Participants were compensated for completing the interviews. Compensation was initially set at $50 and was later increased to $75 due to the demanding nature of the PRISM interview.</w:t>
      </w:r>
    </w:p>
    <w:p w:rsidR="008F365A" w:rsidRPr="00FA2489" w:rsidRDefault="008F365A" w:rsidP="00B86B96">
      <w:pPr>
        <w:ind w:firstLine="0"/>
        <w:rPr>
          <w:rFonts w:ascii="Times New Roman" w:hAnsi="Times New Roman" w:cs="Times New Roman"/>
          <w:i/>
          <w:sz w:val="24"/>
          <w:szCs w:val="24"/>
        </w:rPr>
      </w:pPr>
      <w:r w:rsidRPr="00FA2489">
        <w:rPr>
          <w:rFonts w:ascii="Times New Roman" w:hAnsi="Times New Roman" w:cs="Times New Roman"/>
          <w:i/>
          <w:sz w:val="24"/>
          <w:szCs w:val="24"/>
        </w:rPr>
        <w:t>2.3. Measures.</w:t>
      </w:r>
    </w:p>
    <w:p w:rsidR="008F365A" w:rsidRDefault="008F365A" w:rsidP="00511C0D">
      <w:pPr>
        <w:autoSpaceDE w:val="0"/>
        <w:autoSpaceDN w:val="0"/>
        <w:adjustRightInd w:val="0"/>
        <w:ind w:firstLine="0"/>
        <w:rPr>
          <w:rFonts w:ascii="Times New Roman" w:hAnsi="Times New Roman" w:cs="Times New Roman"/>
          <w:sz w:val="24"/>
          <w:szCs w:val="24"/>
        </w:rPr>
      </w:pPr>
      <w:r w:rsidRPr="00FA2489">
        <w:rPr>
          <w:rFonts w:ascii="Times New Roman" w:hAnsi="Times New Roman" w:cs="Times New Roman"/>
          <w:sz w:val="24"/>
          <w:szCs w:val="24"/>
          <w:u w:val="single"/>
        </w:rPr>
        <w:t>2.3.1. Sociodemographic variables</w:t>
      </w:r>
      <w:r w:rsidRPr="00FA2489">
        <w:rPr>
          <w:rFonts w:ascii="Times New Roman" w:hAnsi="Times New Roman" w:cs="Times New Roman"/>
          <w:sz w:val="24"/>
          <w:szCs w:val="24"/>
        </w:rPr>
        <w:t xml:space="preserve">. </w:t>
      </w:r>
    </w:p>
    <w:p w:rsidR="008F365A" w:rsidRPr="00FA2489" w:rsidRDefault="008F365A" w:rsidP="006B45CB">
      <w:pPr>
        <w:autoSpaceDE w:val="0"/>
        <w:autoSpaceDN w:val="0"/>
        <w:adjustRightInd w:val="0"/>
        <w:rPr>
          <w:rFonts w:ascii="Times New Roman" w:hAnsi="Times New Roman" w:cs="Times New Roman"/>
          <w:sz w:val="24"/>
          <w:szCs w:val="24"/>
        </w:rPr>
      </w:pPr>
      <w:r w:rsidRPr="00FA2489">
        <w:rPr>
          <w:rFonts w:ascii="Times New Roman" w:hAnsi="Times New Roman" w:cs="Times New Roman"/>
          <w:sz w:val="24"/>
          <w:szCs w:val="24"/>
        </w:rPr>
        <w:t xml:space="preserve">Basic demographic variables included sex, age, race and ethnicity, and sexual orientation. Assessment of family background included questions on adoption (“Were you adopted?” If yes, “at what age were you adopted?”), and parental separation (“Before you reached 18 years of age, did your mother or father die, or were you separated from one or both parents (e.g. by abandonment, separation/divorce, or parent's imprisonment)?” with response categories being mother died, father died, mother separated, father separated. Subjects were also asked to indicate </w:t>
      </w:r>
      <w:r w:rsidRPr="00FA2489">
        <w:rPr>
          <w:rFonts w:ascii="Times New Roman" w:hAnsi="Times New Roman" w:cs="Times New Roman"/>
          <w:sz w:val="24"/>
          <w:szCs w:val="24"/>
        </w:rPr>
        <w:lastRenderedPageBreak/>
        <w:t>whether they grew up with a mother (or female parent-figure) only, a father (or male parent-figure) only, or with both mother and father (or female and male parent-figures), and whether they had lived for more than 6 months with an adult who was not their natural or adoptive parent (including a relative, step-parent, foster parent, state-appointed guardian, or someone else).</w:t>
      </w:r>
    </w:p>
    <w:p w:rsidR="008F365A" w:rsidRDefault="008F365A" w:rsidP="00511C0D">
      <w:pPr>
        <w:autoSpaceDE w:val="0"/>
        <w:autoSpaceDN w:val="0"/>
        <w:adjustRightInd w:val="0"/>
        <w:ind w:firstLine="0"/>
        <w:rPr>
          <w:rFonts w:ascii="Times New Roman" w:hAnsi="Times New Roman" w:cs="Times New Roman"/>
          <w:sz w:val="24"/>
          <w:szCs w:val="24"/>
        </w:rPr>
      </w:pPr>
      <w:r w:rsidRPr="00FA2489">
        <w:rPr>
          <w:rFonts w:ascii="Times New Roman" w:hAnsi="Times New Roman" w:cs="Times New Roman"/>
          <w:sz w:val="24"/>
          <w:szCs w:val="24"/>
          <w:u w:val="single"/>
        </w:rPr>
        <w:t>2.3.1. Mental health treatment experiences</w:t>
      </w:r>
      <w:r w:rsidRPr="00FA2489">
        <w:rPr>
          <w:rFonts w:ascii="Times New Roman" w:hAnsi="Times New Roman" w:cs="Times New Roman"/>
          <w:sz w:val="24"/>
          <w:szCs w:val="24"/>
        </w:rPr>
        <w:t xml:space="preserve">. </w:t>
      </w:r>
    </w:p>
    <w:p w:rsidR="008F365A" w:rsidRPr="00FA2489" w:rsidRDefault="008F365A" w:rsidP="00511C0D">
      <w:pPr>
        <w:autoSpaceDE w:val="0"/>
        <w:autoSpaceDN w:val="0"/>
        <w:adjustRightInd w:val="0"/>
        <w:ind w:firstLine="0"/>
        <w:rPr>
          <w:rFonts w:ascii="Times New Roman" w:hAnsi="Times New Roman" w:cs="Times New Roman"/>
          <w:sz w:val="24"/>
          <w:szCs w:val="24"/>
        </w:rPr>
      </w:pPr>
      <w:r w:rsidRPr="00FA2489">
        <w:rPr>
          <w:rFonts w:ascii="Times New Roman" w:hAnsi="Times New Roman" w:cs="Times New Roman"/>
          <w:sz w:val="24"/>
          <w:szCs w:val="24"/>
        </w:rPr>
        <w:t xml:space="preserve">Substance abuse and mental health service use was assessed in the ACASI questionnaire with a series of questions based on the Service Assessment for Children and Adolescents (SACA) </w:t>
      </w:r>
      <w:r>
        <w:rPr>
          <w:rFonts w:ascii="Times New Roman" w:hAnsi="Times New Roman" w:cs="Times New Roman"/>
          <w:noProof/>
          <w:sz w:val="24"/>
          <w:szCs w:val="24"/>
        </w:rPr>
        <w:t>(Stiffman et al., 2000)</w:t>
      </w:r>
      <w:r w:rsidRPr="00FA2489">
        <w:rPr>
          <w:rFonts w:ascii="Times New Roman" w:hAnsi="Times New Roman" w:cs="Times New Roman"/>
          <w:sz w:val="24"/>
          <w:szCs w:val="24"/>
        </w:rPr>
        <w:t>. We selected the SACA for disaggregating types of services from provider and setting, and assessing the duration, intensity, and content of services received. Questions assessed the types of mental health services used, the treatments received within service settings, the reasons for service use, and the quality of services. Quality was evaluated with the questions “How well did the treatment chosen for you meet your needs?” with response options of “not well”, “okay”, and “very well”, and “How much has your treatment helped you?” with response options of “not at all”, “some”, and “a lot”.</w:t>
      </w:r>
    </w:p>
    <w:p w:rsidR="008F365A" w:rsidRDefault="008F365A" w:rsidP="00511C0D">
      <w:pPr>
        <w:ind w:firstLine="0"/>
        <w:rPr>
          <w:rFonts w:ascii="Times New Roman" w:hAnsi="Times New Roman" w:cs="Times New Roman"/>
          <w:sz w:val="24"/>
          <w:szCs w:val="24"/>
        </w:rPr>
      </w:pPr>
      <w:r w:rsidRPr="00FA2489">
        <w:rPr>
          <w:rFonts w:ascii="Times New Roman" w:hAnsi="Times New Roman" w:cs="Times New Roman"/>
          <w:sz w:val="24"/>
          <w:szCs w:val="24"/>
          <w:u w:val="single"/>
        </w:rPr>
        <w:t>2.3.2. Suicidal thoughts and behavior</w:t>
      </w:r>
      <w:r w:rsidRPr="00FA2489">
        <w:rPr>
          <w:rFonts w:ascii="Times New Roman" w:hAnsi="Times New Roman" w:cs="Times New Roman"/>
          <w:sz w:val="24"/>
          <w:szCs w:val="24"/>
        </w:rPr>
        <w:t xml:space="preserve">. </w:t>
      </w:r>
    </w:p>
    <w:p w:rsidR="008F365A" w:rsidRPr="00FA2489" w:rsidRDefault="008F365A" w:rsidP="003C6124">
      <w:pPr>
        <w:rPr>
          <w:rFonts w:ascii="Times New Roman" w:hAnsi="Times New Roman" w:cs="Times New Roman"/>
          <w:sz w:val="24"/>
          <w:szCs w:val="24"/>
        </w:rPr>
      </w:pPr>
      <w:r w:rsidRPr="00FA2489">
        <w:rPr>
          <w:rFonts w:ascii="Times New Roman" w:hAnsi="Times New Roman" w:cs="Times New Roman"/>
          <w:sz w:val="24"/>
          <w:szCs w:val="24"/>
        </w:rPr>
        <w:t xml:space="preserve">The PRISM is a semi-structured clinical interview that provides diagnoses based on DSM-IV criteria, and is specifically designed to differentiate between the expected effects of intoxication and withdrawal, and between primary (independent) and substance-induced psychiatric disorders </w:t>
      </w:r>
      <w:r>
        <w:rPr>
          <w:rFonts w:ascii="Times New Roman" w:hAnsi="Times New Roman" w:cs="Times New Roman"/>
          <w:noProof/>
          <w:sz w:val="24"/>
          <w:szCs w:val="24"/>
        </w:rPr>
        <w:t>(Caton et al., 2005; Hasin et al., 2006; Hasin et al., 1996)</w:t>
      </w:r>
      <w:r w:rsidRPr="00FA2489">
        <w:rPr>
          <w:rFonts w:ascii="Times New Roman" w:hAnsi="Times New Roman" w:cs="Times New Roman"/>
          <w:sz w:val="24"/>
          <w:szCs w:val="24"/>
        </w:rPr>
        <w:t xml:space="preserve">. For both substance use and psychiatric disorders, diagnoses are made using two time frames: “past year” (criteria were met within the past 12 months) and “prior” (criteria were met before the previous 12 months). Suicidal thoughts and behavior (STB) were assessed in the depression module, and in the borderline personality disorder (BPD) module. In addition to PRISM responses, we used </w:t>
      </w:r>
      <w:r w:rsidRPr="00FA2489">
        <w:rPr>
          <w:rFonts w:ascii="Times New Roman" w:hAnsi="Times New Roman" w:cs="Times New Roman"/>
          <w:sz w:val="24"/>
          <w:szCs w:val="24"/>
        </w:rPr>
        <w:lastRenderedPageBreak/>
        <w:t xml:space="preserve">responses to questions on reasons for mental health treatment endorsed in the ACACI questionnaire to code whether a subject had any suicidal thoughts or behavior in the past 12 months. </w:t>
      </w:r>
    </w:p>
    <w:p w:rsidR="008F365A" w:rsidRPr="00FA2489" w:rsidRDefault="008F365A" w:rsidP="003C6124">
      <w:pPr>
        <w:rPr>
          <w:rFonts w:ascii="Times New Roman" w:hAnsi="Times New Roman" w:cs="Times New Roman"/>
          <w:sz w:val="24"/>
          <w:szCs w:val="24"/>
        </w:rPr>
      </w:pPr>
      <w:r w:rsidRPr="00FA2489">
        <w:rPr>
          <w:rFonts w:ascii="Times New Roman" w:hAnsi="Times New Roman" w:cs="Times New Roman"/>
          <w:sz w:val="24"/>
          <w:szCs w:val="24"/>
        </w:rPr>
        <w:t xml:space="preserve">In the depression module, if a potential </w:t>
      </w:r>
      <w:r>
        <w:rPr>
          <w:rFonts w:ascii="Times New Roman" w:hAnsi="Times New Roman" w:cs="Times New Roman"/>
          <w:sz w:val="24"/>
          <w:szCs w:val="24"/>
        </w:rPr>
        <w:t>major depressive episode</w:t>
      </w:r>
      <w:r w:rsidRPr="00FA2489">
        <w:rPr>
          <w:rFonts w:ascii="Times New Roman" w:hAnsi="Times New Roman" w:cs="Times New Roman"/>
          <w:sz w:val="24"/>
          <w:szCs w:val="24"/>
        </w:rPr>
        <w:t xml:space="preserve"> was indicated by responses to the screening questions, subjects were then asked about symptoms during the worst part of the most recent </w:t>
      </w:r>
      <w:r>
        <w:rPr>
          <w:rFonts w:ascii="Times New Roman" w:hAnsi="Times New Roman" w:cs="Times New Roman"/>
          <w:sz w:val="24"/>
          <w:szCs w:val="24"/>
        </w:rPr>
        <w:t>episode</w:t>
      </w:r>
      <w:r w:rsidRPr="00FA2489">
        <w:rPr>
          <w:rFonts w:ascii="Times New Roman" w:hAnsi="Times New Roman" w:cs="Times New Roman"/>
          <w:sz w:val="24"/>
          <w:szCs w:val="24"/>
        </w:rPr>
        <w:t>. They were asked if they had attempted suicide (“[During this time] did you do anything to hurt or kill yourself”), made a</w:t>
      </w:r>
      <w:r>
        <w:rPr>
          <w:rFonts w:ascii="Times New Roman" w:hAnsi="Times New Roman" w:cs="Times New Roman"/>
          <w:sz w:val="24"/>
          <w:szCs w:val="24"/>
        </w:rPr>
        <w:t>n aborted or interrupted attempt</w:t>
      </w:r>
      <w:r w:rsidRPr="00FA2489">
        <w:rPr>
          <w:rFonts w:ascii="Times New Roman" w:hAnsi="Times New Roman" w:cs="Times New Roman"/>
          <w:sz w:val="24"/>
          <w:szCs w:val="24"/>
        </w:rPr>
        <w:t xml:space="preserve"> (“did you start to do something in order to kill yourself, even if you changed your mind and stopped, or if someone else stopped you?”), thought of a plan for committing suicide (“did you think of any specific plan for committing suicide?”), had recurrent thoughts about suicide (“did you have any thoughts about suicide or killing yourself? How often did you have that thought?”), or recurrent thoughts of death (“did you find yourself thinking about death or dying?”) Recurrent suicidal ideation and recurrent thoughts of death were coded if the thought occurred at least three times in a week. In the BPD module subjects were asked about recurrent suicidal behavior, gestures or threats (“[Since early adulthood] have you ever threatened to kill yourself? ... have you ever tried to kill yourself? How many times did that happen?”) This behavior was coded overall and for the past 12 months. </w:t>
      </w:r>
    </w:p>
    <w:p w:rsidR="008F365A" w:rsidRPr="00FA2489" w:rsidRDefault="008F365A" w:rsidP="0028348E">
      <w:pPr>
        <w:autoSpaceDE w:val="0"/>
        <w:autoSpaceDN w:val="0"/>
        <w:adjustRightInd w:val="0"/>
        <w:ind w:firstLine="0"/>
        <w:rPr>
          <w:rFonts w:ascii="Times New Roman" w:hAnsi="Times New Roman" w:cs="Times New Roman"/>
          <w:sz w:val="24"/>
          <w:szCs w:val="24"/>
        </w:rPr>
      </w:pPr>
      <w:r w:rsidRPr="00FA2489">
        <w:rPr>
          <w:rFonts w:ascii="Times New Roman" w:hAnsi="Times New Roman" w:cs="Times New Roman"/>
          <w:i/>
          <w:sz w:val="24"/>
          <w:szCs w:val="24"/>
        </w:rPr>
        <w:t>2.4. Analyses</w:t>
      </w:r>
      <w:r w:rsidRPr="00FA2489">
        <w:rPr>
          <w:rFonts w:ascii="Times New Roman" w:hAnsi="Times New Roman" w:cs="Times New Roman"/>
          <w:sz w:val="24"/>
          <w:szCs w:val="24"/>
        </w:rPr>
        <w:t xml:space="preserve">. </w:t>
      </w:r>
    </w:p>
    <w:p w:rsidR="008F365A" w:rsidRPr="00FA2489" w:rsidRDefault="008F365A" w:rsidP="0028348E">
      <w:pPr>
        <w:autoSpaceDE w:val="0"/>
        <w:autoSpaceDN w:val="0"/>
        <w:adjustRightInd w:val="0"/>
        <w:ind w:firstLine="0"/>
        <w:rPr>
          <w:rFonts w:ascii="Times New Roman" w:hAnsi="Times New Roman" w:cs="Times New Roman"/>
          <w:sz w:val="24"/>
          <w:szCs w:val="24"/>
        </w:rPr>
      </w:pPr>
      <w:r w:rsidRPr="00FA2489">
        <w:rPr>
          <w:rFonts w:ascii="Times New Roman" w:hAnsi="Times New Roman" w:cs="Times New Roman"/>
          <w:sz w:val="24"/>
          <w:szCs w:val="24"/>
        </w:rPr>
        <w:t xml:space="preserve">We conducted descriptive analyses of STB prevalence, sociodemographic characteristics associated with STB, and treatment and service use among subjects with past year STB. We tested bivariate associations between demographic characteristics and </w:t>
      </w:r>
      <w:r>
        <w:rPr>
          <w:rFonts w:ascii="Times New Roman" w:hAnsi="Times New Roman" w:cs="Times New Roman"/>
          <w:sz w:val="24"/>
          <w:szCs w:val="24"/>
        </w:rPr>
        <w:t xml:space="preserve">past year </w:t>
      </w:r>
      <w:r w:rsidRPr="00FA2489">
        <w:rPr>
          <w:rFonts w:ascii="Times New Roman" w:hAnsi="Times New Roman" w:cs="Times New Roman"/>
          <w:sz w:val="24"/>
          <w:szCs w:val="24"/>
        </w:rPr>
        <w:t xml:space="preserve">STB using chi-square tests, and conducted multivariable logistic regression analyses. Sexual orientation categories were collapsed into heterosexual vs. non-heterosexual (lesbian/gay/homosexual, </w:t>
      </w:r>
      <w:r w:rsidRPr="00FA2489">
        <w:rPr>
          <w:rFonts w:ascii="Times New Roman" w:hAnsi="Times New Roman" w:cs="Times New Roman"/>
          <w:sz w:val="24"/>
          <w:szCs w:val="24"/>
        </w:rPr>
        <w:lastRenderedPageBreak/>
        <w:t xml:space="preserve">bisexual, none of the above, or refuse to answer) for analysis. We estimated two models, the first including sociodemographic variables, and the second adding </w:t>
      </w:r>
      <w:r>
        <w:rPr>
          <w:rFonts w:ascii="Times New Roman" w:hAnsi="Times New Roman" w:cs="Times New Roman"/>
          <w:sz w:val="24"/>
          <w:szCs w:val="24"/>
        </w:rPr>
        <w:t>relevant</w:t>
      </w:r>
      <w:r w:rsidRPr="00FA2489">
        <w:rPr>
          <w:rFonts w:ascii="Times New Roman" w:hAnsi="Times New Roman" w:cs="Times New Roman"/>
          <w:sz w:val="24"/>
          <w:szCs w:val="24"/>
        </w:rPr>
        <w:t xml:space="preserve"> primary </w:t>
      </w:r>
      <w:r>
        <w:rPr>
          <w:rFonts w:ascii="Times New Roman" w:hAnsi="Times New Roman" w:cs="Times New Roman"/>
          <w:sz w:val="24"/>
          <w:szCs w:val="24"/>
        </w:rPr>
        <w:t xml:space="preserve">and substance-induced </w:t>
      </w:r>
      <w:r w:rsidRPr="00FA2489">
        <w:rPr>
          <w:rFonts w:ascii="Times New Roman" w:hAnsi="Times New Roman" w:cs="Times New Roman"/>
          <w:sz w:val="24"/>
          <w:szCs w:val="24"/>
        </w:rPr>
        <w:t>psychiatric diagnoses</w:t>
      </w:r>
      <w:r>
        <w:rPr>
          <w:rFonts w:ascii="Times New Roman" w:hAnsi="Times New Roman" w:cs="Times New Roman"/>
          <w:sz w:val="24"/>
          <w:szCs w:val="24"/>
        </w:rPr>
        <w:t xml:space="preserve"> including past year substance-induced depression, and lifetime primary depression, PTSD, other anxiety disorder, and BPD</w:t>
      </w:r>
      <w:r w:rsidRPr="00FA2489">
        <w:rPr>
          <w:rFonts w:ascii="Times New Roman" w:hAnsi="Times New Roman" w:cs="Times New Roman"/>
          <w:sz w:val="24"/>
          <w:szCs w:val="24"/>
        </w:rPr>
        <w:t xml:space="preserve">. </w:t>
      </w:r>
    </w:p>
    <w:p w:rsidR="008F365A" w:rsidRPr="00FA2489" w:rsidRDefault="008F365A" w:rsidP="000551AF">
      <w:pPr>
        <w:keepNext/>
        <w:autoSpaceDE w:val="0"/>
        <w:autoSpaceDN w:val="0"/>
        <w:adjustRightInd w:val="0"/>
        <w:ind w:firstLine="0"/>
        <w:rPr>
          <w:rFonts w:ascii="Times New Roman" w:hAnsi="Times New Roman" w:cs="Times New Roman"/>
          <w:b/>
          <w:sz w:val="24"/>
          <w:szCs w:val="24"/>
        </w:rPr>
      </w:pPr>
      <w:r w:rsidRPr="00FA2489">
        <w:rPr>
          <w:rFonts w:ascii="Times New Roman" w:hAnsi="Times New Roman" w:cs="Times New Roman"/>
          <w:b/>
          <w:sz w:val="24"/>
          <w:szCs w:val="24"/>
        </w:rPr>
        <w:t>3. Results</w:t>
      </w:r>
    </w:p>
    <w:p w:rsidR="008F365A" w:rsidRPr="00FA2489" w:rsidRDefault="008F365A" w:rsidP="0028348E">
      <w:pPr>
        <w:autoSpaceDE w:val="0"/>
        <w:autoSpaceDN w:val="0"/>
        <w:adjustRightInd w:val="0"/>
        <w:ind w:firstLine="0"/>
        <w:rPr>
          <w:rFonts w:ascii="Times New Roman" w:hAnsi="Times New Roman" w:cs="Times New Roman"/>
          <w:sz w:val="24"/>
          <w:szCs w:val="24"/>
        </w:rPr>
      </w:pPr>
      <w:r w:rsidRPr="00FA2489">
        <w:rPr>
          <w:rFonts w:ascii="Times New Roman" w:hAnsi="Times New Roman" w:cs="Times New Roman"/>
          <w:sz w:val="24"/>
          <w:szCs w:val="24"/>
        </w:rPr>
        <w:t xml:space="preserve">We completed interviews with 570 young PWID who primarily used heroin. Characteristics of the sample and rates of STB are shown in Table 1. Women were significantly more likely than men to identify as non-heterosexual (27% vs. 8%, Chi2 = 38.53, p&lt;.001), and 20% of women identified as bisexual. Among 570 young PWID interviewed, 143 (25%) reported lifetime STB and 111 (19%) reported STB in the past 12 months. Six percent (n=32) reported lifetime suicide attempt, and 4% (n=22) reported a suicide attempt in the past 12 months. Seven percent (n=42) reported that they sought treatment for STB in the past 12 months, 11 of whom did not disclose STB in the PRISM interview. </w:t>
      </w:r>
    </w:p>
    <w:p w:rsidR="008F365A" w:rsidRDefault="008F365A" w:rsidP="00F27DDF">
      <w:pPr>
        <w:autoSpaceDE w:val="0"/>
        <w:autoSpaceDN w:val="0"/>
        <w:adjustRightInd w:val="0"/>
        <w:rPr>
          <w:rFonts w:ascii="Times New Roman" w:hAnsi="Times New Roman" w:cs="Times New Roman"/>
          <w:sz w:val="24"/>
          <w:szCs w:val="24"/>
        </w:rPr>
      </w:pPr>
      <w:r w:rsidRPr="00FA2489">
        <w:rPr>
          <w:rFonts w:ascii="Times New Roman" w:hAnsi="Times New Roman" w:cs="Times New Roman"/>
          <w:sz w:val="24"/>
          <w:szCs w:val="24"/>
        </w:rPr>
        <w:t>Women were more likely than men to report STB in the past year, while suicide attempts were reported equally. Other variables associated with past year STB were non-heterosexual orientation, being raised in a two-parent household vs. mother-only or father</w:t>
      </w:r>
      <w:r>
        <w:rPr>
          <w:rFonts w:ascii="Times New Roman" w:hAnsi="Times New Roman" w:cs="Times New Roman"/>
          <w:sz w:val="24"/>
          <w:szCs w:val="24"/>
        </w:rPr>
        <w:t>-</w:t>
      </w:r>
      <w:r w:rsidRPr="00FA2489">
        <w:rPr>
          <w:rFonts w:ascii="Times New Roman" w:hAnsi="Times New Roman" w:cs="Times New Roman"/>
          <w:sz w:val="24"/>
          <w:szCs w:val="24"/>
        </w:rPr>
        <w:t xml:space="preserve">only, and living with a foster parent or state-appointed guardian. </w:t>
      </w:r>
    </w:p>
    <w:p w:rsidR="008F365A" w:rsidRPr="00FA2489" w:rsidRDefault="008F365A" w:rsidP="00F27DDF">
      <w:pPr>
        <w:autoSpaceDE w:val="0"/>
        <w:autoSpaceDN w:val="0"/>
        <w:adjustRightInd w:val="0"/>
        <w:rPr>
          <w:rFonts w:ascii="Times New Roman" w:hAnsi="Times New Roman" w:cs="Times New Roman"/>
          <w:sz w:val="24"/>
          <w:szCs w:val="24"/>
        </w:rPr>
      </w:pPr>
      <w:r w:rsidRPr="00FA2489">
        <w:rPr>
          <w:rFonts w:ascii="Times New Roman" w:hAnsi="Times New Roman" w:cs="Times New Roman"/>
          <w:sz w:val="24"/>
          <w:szCs w:val="24"/>
        </w:rPr>
        <w:t xml:space="preserve">Table 2 summarizes clinical characteristics and treatment experience among the 111 PWID with past 12 month STB. Most (72%) reported STB during the depression screening, with an additional 18% (n=20) disclosing STB outside of a potential depression episode in the BPD module. As noted above, 10% disclosed STB only in the ACASI interview. Over two-thirds met the diagnostic criteria for substance-induced major depression in the past 12 months, and more than half (56%) met the criteria for borderline personality disorder. Substantial proportions also </w:t>
      </w:r>
      <w:r w:rsidRPr="00FA2489">
        <w:rPr>
          <w:rFonts w:ascii="Times New Roman" w:hAnsi="Times New Roman" w:cs="Times New Roman"/>
          <w:sz w:val="24"/>
          <w:szCs w:val="24"/>
        </w:rPr>
        <w:lastRenderedPageBreak/>
        <w:t>met the criteria for lifetime primary major depression, post-traumatic stress disorder, or other anxiety disorder. Over 80% had ever received psychiatric or psychological treatment, however less than half had received mental health services in the past year, with 38% specifically having sought treatment for suicidal thoughts or behavior.</w:t>
      </w:r>
    </w:p>
    <w:p w:rsidR="008F365A" w:rsidRPr="00FA2489" w:rsidRDefault="008F365A" w:rsidP="00F27DDF">
      <w:pPr>
        <w:autoSpaceDE w:val="0"/>
        <w:autoSpaceDN w:val="0"/>
        <w:adjustRightInd w:val="0"/>
        <w:rPr>
          <w:rFonts w:ascii="Times New Roman" w:hAnsi="Times New Roman" w:cs="Times New Roman"/>
          <w:sz w:val="24"/>
          <w:szCs w:val="24"/>
        </w:rPr>
      </w:pPr>
      <w:r w:rsidRPr="00FA2489">
        <w:rPr>
          <w:rFonts w:ascii="Times New Roman" w:hAnsi="Times New Roman" w:cs="Times New Roman"/>
          <w:sz w:val="24"/>
          <w:szCs w:val="24"/>
        </w:rPr>
        <w:t xml:space="preserve">In multivariable regression, adjusting for sex, age, and race/ethnicity (Table 3), non-heterosexual orientation, living with a foster parent or guardian, and being raised in two-parent household (Chi2 = 9.79, p = .0075) were associated with increased likelihood of STB in the past 12 months. In Model 2, </w:t>
      </w:r>
      <w:r>
        <w:rPr>
          <w:rFonts w:ascii="Times New Roman" w:hAnsi="Times New Roman" w:cs="Times New Roman"/>
          <w:sz w:val="24"/>
          <w:szCs w:val="24"/>
        </w:rPr>
        <w:t xml:space="preserve">the largest effect was due to past year substance-induced depression. In addition, </w:t>
      </w:r>
      <w:r w:rsidRPr="00FA2489">
        <w:rPr>
          <w:rFonts w:ascii="Times New Roman" w:hAnsi="Times New Roman" w:cs="Times New Roman"/>
          <w:sz w:val="24"/>
          <w:szCs w:val="24"/>
        </w:rPr>
        <w:t xml:space="preserve">lifetime primary major depression, </w:t>
      </w:r>
      <w:r>
        <w:rPr>
          <w:rFonts w:ascii="Times New Roman" w:hAnsi="Times New Roman" w:cs="Times New Roman"/>
          <w:sz w:val="24"/>
          <w:szCs w:val="24"/>
        </w:rPr>
        <w:t xml:space="preserve">primary </w:t>
      </w:r>
      <w:r w:rsidRPr="00FA2489">
        <w:rPr>
          <w:rFonts w:ascii="Times New Roman" w:hAnsi="Times New Roman" w:cs="Times New Roman"/>
          <w:sz w:val="24"/>
          <w:szCs w:val="24"/>
        </w:rPr>
        <w:t>anxiety disorder</w:t>
      </w:r>
      <w:r>
        <w:rPr>
          <w:rFonts w:ascii="Times New Roman" w:hAnsi="Times New Roman" w:cs="Times New Roman"/>
          <w:sz w:val="24"/>
          <w:szCs w:val="24"/>
        </w:rPr>
        <w:t xml:space="preserve"> other than PTSD</w:t>
      </w:r>
      <w:r w:rsidRPr="00FA2489">
        <w:rPr>
          <w:rFonts w:ascii="Times New Roman" w:hAnsi="Times New Roman" w:cs="Times New Roman"/>
          <w:sz w:val="24"/>
          <w:szCs w:val="24"/>
        </w:rPr>
        <w:t xml:space="preserve">, and borderline personality disorder had independent effects on suicidality. </w:t>
      </w:r>
    </w:p>
    <w:p w:rsidR="008F365A" w:rsidRDefault="008F365A" w:rsidP="00EF19A1">
      <w:pPr>
        <w:ind w:firstLine="0"/>
        <w:rPr>
          <w:rFonts w:ascii="Times New Roman" w:hAnsi="Times New Roman" w:cs="Times New Roman"/>
          <w:sz w:val="24"/>
          <w:szCs w:val="24"/>
        </w:rPr>
      </w:pPr>
      <w:r w:rsidRPr="00FA2489">
        <w:rPr>
          <w:rFonts w:ascii="Times New Roman" w:hAnsi="Times New Roman" w:cs="Times New Roman"/>
          <w:sz w:val="24"/>
          <w:szCs w:val="24"/>
        </w:rPr>
        <w:tab/>
        <w:t xml:space="preserve"> Table 4 shows the specific services accessed and reasons for seeking treatment. </w:t>
      </w:r>
      <w:r>
        <w:rPr>
          <w:rFonts w:ascii="Times New Roman" w:hAnsi="Times New Roman" w:cs="Times New Roman"/>
          <w:sz w:val="24"/>
          <w:szCs w:val="24"/>
        </w:rPr>
        <w:t xml:space="preserve">Overall, 76% (n=84) of </w:t>
      </w:r>
      <w:r w:rsidRPr="00FA2489">
        <w:rPr>
          <w:rFonts w:ascii="Times New Roman" w:hAnsi="Times New Roman" w:cs="Times New Roman"/>
          <w:sz w:val="24"/>
          <w:szCs w:val="24"/>
        </w:rPr>
        <w:t xml:space="preserve">PWID with past year STB </w:t>
      </w:r>
      <w:r>
        <w:rPr>
          <w:rFonts w:ascii="Times New Roman" w:hAnsi="Times New Roman" w:cs="Times New Roman"/>
          <w:sz w:val="24"/>
          <w:szCs w:val="24"/>
        </w:rPr>
        <w:t xml:space="preserve">reported some kind of treatment or service use (not including crisis hotline or self-help group). They </w:t>
      </w:r>
      <w:r w:rsidRPr="00FA2489">
        <w:rPr>
          <w:rFonts w:ascii="Times New Roman" w:hAnsi="Times New Roman" w:cs="Times New Roman"/>
          <w:sz w:val="24"/>
          <w:szCs w:val="24"/>
        </w:rPr>
        <w:t xml:space="preserve">were more likely to access substance use treatment </w:t>
      </w:r>
      <w:r>
        <w:rPr>
          <w:rFonts w:ascii="Times New Roman" w:hAnsi="Times New Roman" w:cs="Times New Roman"/>
          <w:sz w:val="24"/>
          <w:szCs w:val="24"/>
        </w:rPr>
        <w:t xml:space="preserve">(64% not including ED and hospital treatment) </w:t>
      </w:r>
      <w:r w:rsidRPr="00FA2489">
        <w:rPr>
          <w:rFonts w:ascii="Times New Roman" w:hAnsi="Times New Roman" w:cs="Times New Roman"/>
          <w:sz w:val="24"/>
          <w:szCs w:val="24"/>
        </w:rPr>
        <w:t>than mental health services</w:t>
      </w:r>
      <w:r>
        <w:rPr>
          <w:rFonts w:ascii="Times New Roman" w:hAnsi="Times New Roman" w:cs="Times New Roman"/>
          <w:sz w:val="24"/>
          <w:szCs w:val="24"/>
        </w:rPr>
        <w:t xml:space="preserve"> (44% including hospital inpatient stays for mental health reasons and outpatient mental health treatment)</w:t>
      </w:r>
      <w:r w:rsidRPr="00FA2489">
        <w:rPr>
          <w:rFonts w:ascii="Times New Roman" w:hAnsi="Times New Roman" w:cs="Times New Roman"/>
          <w:sz w:val="24"/>
          <w:szCs w:val="24"/>
        </w:rPr>
        <w:t xml:space="preserve">. </w:t>
      </w:r>
      <w:r>
        <w:rPr>
          <w:rFonts w:ascii="Times New Roman" w:hAnsi="Times New Roman" w:cs="Times New Roman"/>
          <w:sz w:val="24"/>
          <w:szCs w:val="24"/>
        </w:rPr>
        <w:t xml:space="preserve">Among those who accessed services, most felt that they did not need any additional services. Those who did want additional services (n=11) desired drug or alcohol treatment (7), outpatient services (4), or something else (unspecified, 5). The main reasons endorsed for not getting additional care were cost (9), and “you decided you could handle your problems on your own” (9). Among the 27 respondents who experienced past 12 month STB but reported no service use, 11 (41%) felt that they needed help, including help for drugs or alcohol (10), feelings of depression (8), feelings of anxiety (4), or suicidal thoughts (2). The main reasons </w:t>
      </w:r>
      <w:r>
        <w:rPr>
          <w:rFonts w:ascii="Times New Roman" w:hAnsi="Times New Roman" w:cs="Times New Roman"/>
          <w:sz w:val="24"/>
          <w:szCs w:val="24"/>
        </w:rPr>
        <w:lastRenderedPageBreak/>
        <w:t>endorsed for not getting help were again cost (7), and “you decided you could handle your problems on your own” (6).</w:t>
      </w:r>
    </w:p>
    <w:p w:rsidR="008F365A" w:rsidRPr="00FA2489" w:rsidRDefault="008F365A" w:rsidP="00B767B4">
      <w:pPr>
        <w:rPr>
          <w:rFonts w:ascii="Times New Roman" w:hAnsi="Times New Roman" w:cs="Times New Roman"/>
          <w:sz w:val="24"/>
          <w:szCs w:val="24"/>
        </w:rPr>
      </w:pPr>
      <w:r w:rsidRPr="00FA2489">
        <w:rPr>
          <w:rFonts w:ascii="Times New Roman" w:hAnsi="Times New Roman" w:cs="Times New Roman"/>
          <w:sz w:val="24"/>
          <w:szCs w:val="24"/>
        </w:rPr>
        <w:t>Table 5 shows participant evaluations of treatment on how well the treatment matched their needs, and how much it helped. Most respondents gave mid-range ratings for all services</w:t>
      </w:r>
      <w:r>
        <w:rPr>
          <w:rFonts w:ascii="Times New Roman" w:hAnsi="Times New Roman" w:cs="Times New Roman"/>
          <w:sz w:val="24"/>
          <w:szCs w:val="24"/>
        </w:rPr>
        <w:t>, however there were more negative ratings (20%, 71/358) than positive ratings (14%, 50/358).</w:t>
      </w:r>
      <w:r w:rsidRPr="00FA2489">
        <w:rPr>
          <w:rFonts w:ascii="Times New Roman" w:hAnsi="Times New Roman" w:cs="Times New Roman"/>
          <w:sz w:val="24"/>
          <w:szCs w:val="24"/>
        </w:rPr>
        <w:t xml:space="preserve"> </w:t>
      </w:r>
      <w:r>
        <w:rPr>
          <w:rFonts w:ascii="Times New Roman" w:hAnsi="Times New Roman" w:cs="Times New Roman"/>
          <w:sz w:val="24"/>
          <w:szCs w:val="24"/>
        </w:rPr>
        <w:t>Among 84 people who received services, 24% reported that at least one service matched their needs very well, and 17% that at least one service helped a lot, while 30% reported that at least one service did not match their needs at all, and 30% also reported that at least one service did not help at all. Mental health services tended to be evaluated more favorably on helpfulness than substance use treatment services. Nearly half (48%)</w:t>
      </w:r>
      <w:r w:rsidRPr="00FA2489">
        <w:rPr>
          <w:rFonts w:ascii="Times New Roman" w:hAnsi="Times New Roman" w:cs="Times New Roman"/>
          <w:sz w:val="24"/>
          <w:szCs w:val="24"/>
        </w:rPr>
        <w:t xml:space="preserve"> reported ending treatment due to a bad experience</w:t>
      </w:r>
      <w:r>
        <w:rPr>
          <w:rFonts w:ascii="Times New Roman" w:hAnsi="Times New Roman" w:cs="Times New Roman"/>
          <w:sz w:val="24"/>
          <w:szCs w:val="24"/>
        </w:rPr>
        <w:t xml:space="preserve"> (32%)</w:t>
      </w:r>
      <w:r w:rsidRPr="00FA2489">
        <w:rPr>
          <w:rFonts w:ascii="Times New Roman" w:hAnsi="Times New Roman" w:cs="Times New Roman"/>
          <w:sz w:val="24"/>
          <w:szCs w:val="24"/>
        </w:rPr>
        <w:t>, logistical issues</w:t>
      </w:r>
      <w:r>
        <w:rPr>
          <w:rFonts w:ascii="Times New Roman" w:hAnsi="Times New Roman" w:cs="Times New Roman"/>
          <w:sz w:val="24"/>
          <w:szCs w:val="24"/>
        </w:rPr>
        <w:t xml:space="preserve"> (18%)</w:t>
      </w:r>
      <w:r w:rsidRPr="00FA2489">
        <w:rPr>
          <w:rFonts w:ascii="Times New Roman" w:hAnsi="Times New Roman" w:cs="Times New Roman"/>
          <w:sz w:val="24"/>
          <w:szCs w:val="24"/>
        </w:rPr>
        <w:t>, or expense</w:t>
      </w:r>
      <w:r>
        <w:rPr>
          <w:rFonts w:ascii="Times New Roman" w:hAnsi="Times New Roman" w:cs="Times New Roman"/>
          <w:sz w:val="24"/>
          <w:szCs w:val="24"/>
        </w:rPr>
        <w:t xml:space="preserve"> (25%)</w:t>
      </w:r>
      <w:r w:rsidRPr="00FA2489">
        <w:rPr>
          <w:rFonts w:ascii="Times New Roman" w:hAnsi="Times New Roman" w:cs="Times New Roman"/>
          <w:sz w:val="24"/>
          <w:szCs w:val="24"/>
        </w:rPr>
        <w:t>. The most common reason for ending treatment was that the “program was completed” (about 45%</w:t>
      </w:r>
      <w:r>
        <w:rPr>
          <w:rFonts w:ascii="Times New Roman" w:hAnsi="Times New Roman" w:cs="Times New Roman"/>
          <w:sz w:val="24"/>
          <w:szCs w:val="24"/>
        </w:rPr>
        <w:t>, mostly regarding drug treatment</w:t>
      </w:r>
      <w:r w:rsidRPr="00FA2489">
        <w:rPr>
          <w:rFonts w:ascii="Times New Roman" w:hAnsi="Times New Roman" w:cs="Times New Roman"/>
          <w:sz w:val="24"/>
          <w:szCs w:val="24"/>
        </w:rPr>
        <w:t>) while getting better was endorsed by about 25%.</w:t>
      </w:r>
      <w:r w:rsidRPr="00FA2489">
        <w:rPr>
          <w:rFonts w:ascii="Times New Roman" w:hAnsi="Times New Roman" w:cs="Times New Roman"/>
          <w:sz w:val="24"/>
          <w:szCs w:val="24"/>
        </w:rPr>
        <w:tab/>
      </w:r>
    </w:p>
    <w:p w:rsidR="008F365A" w:rsidRPr="00FA2489" w:rsidRDefault="008F365A" w:rsidP="003273B8">
      <w:pPr>
        <w:widowControl w:val="0"/>
        <w:ind w:firstLine="0"/>
        <w:rPr>
          <w:rFonts w:ascii="Times New Roman" w:hAnsi="Times New Roman" w:cs="Times New Roman"/>
          <w:b/>
        </w:rPr>
      </w:pPr>
    </w:p>
    <w:p w:rsidR="008F365A" w:rsidRPr="00FA2489" w:rsidRDefault="008F365A" w:rsidP="00581E6A">
      <w:pPr>
        <w:keepNext/>
        <w:ind w:firstLine="0"/>
        <w:rPr>
          <w:rFonts w:ascii="Times New Roman" w:hAnsi="Times New Roman" w:cs="Times New Roman"/>
          <w:b/>
          <w:sz w:val="24"/>
        </w:rPr>
      </w:pPr>
      <w:r>
        <w:rPr>
          <w:rFonts w:ascii="Times New Roman" w:hAnsi="Times New Roman" w:cs="Times New Roman"/>
          <w:b/>
          <w:sz w:val="24"/>
        </w:rPr>
        <w:t xml:space="preserve">4. </w:t>
      </w:r>
      <w:r w:rsidRPr="00FA2489">
        <w:rPr>
          <w:rFonts w:ascii="Times New Roman" w:hAnsi="Times New Roman" w:cs="Times New Roman"/>
          <w:b/>
          <w:sz w:val="24"/>
        </w:rPr>
        <w:t>Discussion</w:t>
      </w:r>
    </w:p>
    <w:p w:rsidR="008F365A" w:rsidRDefault="008F365A" w:rsidP="00CD17C4">
      <w:pPr>
        <w:ind w:firstLine="0"/>
        <w:rPr>
          <w:rFonts w:ascii="Times New Roman" w:hAnsi="Times New Roman" w:cs="Times New Roman"/>
          <w:sz w:val="24"/>
        </w:rPr>
      </w:pPr>
      <w:r w:rsidRPr="00FA2489">
        <w:rPr>
          <w:rFonts w:ascii="Times New Roman" w:hAnsi="Times New Roman" w:cs="Times New Roman"/>
          <w:sz w:val="24"/>
        </w:rPr>
        <w:t xml:space="preserve">In this community-recruited sample of young adults who inject drugs interviewed in 2008-2010, about 1 in 5 reported having suicidal thoughts or behaviors in the past year. In contrast, the </w:t>
      </w:r>
      <w:r>
        <w:rPr>
          <w:rFonts w:ascii="Times New Roman" w:hAnsi="Times New Roman" w:cs="Times New Roman"/>
          <w:sz w:val="24"/>
        </w:rPr>
        <w:t xml:space="preserve">12-month </w:t>
      </w:r>
      <w:r w:rsidRPr="00FA2489">
        <w:rPr>
          <w:rFonts w:ascii="Times New Roman" w:hAnsi="Times New Roman" w:cs="Times New Roman"/>
          <w:sz w:val="24"/>
        </w:rPr>
        <w:t xml:space="preserve">prevalence of suicidal ideation among young adults the general population National Survey on Drug Use and Health (NSDUH) was 6.7% in 2010 </w:t>
      </w:r>
      <w:r>
        <w:rPr>
          <w:rFonts w:ascii="Times New Roman" w:hAnsi="Times New Roman" w:cs="Times New Roman"/>
          <w:noProof/>
          <w:sz w:val="24"/>
        </w:rPr>
        <w:t>(Han et al., 2018)</w:t>
      </w:r>
      <w:r w:rsidRPr="00FA2489">
        <w:rPr>
          <w:rFonts w:ascii="Times New Roman" w:hAnsi="Times New Roman" w:cs="Times New Roman"/>
          <w:sz w:val="24"/>
        </w:rPr>
        <w:t xml:space="preserve">.  </w:t>
      </w:r>
      <w:r>
        <w:rPr>
          <w:rFonts w:ascii="Times New Roman" w:hAnsi="Times New Roman" w:cs="Times New Roman"/>
          <w:sz w:val="24"/>
        </w:rPr>
        <w:t xml:space="preserve">Women were more likely than men to report past year STB, and this difference was largely tied to the high prevalence of non-heterosexual orientation among women. Perhaps surprisingly, young PWID who were raised in a two-parent household were more likely to report STB than those raised by one parent or caregiver. This may be due to parental conflicts that contribute to the development of mental health problems such as depression, anxiety disorders, and borderline personality </w:t>
      </w:r>
      <w:r>
        <w:rPr>
          <w:rFonts w:ascii="Times New Roman" w:hAnsi="Times New Roman" w:cs="Times New Roman"/>
          <w:sz w:val="24"/>
        </w:rPr>
        <w:lastRenderedPageBreak/>
        <w:t xml:space="preserve">disorder. Past year </w:t>
      </w:r>
      <w:r w:rsidRPr="00FA2489">
        <w:rPr>
          <w:rFonts w:ascii="Times New Roman" w:hAnsi="Times New Roman" w:cs="Times New Roman"/>
          <w:sz w:val="24"/>
        </w:rPr>
        <w:t xml:space="preserve">STB was </w:t>
      </w:r>
      <w:r>
        <w:rPr>
          <w:rFonts w:ascii="Times New Roman" w:hAnsi="Times New Roman" w:cs="Times New Roman"/>
          <w:sz w:val="24"/>
        </w:rPr>
        <w:t>strongl</w:t>
      </w:r>
      <w:r w:rsidRPr="00FA2489">
        <w:rPr>
          <w:rFonts w:ascii="Times New Roman" w:hAnsi="Times New Roman" w:cs="Times New Roman"/>
          <w:sz w:val="24"/>
        </w:rPr>
        <w:t xml:space="preserve">y associated with a substance-induced depressive episode, however </w:t>
      </w:r>
      <w:r>
        <w:rPr>
          <w:rFonts w:ascii="Times New Roman" w:hAnsi="Times New Roman" w:cs="Times New Roman"/>
          <w:sz w:val="24"/>
        </w:rPr>
        <w:t xml:space="preserve">borderline personality disorder and lifetime anxiety disorders other than PTSD also made a significant contribution. </w:t>
      </w:r>
    </w:p>
    <w:p w:rsidR="008F365A" w:rsidRDefault="008F365A" w:rsidP="00956C5A">
      <w:pPr>
        <w:ind w:firstLine="0"/>
        <w:rPr>
          <w:rFonts w:ascii="Times New Roman" w:hAnsi="Times New Roman" w:cs="Times New Roman"/>
          <w:sz w:val="24"/>
        </w:rPr>
      </w:pPr>
      <w:r>
        <w:rPr>
          <w:rFonts w:ascii="Times New Roman" w:hAnsi="Times New Roman" w:cs="Times New Roman"/>
          <w:sz w:val="24"/>
        </w:rPr>
        <w:tab/>
        <w:t xml:space="preserve">The prevalence of past year use of mental health services among our sample of PWID with past year STB (44%) was higher than that reported by Han et al. </w:t>
      </w:r>
      <w:r>
        <w:rPr>
          <w:rFonts w:ascii="Times New Roman" w:hAnsi="Times New Roman" w:cs="Times New Roman"/>
          <w:noProof/>
          <w:sz w:val="24"/>
          <w:szCs w:val="18"/>
        </w:rPr>
        <w:t>(Han et al., 2018)</w:t>
      </w:r>
      <w:r>
        <w:rPr>
          <w:rFonts w:ascii="Times New Roman" w:hAnsi="Times New Roman" w:cs="Times New Roman"/>
          <w:sz w:val="24"/>
          <w:szCs w:val="18"/>
        </w:rPr>
        <w:t xml:space="preserve"> </w:t>
      </w:r>
      <w:r>
        <w:rPr>
          <w:rFonts w:ascii="Times New Roman" w:hAnsi="Times New Roman" w:cs="Times New Roman"/>
          <w:sz w:val="24"/>
        </w:rPr>
        <w:t xml:space="preserve">among suicidal young adults in the 2009-2015 NSDUH sample (36.2%). This difference may reflect greater help-seeking for substance use problems; mental health services were accessed for problems with drugs and alcohol as often or more often than for STB. Yet, a large proportion of PWID in need of mental health services are not receiving or accessing them, often in spite of having received services in the past. Common barriers to treatment for co-occurring disorders </w:t>
      </w:r>
      <w:r>
        <w:rPr>
          <w:rFonts w:ascii="Times New Roman" w:hAnsi="Times New Roman" w:cs="Times New Roman"/>
          <w:noProof/>
          <w:sz w:val="24"/>
        </w:rPr>
        <w:t>(Chen et al., 2013; Priester et al., 2016)</w:t>
      </w:r>
      <w:r>
        <w:rPr>
          <w:rFonts w:ascii="Times New Roman" w:hAnsi="Times New Roman" w:cs="Times New Roman"/>
          <w:sz w:val="24"/>
        </w:rPr>
        <w:t xml:space="preserve"> including expense and logistical problems were reported. Lack of perceived need and preference for self-management are also factors identified in previous research on people with STB </w:t>
      </w:r>
      <w:r>
        <w:rPr>
          <w:rFonts w:ascii="Times New Roman" w:hAnsi="Times New Roman" w:cs="Times New Roman"/>
          <w:noProof/>
          <w:sz w:val="24"/>
        </w:rPr>
        <w:t>(Hom et al., 2015)</w:t>
      </w:r>
      <w:r>
        <w:rPr>
          <w:rFonts w:ascii="Times New Roman" w:hAnsi="Times New Roman" w:cs="Times New Roman"/>
          <w:sz w:val="24"/>
        </w:rPr>
        <w:t xml:space="preserve">. </w:t>
      </w:r>
    </w:p>
    <w:p w:rsidR="008F365A" w:rsidRDefault="008F365A" w:rsidP="00167E1A">
      <w:pPr>
        <w:rPr>
          <w:rFonts w:ascii="Times New Roman" w:hAnsi="Times New Roman" w:cs="Times New Roman"/>
          <w:sz w:val="24"/>
        </w:rPr>
      </w:pPr>
      <w:r>
        <w:rPr>
          <w:rFonts w:ascii="Times New Roman" w:hAnsi="Times New Roman" w:cs="Times New Roman"/>
          <w:sz w:val="24"/>
        </w:rPr>
        <w:t xml:space="preserve">Among those who received services, most reported that their treatment matched their needs to some extent and was somewhat helpful. Only 17% reported that at least one service helped a lot, while 30% reported an adverse outcome. This might be expected given that the sample is comprised of people who are actively using injection drugs; those who found treatment that was helpful would presumably be more likely to cease using. However, this highlights a common occurrence among people with co-occurring substance use and mental health treatment needs </w:t>
      </w:r>
      <w:r>
        <w:rPr>
          <w:rFonts w:ascii="Times New Roman" w:hAnsi="Times New Roman" w:cs="Times New Roman"/>
          <w:noProof/>
          <w:sz w:val="24"/>
        </w:rPr>
        <w:t>(Brooks et al., 2007; Haskell et al., 2016; Ness et al., 2014)</w:t>
      </w:r>
      <w:r>
        <w:rPr>
          <w:rFonts w:ascii="Times New Roman" w:hAnsi="Times New Roman" w:cs="Times New Roman"/>
          <w:sz w:val="24"/>
        </w:rPr>
        <w:t xml:space="preserve">, as well as among people with suicidal ideation who seek treatment </w:t>
      </w:r>
      <w:r>
        <w:rPr>
          <w:rFonts w:ascii="Times New Roman" w:hAnsi="Times New Roman" w:cs="Times New Roman"/>
          <w:noProof/>
          <w:sz w:val="24"/>
        </w:rPr>
        <w:t>(Hom et al., 2020)</w:t>
      </w:r>
      <w:r>
        <w:rPr>
          <w:rFonts w:ascii="Times New Roman" w:hAnsi="Times New Roman" w:cs="Times New Roman"/>
          <w:sz w:val="24"/>
        </w:rPr>
        <w:t xml:space="preserve">. In addition to the impact on treatment attrition, adverse treatment experiences may contribute to negative attitudes about treatment effectiveness and distrust of providers </w:t>
      </w:r>
      <w:r>
        <w:rPr>
          <w:rFonts w:ascii="Times New Roman" w:hAnsi="Times New Roman" w:cs="Times New Roman"/>
          <w:noProof/>
          <w:sz w:val="24"/>
        </w:rPr>
        <w:t>(Hom et al., 2015)</w:t>
      </w:r>
      <w:r>
        <w:rPr>
          <w:rFonts w:ascii="Times New Roman" w:hAnsi="Times New Roman" w:cs="Times New Roman"/>
          <w:sz w:val="24"/>
        </w:rPr>
        <w:t xml:space="preserve">. We also note that on reasons for </w:t>
      </w:r>
      <w:r>
        <w:rPr>
          <w:rFonts w:ascii="Times New Roman" w:hAnsi="Times New Roman" w:cs="Times New Roman"/>
          <w:sz w:val="24"/>
        </w:rPr>
        <w:lastRenderedPageBreak/>
        <w:t xml:space="preserve">stopping treatment, program completion was selected twice as often as getting better, highlighting the inferior value of short-term term treatment that is unlikely to produce long-term results </w:t>
      </w:r>
      <w:r>
        <w:rPr>
          <w:rFonts w:ascii="Times New Roman" w:hAnsi="Times New Roman" w:cs="Times New Roman"/>
          <w:noProof/>
          <w:sz w:val="24"/>
        </w:rPr>
        <w:t>(Pettersen et al., 2019)</w:t>
      </w:r>
      <w:r>
        <w:rPr>
          <w:rFonts w:ascii="Times New Roman" w:hAnsi="Times New Roman" w:cs="Times New Roman"/>
          <w:sz w:val="24"/>
        </w:rPr>
        <w:t xml:space="preserve">. </w:t>
      </w:r>
    </w:p>
    <w:p w:rsidR="008F365A" w:rsidRDefault="008F365A" w:rsidP="00956C5A">
      <w:pPr>
        <w:ind w:firstLine="0"/>
        <w:rPr>
          <w:rFonts w:ascii="Times New Roman" w:hAnsi="Times New Roman" w:cs="Times New Roman"/>
          <w:sz w:val="24"/>
        </w:rPr>
      </w:pPr>
      <w:r>
        <w:rPr>
          <w:rFonts w:ascii="Times New Roman" w:hAnsi="Times New Roman" w:cs="Times New Roman"/>
          <w:i/>
          <w:sz w:val="24"/>
        </w:rPr>
        <w:t xml:space="preserve">4.1. </w:t>
      </w:r>
      <w:r w:rsidRPr="00337ECA">
        <w:rPr>
          <w:rFonts w:ascii="Times New Roman" w:hAnsi="Times New Roman" w:cs="Times New Roman"/>
          <w:i/>
          <w:sz w:val="24"/>
        </w:rPr>
        <w:t>Limitations</w:t>
      </w:r>
      <w:r>
        <w:rPr>
          <w:rFonts w:ascii="Times New Roman" w:hAnsi="Times New Roman" w:cs="Times New Roman"/>
          <w:sz w:val="24"/>
        </w:rPr>
        <w:t xml:space="preserve">. </w:t>
      </w:r>
    </w:p>
    <w:p w:rsidR="008F365A" w:rsidRDefault="008F365A" w:rsidP="00784092">
      <w:pPr>
        <w:ind w:firstLine="0"/>
        <w:rPr>
          <w:rFonts w:ascii="Times New Roman" w:hAnsi="Times New Roman" w:cs="Times New Roman"/>
          <w:sz w:val="24"/>
        </w:rPr>
      </w:pPr>
      <w:r>
        <w:rPr>
          <w:rFonts w:ascii="Times New Roman" w:hAnsi="Times New Roman" w:cs="Times New Roman"/>
          <w:sz w:val="24"/>
        </w:rPr>
        <w:t>The structured interview used in this study leaves several gaps in our understanding of service use by PWID with suicidal ideation. For example, it did not allow us to explore issues associated with past treatment, perhaps as an adolescent, and the impact of that experience on current attitudes. The computer-assisted self-interview did not include questions to assess STB, but did indirectly capture STB in questions on reasons for treatment that was not reported in the PRISM interview. An unknown number of respondents who did not seek treatment for STB may have also failed to disclose STB in the face-to-face interview.</w:t>
      </w:r>
    </w:p>
    <w:p w:rsidR="008F365A" w:rsidRPr="00FA2489" w:rsidRDefault="008F365A" w:rsidP="00365A37">
      <w:pPr>
        <w:autoSpaceDE w:val="0"/>
        <w:autoSpaceDN w:val="0"/>
        <w:adjustRightInd w:val="0"/>
        <w:spacing w:line="240" w:lineRule="auto"/>
        <w:ind w:firstLine="0"/>
        <w:rPr>
          <w:rFonts w:ascii="Times New Roman" w:hAnsi="Times New Roman" w:cs="Times New Roman"/>
          <w:sz w:val="24"/>
        </w:rPr>
      </w:pPr>
    </w:p>
    <w:p w:rsidR="008F365A" w:rsidRDefault="008F365A" w:rsidP="00E9434E">
      <w:pPr>
        <w:ind w:firstLine="0"/>
        <w:rPr>
          <w:rFonts w:ascii="Times New Roman" w:hAnsi="Times New Roman" w:cs="Times New Roman"/>
          <w:sz w:val="24"/>
        </w:rPr>
      </w:pPr>
      <w:r>
        <w:rPr>
          <w:rFonts w:ascii="Times New Roman" w:hAnsi="Times New Roman" w:cs="Times New Roman"/>
          <w:i/>
          <w:sz w:val="24"/>
        </w:rPr>
        <w:t xml:space="preserve">4.2. </w:t>
      </w:r>
      <w:r w:rsidRPr="007A554D">
        <w:rPr>
          <w:rFonts w:ascii="Times New Roman" w:hAnsi="Times New Roman" w:cs="Times New Roman"/>
          <w:i/>
          <w:sz w:val="24"/>
        </w:rPr>
        <w:t>Conclusion</w:t>
      </w:r>
      <w:r>
        <w:rPr>
          <w:rFonts w:ascii="Times New Roman" w:hAnsi="Times New Roman" w:cs="Times New Roman"/>
          <w:i/>
          <w:sz w:val="24"/>
        </w:rPr>
        <w:t>s</w:t>
      </w:r>
      <w:r w:rsidRPr="007A554D">
        <w:rPr>
          <w:rFonts w:ascii="Times New Roman" w:hAnsi="Times New Roman" w:cs="Times New Roman"/>
          <w:i/>
          <w:sz w:val="24"/>
        </w:rPr>
        <w:t>.</w:t>
      </w:r>
      <w:r>
        <w:rPr>
          <w:rFonts w:ascii="Times New Roman" w:hAnsi="Times New Roman" w:cs="Times New Roman"/>
          <w:sz w:val="24"/>
        </w:rPr>
        <w:t xml:space="preserve"> </w:t>
      </w:r>
    </w:p>
    <w:p w:rsidR="008F365A" w:rsidRDefault="008F365A" w:rsidP="00E9434E">
      <w:pPr>
        <w:ind w:firstLine="0"/>
        <w:rPr>
          <w:rFonts w:ascii="Times New Roman" w:hAnsi="Times New Roman" w:cs="Times New Roman"/>
          <w:sz w:val="24"/>
        </w:rPr>
      </w:pPr>
      <w:r>
        <w:rPr>
          <w:rFonts w:ascii="Times New Roman" w:hAnsi="Times New Roman" w:cs="Times New Roman"/>
          <w:sz w:val="24"/>
        </w:rPr>
        <w:t>There is a pressing need for better integration of substance use and mental health treatment. In substance use treatment programs, the use of s</w:t>
      </w:r>
      <w:r w:rsidRPr="00233EDC">
        <w:rPr>
          <w:rFonts w:ascii="Times New Roman" w:hAnsi="Times New Roman" w:cs="Times New Roman"/>
          <w:sz w:val="24"/>
        </w:rPr>
        <w:t>afety screening</w:t>
      </w:r>
      <w:r>
        <w:rPr>
          <w:rFonts w:ascii="Times New Roman" w:hAnsi="Times New Roman" w:cs="Times New Roman"/>
          <w:sz w:val="24"/>
        </w:rPr>
        <w:t xml:space="preserve"> to identify suicidal clients </w:t>
      </w:r>
      <w:r>
        <w:rPr>
          <w:rFonts w:ascii="Times New Roman" w:hAnsi="Times New Roman" w:cs="Times New Roman"/>
          <w:noProof/>
          <w:sz w:val="24"/>
        </w:rPr>
        <w:t>(Stover et al., 2020)</w:t>
      </w:r>
      <w:r>
        <w:rPr>
          <w:rFonts w:ascii="Times New Roman" w:hAnsi="Times New Roman" w:cs="Times New Roman"/>
          <w:sz w:val="24"/>
        </w:rPr>
        <w:t xml:space="preserve"> should be widely promoted. The results suggest that history of foster care, parental conflict, and non-heterosexual orientation should be considered as indicators of potential suicidal risk among young PWID. Further research is needed to improve understanding of factors that affect the under-utilization of mental health services. A better understanding of reasons for not seeking mental health treatment could help to inform outreach services and interventions for PWID with STB. </w:t>
      </w:r>
    </w:p>
    <w:p w:rsidR="008F365A" w:rsidRPr="007D2846" w:rsidRDefault="008F365A" w:rsidP="007D2846">
      <w:pPr>
        <w:rPr>
          <w:rFonts w:ascii="Times New Roman" w:hAnsi="Times New Roman" w:cs="Times New Roman"/>
          <w:b/>
          <w:color w:val="5B9BD5" w:themeColor="accent1"/>
          <w:sz w:val="24"/>
        </w:rPr>
      </w:pPr>
      <w:r>
        <w:rPr>
          <w:rFonts w:ascii="Times New Roman" w:hAnsi="Times New Roman" w:cs="Times New Roman"/>
          <w:b/>
          <w:color w:val="5B9BD5" w:themeColor="accent1"/>
          <w:sz w:val="24"/>
        </w:rPr>
        <w:br w:type="page"/>
      </w:r>
    </w:p>
    <w:p w:rsidR="008F365A" w:rsidRPr="00FA2489" w:rsidRDefault="008F365A" w:rsidP="00D526E3">
      <w:pPr>
        <w:ind w:firstLine="0"/>
        <w:rPr>
          <w:rFonts w:ascii="Times New Roman" w:hAnsi="Times New Roman" w:cs="Times New Roman"/>
          <w:b/>
          <w:sz w:val="24"/>
        </w:rPr>
      </w:pPr>
      <w:r w:rsidRPr="00FA2489">
        <w:rPr>
          <w:rFonts w:ascii="Times New Roman" w:hAnsi="Times New Roman" w:cs="Times New Roman"/>
          <w:b/>
          <w:sz w:val="24"/>
        </w:rPr>
        <w:lastRenderedPageBreak/>
        <w:t>References</w:t>
      </w:r>
    </w:p>
    <w:p w:rsidR="008F365A" w:rsidRPr="00492292" w:rsidRDefault="008F365A" w:rsidP="00492292">
      <w:pPr>
        <w:pStyle w:val="EndNoteBibliography"/>
        <w:spacing w:after="240"/>
        <w:ind w:firstLine="0"/>
      </w:pPr>
      <w:bookmarkStart w:id="1" w:name="_ENREF_1"/>
      <w:r w:rsidRPr="00492292">
        <w:t>Andersson, H.W., Wenaas, M., Nordfjærn, T., 2019. Relapse after inpatient substance use treatment: A prospective cohort study among users of illicit substances. Addict. Behav. 90, 222-228. doi: 10.1016/j.addbeh.2018.11.008.</w:t>
      </w:r>
      <w:bookmarkEnd w:id="1"/>
    </w:p>
    <w:p w:rsidR="008F365A" w:rsidRPr="00492292" w:rsidRDefault="008F365A" w:rsidP="00492292">
      <w:pPr>
        <w:pStyle w:val="EndNoteBibliography"/>
        <w:spacing w:after="240"/>
        <w:ind w:firstLine="0"/>
      </w:pPr>
      <w:bookmarkStart w:id="2" w:name="_ENREF_2"/>
      <w:r w:rsidRPr="00492292">
        <w:t>Artenie, A.A., Bruneau, J., Roy, É., Zang, G., Lespérance, F., Renaud, J., Tremblay, J., Jutras-Aswad, D., 2015. Licit and illicit substance use among people who inject drugs and the association with subsequent suicidal attempt. Addiction 110, 1636-1643. doi: 10.1111/add.13030.</w:t>
      </w:r>
      <w:bookmarkEnd w:id="2"/>
    </w:p>
    <w:p w:rsidR="008F365A" w:rsidRPr="00492292" w:rsidRDefault="008F365A" w:rsidP="00492292">
      <w:pPr>
        <w:pStyle w:val="EndNoteBibliography"/>
        <w:spacing w:after="240"/>
        <w:ind w:firstLine="0"/>
      </w:pPr>
      <w:bookmarkStart w:id="3" w:name="_ENREF_3"/>
      <w:r w:rsidRPr="00492292">
        <w:t>Bohnert, A.S.B., Ilgen, M.A., 2019. Understanding links among opioid use, overdose, and suicide. N. Engl. J. Med. 380, 71-79. doi: 10.1056/NEJMra1802148.</w:t>
      </w:r>
      <w:bookmarkEnd w:id="3"/>
    </w:p>
    <w:p w:rsidR="008F365A" w:rsidRPr="00492292" w:rsidRDefault="008F365A" w:rsidP="00492292">
      <w:pPr>
        <w:pStyle w:val="EndNoteBibliography"/>
        <w:spacing w:after="240"/>
        <w:ind w:firstLine="0"/>
      </w:pPr>
      <w:bookmarkStart w:id="4" w:name="_ENREF_4"/>
      <w:r w:rsidRPr="00492292">
        <w:t>Bohnert, A.S.B., Roeder, K., Ilgen, M.A., 2010. Unintentional overdose and suicide among substance users: A review of overlap and risk factors. Drug Alcohol Depend. 110, 183-192. doi: 10.1016/j.drugalcdep.2010.03.010.</w:t>
      </w:r>
      <w:bookmarkEnd w:id="4"/>
    </w:p>
    <w:p w:rsidR="008F365A" w:rsidRPr="00492292" w:rsidRDefault="008F365A" w:rsidP="00492292">
      <w:pPr>
        <w:pStyle w:val="EndNoteBibliography"/>
        <w:spacing w:after="240"/>
        <w:ind w:firstLine="0"/>
      </w:pPr>
      <w:bookmarkStart w:id="5" w:name="_ENREF_5"/>
      <w:r w:rsidRPr="00492292">
        <w:t>Borges, G., Walters, E.E., Kessler, R.C., 2000. Associations of substance use, abuse, and dependence with subsequent suicidal behavior. Am. J. Epidemiol. 151, 781-789. doi: 10.1093/oxfordjournals.aje.a010278.</w:t>
      </w:r>
      <w:bookmarkEnd w:id="5"/>
    </w:p>
    <w:p w:rsidR="008F365A" w:rsidRPr="00492292" w:rsidRDefault="008F365A" w:rsidP="00492292">
      <w:pPr>
        <w:pStyle w:val="EndNoteBibliography"/>
        <w:spacing w:after="240"/>
        <w:ind w:firstLine="0"/>
      </w:pPr>
      <w:bookmarkStart w:id="6" w:name="_ENREF_6"/>
      <w:r w:rsidRPr="00492292">
        <w:t>Braden, J.B., Edlund, M.J., Sullivan, M.D., 2017. Suicide deaths with opioid poisoning in the United States: 1999–2014. Am. J. Public Health 107, 421-426. doi: 10.2105/ajph.2016.303591.</w:t>
      </w:r>
      <w:bookmarkEnd w:id="6"/>
    </w:p>
    <w:p w:rsidR="008F365A" w:rsidRPr="00492292" w:rsidRDefault="008F365A" w:rsidP="00492292">
      <w:pPr>
        <w:pStyle w:val="EndNoteBibliography"/>
        <w:spacing w:after="240"/>
        <w:ind w:firstLine="0"/>
      </w:pPr>
      <w:bookmarkStart w:id="7" w:name="_ENREF_7"/>
      <w:r w:rsidRPr="00492292">
        <w:t>Brooks, A.J., Malfait, A.J., Brooke, D., Gallagher, S.M., Penn, P.E., 2007. Consumer perspectives on co-occurring disorders treatment. J. Drug Issues 37, 299-320. doi: 10.1177/002204260703700204.</w:t>
      </w:r>
      <w:bookmarkEnd w:id="7"/>
    </w:p>
    <w:p w:rsidR="008F365A" w:rsidRPr="00492292" w:rsidRDefault="008F365A" w:rsidP="00492292">
      <w:pPr>
        <w:pStyle w:val="EndNoteBibliography"/>
        <w:spacing w:after="240"/>
        <w:ind w:firstLine="0"/>
      </w:pPr>
      <w:bookmarkStart w:id="8" w:name="_ENREF_8"/>
      <w:r w:rsidRPr="00492292">
        <w:t>Caton, C.L., Drake, R.E., Hasin, D.S., Dominguez, B., Shrout, P.E., Samet, S., Schanzer, W.B., 2005. Differences between early-phase primary psychotic disorders with concurrent substance use and substance-induced psychoses. Arch. Gen. Psychiatry 62, 137-145. doi: 10.1001/archpsyc.62.2.137.</w:t>
      </w:r>
      <w:bookmarkEnd w:id="8"/>
    </w:p>
    <w:p w:rsidR="008F365A" w:rsidRPr="00492292" w:rsidRDefault="008F365A" w:rsidP="00492292">
      <w:pPr>
        <w:pStyle w:val="EndNoteBibliography"/>
        <w:spacing w:after="240"/>
        <w:ind w:firstLine="0"/>
      </w:pPr>
      <w:bookmarkStart w:id="9" w:name="_ENREF_9"/>
      <w:r w:rsidRPr="00492292">
        <w:t>Chen, L.-Y., Crum, R.M., Martins, S.S., Kaufmann, C.N., Strain, E.C., Mojtabai, R., 2013. Service use and barriers to mental health care among adults with major depression and comorbid substance dependence. Psychiatr. Serv. 64, 863-870. doi: 10.1176/appi.ps.201200289.</w:t>
      </w:r>
      <w:bookmarkEnd w:id="9"/>
    </w:p>
    <w:p w:rsidR="008F365A" w:rsidRPr="00492292" w:rsidRDefault="008F365A" w:rsidP="00492292">
      <w:pPr>
        <w:pStyle w:val="EndNoteBibliography"/>
        <w:spacing w:after="240"/>
        <w:ind w:firstLine="0"/>
      </w:pPr>
      <w:bookmarkStart w:id="10" w:name="_ENREF_10"/>
      <w:r w:rsidRPr="00492292">
        <w:t>Connery, H.S., Taghian, N., Kim, J., Griffin, M., Rockett, I.R.H., Weiss, R.D., Kathryn McHugh, R., 2019. Suicidal motivations reported by opioid overdose survivors: A cross-sectional study of adults with opioid use disorder. Drug Alcohol Depend. 205, 107612. doi: 10.1016/j.drugalcdep.2019.107612.</w:t>
      </w:r>
      <w:bookmarkEnd w:id="10"/>
    </w:p>
    <w:p w:rsidR="008F365A" w:rsidRPr="00492292" w:rsidRDefault="008F365A" w:rsidP="00492292">
      <w:pPr>
        <w:pStyle w:val="EndNoteBibliography"/>
        <w:spacing w:after="240"/>
        <w:ind w:firstLine="0"/>
      </w:pPr>
      <w:bookmarkStart w:id="11" w:name="_ENREF_11"/>
      <w:r w:rsidRPr="00492292">
        <w:t>Curtin, S.C., Heron, M.P., 2019. Death rates due to suicide and homicide among persons aged 10–24: United States, 2000–2017. NCHS Data Brief</w:t>
      </w:r>
      <w:bookmarkEnd w:id="11"/>
    </w:p>
    <w:p w:rsidR="008F365A" w:rsidRPr="00492292" w:rsidRDefault="008F365A" w:rsidP="00492292">
      <w:pPr>
        <w:pStyle w:val="EndNoteBibliography"/>
        <w:spacing w:after="240"/>
        <w:ind w:firstLine="0"/>
      </w:pPr>
      <w:bookmarkStart w:id="12" w:name="_ENREF_12"/>
      <w:r w:rsidRPr="00492292">
        <w:t xml:space="preserve">Curtin, S.C., Warner, M., Hedegaard, H., 2016. Increase in Suicide in the United States, 1999-2014. NCHS Data Brief, 1-8. </w:t>
      </w:r>
      <w:bookmarkEnd w:id="12"/>
    </w:p>
    <w:p w:rsidR="008F365A" w:rsidRPr="00492292" w:rsidRDefault="008F365A" w:rsidP="00492292">
      <w:pPr>
        <w:pStyle w:val="EndNoteBibliography"/>
        <w:spacing w:after="240"/>
        <w:ind w:firstLine="0"/>
      </w:pPr>
      <w:bookmarkStart w:id="13" w:name="_ENREF_13"/>
      <w:r w:rsidRPr="00492292">
        <w:lastRenderedPageBreak/>
        <w:t>Darke, S., Ross, J., Lynskey, M., Teesson, M., 2004. Attempted suicide among entrants to three treatment modalities for heroin dependence in the Australian Treatment Outcome Study (ATOS): Prevalence and risk factors. Drug Alcohol Depend. 73, 1-10. doi: 10.1016/j.drugalcdep.2003.08.008.</w:t>
      </w:r>
      <w:bookmarkEnd w:id="13"/>
    </w:p>
    <w:p w:rsidR="008F365A" w:rsidRPr="00492292" w:rsidRDefault="008F365A" w:rsidP="00492292">
      <w:pPr>
        <w:pStyle w:val="EndNoteBibliography"/>
        <w:spacing w:after="240"/>
        <w:ind w:firstLine="0"/>
      </w:pPr>
      <w:bookmarkStart w:id="14" w:name="_ENREF_14"/>
      <w:r w:rsidRPr="00492292">
        <w:t>Darke, S., Ross, J., Williamson, A., Mills, K.L., Havard, A., Teesson, M., 2007. Patterns and correlates of attempted suicide by heroin users over a 3-year period: Findings from the Australian treatment outcome study. Drug Alcohol Depend. 87, 146-152. doi: 10.1016/j.drugalcdep.2006.08.010.</w:t>
      </w:r>
      <w:bookmarkEnd w:id="14"/>
    </w:p>
    <w:p w:rsidR="008F365A" w:rsidRPr="00492292" w:rsidRDefault="008F365A" w:rsidP="00492292">
      <w:pPr>
        <w:pStyle w:val="EndNoteBibliography"/>
        <w:spacing w:after="240"/>
        <w:ind w:firstLine="0"/>
      </w:pPr>
      <w:bookmarkStart w:id="15" w:name="_ENREF_15"/>
      <w:r w:rsidRPr="00492292">
        <w:t>Darke, S., Torok, M., 2013. Childhood physical abuse, non-suicidal self-harm and attempted suicide amongst regular injecting drug users. Drug Alcohol Depend. 133, 420-426. doi: 10.1016/j.drugalcdep.2013.06.026.</w:t>
      </w:r>
      <w:bookmarkEnd w:id="15"/>
    </w:p>
    <w:p w:rsidR="008F365A" w:rsidRPr="00492292" w:rsidRDefault="008F365A" w:rsidP="00492292">
      <w:pPr>
        <w:pStyle w:val="EndNoteBibliography"/>
        <w:spacing w:after="240"/>
        <w:ind w:firstLine="0"/>
      </w:pPr>
      <w:bookmarkStart w:id="16" w:name="_ENREF_16"/>
      <w:r w:rsidRPr="00492292">
        <w:t>Gicquelais, R.E., Jannausch, M., Bohnert, A.S.B., Thomas, L., Sen, S., Fernandez, A.C., 2020. Links between suicidal intent, polysubstance use, and medical treatment after non-fatal opioid overdose. Drug Alcohol Depend. 212, 108041. doi: 10.1016/j.drugalcdep.2020.108041.</w:t>
      </w:r>
      <w:bookmarkEnd w:id="16"/>
    </w:p>
    <w:p w:rsidR="008F365A" w:rsidRPr="00492292" w:rsidRDefault="008F365A" w:rsidP="00492292">
      <w:pPr>
        <w:pStyle w:val="EndNoteBibliography"/>
        <w:spacing w:after="240"/>
        <w:ind w:firstLine="0"/>
      </w:pPr>
      <w:bookmarkStart w:id="17" w:name="_ENREF_17"/>
      <w:r w:rsidRPr="00492292">
        <w:t>Haas, A.P., Eliason, M., Mays, V.M., Mathy, R.M., Cochran, S.D., D'Augelli, A.R., Silverman, M.M., Fisher, P.W., Hughes, T., Rosario, M., Russell, S.T., Malley, E., Reed, J., Litts, D.A., Haller, E., Sell, R.L., Remafedi, G., Bradford, J., Beautrais, A.L., Brown, G.K., Diamond, G.M., Friedman, M.S., Garofalo, R., Turner, M.S., Hollibaugh, A., Clayton, P.J., 2010. Suicide and suicide risk in lesbian, gay, bisexual, and transgender populations: Review and recommendations. J. Homosex. 58, 10-51. doi: 10.1080/00918369.2011.534038.</w:t>
      </w:r>
      <w:bookmarkEnd w:id="17"/>
    </w:p>
    <w:p w:rsidR="008F365A" w:rsidRPr="00492292" w:rsidRDefault="008F365A" w:rsidP="00492292">
      <w:pPr>
        <w:pStyle w:val="EndNoteBibliography"/>
        <w:spacing w:after="240"/>
        <w:ind w:firstLine="0"/>
      </w:pPr>
      <w:bookmarkStart w:id="18" w:name="_ENREF_18"/>
      <w:r w:rsidRPr="00492292">
        <w:t>Han, B., Compton, W.M., Blanco, C., Colpe, L., Huang, L., McKeon, R., 2018. National trends in the prevalence of suicidal ideation and behavior among young adults and receipt of mental health care among suicidal young adults. J. Am. Acad. Child Adolesc. Psychiatry 57, 20-27.e22. doi: 10.1016/j.jaac.2017.10.013.</w:t>
      </w:r>
      <w:bookmarkEnd w:id="18"/>
    </w:p>
    <w:p w:rsidR="008F365A" w:rsidRPr="00492292" w:rsidRDefault="008F365A" w:rsidP="00492292">
      <w:pPr>
        <w:pStyle w:val="EndNoteBibliography"/>
        <w:spacing w:after="240"/>
        <w:ind w:firstLine="0"/>
      </w:pPr>
      <w:bookmarkStart w:id="19" w:name="_ENREF_19"/>
      <w:r w:rsidRPr="00492292">
        <w:t>Hasin, D., Samet, S., Nunes, E., Meydan, J., Matseoane, K., Waxman, R., 2006. Diagnosis of comorbid psychiatric disorders in substance users assessed with the Psychiatric Research Interview for Substance and Mental Disorders for DSM-IV. Am. J. Psychiatry 163, 689-696. doi: 10.1176/appi.ajp.163.4.689.</w:t>
      </w:r>
      <w:bookmarkEnd w:id="19"/>
    </w:p>
    <w:p w:rsidR="008F365A" w:rsidRPr="00492292" w:rsidRDefault="008F365A" w:rsidP="00492292">
      <w:pPr>
        <w:pStyle w:val="EndNoteBibliography"/>
        <w:spacing w:after="240"/>
        <w:ind w:firstLine="0"/>
      </w:pPr>
      <w:bookmarkStart w:id="20" w:name="_ENREF_20"/>
      <w:r w:rsidRPr="00492292">
        <w:t xml:space="preserve">Hasin, D., Trautman, K.D., Miele, G.M., Samet, S., Smith, M., Endicott, J., 1996. Psychiatric Research Interview for Substance and Mental Disorders (PRISM): Reliability for substance abusers. Am. J. Psychiatry 153, 1195-1201. </w:t>
      </w:r>
      <w:bookmarkEnd w:id="20"/>
    </w:p>
    <w:p w:rsidR="008F365A" w:rsidRPr="00492292" w:rsidRDefault="008F365A" w:rsidP="00492292">
      <w:pPr>
        <w:pStyle w:val="EndNoteBibliography"/>
        <w:spacing w:after="240"/>
        <w:ind w:firstLine="0"/>
      </w:pPr>
      <w:bookmarkStart w:id="21" w:name="_ENREF_21"/>
      <w:r w:rsidRPr="00492292">
        <w:t>Haskell, R., Graham, K., Bernards, S., Flynn, A., Wells, S., 2016. Service user and family member perspectives on services for mental health, substance use/addiction, and violence: A qualitative study of their goals, experiences and recommendations. International Journal of Mental Health Systems 10, 9. doi: 10.1186/s13033-016-0040-3.</w:t>
      </w:r>
      <w:bookmarkEnd w:id="21"/>
    </w:p>
    <w:p w:rsidR="008F365A" w:rsidRPr="00492292" w:rsidRDefault="008F365A" w:rsidP="00492292">
      <w:pPr>
        <w:pStyle w:val="EndNoteBibliography"/>
        <w:spacing w:after="240"/>
        <w:ind w:firstLine="0"/>
      </w:pPr>
      <w:bookmarkStart w:id="22" w:name="_ENREF_22"/>
      <w:r w:rsidRPr="00492292">
        <w:t>Havens, J.R., Sherman, S.G., Sapun, M., Strathdee, S.A., 2006. Prevalence and correlates of suicidal ideation among young injection vs. noninjection drug users. Subst. Use Misuse 41, 245-254. doi: 10.1080/10826080500391811.</w:t>
      </w:r>
      <w:bookmarkEnd w:id="22"/>
    </w:p>
    <w:p w:rsidR="008F365A" w:rsidRPr="00492292" w:rsidRDefault="008F365A" w:rsidP="00492292">
      <w:pPr>
        <w:pStyle w:val="EndNoteBibliography"/>
        <w:spacing w:after="240"/>
        <w:ind w:firstLine="0"/>
      </w:pPr>
      <w:bookmarkStart w:id="23" w:name="_ENREF_23"/>
      <w:r w:rsidRPr="00492292">
        <w:lastRenderedPageBreak/>
        <w:t>Havens, J.R., Strathdee, S.A., Fuller, C.M., Ikeda, R., Friedman, S.R., Des Jarlais, D.C., Morse, P.S., Bailey, S., Kerndt, P., Garfein, R.S., 2004. Correlates of attempted suicide among young injection drug users in a multi-site cohort. Drug Alcohol Depend. 75, 261-269. doi: 10.1016/j.drugalcdep.2004.03.011.</w:t>
      </w:r>
      <w:bookmarkEnd w:id="23"/>
    </w:p>
    <w:p w:rsidR="008F365A" w:rsidRPr="00492292" w:rsidRDefault="008F365A" w:rsidP="00492292">
      <w:pPr>
        <w:pStyle w:val="EndNoteBibliography"/>
        <w:spacing w:after="240"/>
        <w:ind w:firstLine="0"/>
      </w:pPr>
      <w:bookmarkStart w:id="24" w:name="_ENREF_24"/>
      <w:r w:rsidRPr="00492292">
        <w:t>Heckathorn, D.D., 1997. Respondent-driven sampling: A new approach to the study of hidden populations. Soc. Probl. 44, 174-199. doi: 10.2307/3096941.</w:t>
      </w:r>
      <w:bookmarkEnd w:id="24"/>
    </w:p>
    <w:p w:rsidR="008F365A" w:rsidRPr="00492292" w:rsidRDefault="008F365A" w:rsidP="00492292">
      <w:pPr>
        <w:pStyle w:val="EndNoteBibliography"/>
        <w:spacing w:after="240"/>
        <w:ind w:firstLine="0"/>
      </w:pPr>
      <w:bookmarkStart w:id="25" w:name="_ENREF_25"/>
      <w:r w:rsidRPr="00492292">
        <w:t>Heckathorn, D.D., 2002. Respondent-driven sampling II: Deriving valid population estimates from chain-referral samples of hidden populations. Soc. Probl. 49, 11-34. doi: 10.1525/sp.2002.49.1.11.</w:t>
      </w:r>
      <w:bookmarkEnd w:id="25"/>
    </w:p>
    <w:p w:rsidR="008F365A" w:rsidRPr="00492292" w:rsidRDefault="008F365A" w:rsidP="00492292">
      <w:pPr>
        <w:pStyle w:val="EndNoteBibliography"/>
        <w:spacing w:after="240"/>
        <w:ind w:firstLine="0"/>
      </w:pPr>
      <w:bookmarkStart w:id="26" w:name="_ENREF_26"/>
      <w:r w:rsidRPr="00492292">
        <w:t>Hedegaard, H., Curtin, S.C., Warner, M., 2018. Suicide mortality in the United States, 1999-2017. NCHS Data Brief, no 330. Hyattsville, MD: National Center for Health Statistics.</w:t>
      </w:r>
      <w:bookmarkEnd w:id="26"/>
    </w:p>
    <w:p w:rsidR="008F365A" w:rsidRPr="00492292" w:rsidRDefault="008F365A" w:rsidP="00492292">
      <w:pPr>
        <w:pStyle w:val="EndNoteBibliography"/>
        <w:spacing w:after="240"/>
        <w:ind w:firstLine="0"/>
      </w:pPr>
      <w:bookmarkStart w:id="27" w:name="_ENREF_27"/>
      <w:r w:rsidRPr="00492292">
        <w:t>Hom, M.A., Albury, E.A., Gomez, M.M., Christensen, K., Stanley, I.H., Stage, D.R.L., Joiner, T.E., 2020. Suicide attempt survivors’ experiences with mental health care services: A mixed methods study. Prof. Psychol. Res. Pract. 51, 172-183. doi: 10.1037/pro0000265.</w:t>
      </w:r>
      <w:bookmarkEnd w:id="27"/>
    </w:p>
    <w:p w:rsidR="008F365A" w:rsidRPr="00492292" w:rsidRDefault="008F365A" w:rsidP="00492292">
      <w:pPr>
        <w:pStyle w:val="EndNoteBibliography"/>
        <w:spacing w:after="240"/>
        <w:ind w:firstLine="0"/>
      </w:pPr>
      <w:bookmarkStart w:id="28" w:name="_ENREF_28"/>
      <w:r w:rsidRPr="00492292">
        <w:t>Hom, M.A., Stanley, I.H., Joiner, T.E., 2015. Evaluating factors and interventions that influence help-seeking and mental health service utilization among suicidal individuals: A review of the literature. Clin. Psychol. Rev. 40, 28-39. doi: 10.1016/j.cpr.2015.05.006.</w:t>
      </w:r>
      <w:bookmarkEnd w:id="28"/>
    </w:p>
    <w:p w:rsidR="008F365A" w:rsidRPr="00492292" w:rsidRDefault="008F365A" w:rsidP="00492292">
      <w:pPr>
        <w:pStyle w:val="EndNoteBibliography"/>
        <w:spacing w:after="240"/>
        <w:ind w:firstLine="0"/>
      </w:pPr>
      <w:bookmarkStart w:id="29" w:name="_ENREF_29"/>
      <w:r w:rsidRPr="00492292">
        <w:t>King, M., Semlyen, J., Tai, S.S., Killaspy, H., Osborn, D., Popelyuk, D., Nazareth, I., 2008. A systematic review of mental disorder, suicide, and deliberate self harm in lesbian, gay and bisexual people. BMC Psychiatr. 8, 70. doi: 10.1186/1471-244x-8-70.</w:t>
      </w:r>
      <w:bookmarkEnd w:id="29"/>
    </w:p>
    <w:p w:rsidR="008F365A" w:rsidRPr="00492292" w:rsidRDefault="008F365A" w:rsidP="00492292">
      <w:pPr>
        <w:pStyle w:val="EndNoteBibliography"/>
        <w:spacing w:after="240"/>
        <w:ind w:firstLine="0"/>
      </w:pPr>
      <w:bookmarkStart w:id="30" w:name="_ENREF_30"/>
      <w:r w:rsidRPr="00492292">
        <w:t>Liu, D., Yu, M., Duncan, J., Fondario, A., Kharrazi, H., Nestadt, P.S., 2020. Discovering the unclassified suicide cases among undetermined drug overdose deaths using machine learning techniques. Suicide Life. Threat. Behav. 50, 333-344. doi: 10.1111/sltb.12591.</w:t>
      </w:r>
      <w:bookmarkEnd w:id="30"/>
    </w:p>
    <w:p w:rsidR="008F365A" w:rsidRPr="00492292" w:rsidRDefault="008F365A" w:rsidP="00492292">
      <w:pPr>
        <w:pStyle w:val="EndNoteBibliography"/>
        <w:spacing w:after="240"/>
        <w:ind w:firstLine="0"/>
      </w:pPr>
      <w:bookmarkStart w:id="31" w:name="_ENREF_31"/>
      <w:r w:rsidRPr="00492292">
        <w:t>Lloyd, J.J., Ricketts, E.P., Havens, J.R., Cornelius, L.J., Bishai, D., Huettner, S., Latkin, C., Strathdee, S.A., 2007. The relationship between lifetime abuse and suicidal ideation in a sample of injection drug users. J. Psychoactive Drugs 39, 159-166. doi: 10.1080/02791072.2007.10399874.</w:t>
      </w:r>
      <w:bookmarkEnd w:id="31"/>
    </w:p>
    <w:p w:rsidR="008F365A" w:rsidRPr="00492292" w:rsidRDefault="008F365A" w:rsidP="00492292">
      <w:pPr>
        <w:pStyle w:val="EndNoteBibliography"/>
        <w:spacing w:after="240"/>
        <w:ind w:firstLine="0"/>
      </w:pPr>
      <w:bookmarkStart w:id="32" w:name="_ENREF_32"/>
      <w:r w:rsidRPr="00492292">
        <w:t>Mackesy-Amiti, M.E., Donenberg, G.R., Ouellet, L.J., 2012. Prevalence of psychiatric disorders among young injection drug users. Drug Alcohol Depend. 124, 70-78. doi: 10.1016/j.drugalcdep.2011.12.012.</w:t>
      </w:r>
      <w:bookmarkEnd w:id="32"/>
    </w:p>
    <w:p w:rsidR="008F365A" w:rsidRPr="00492292" w:rsidRDefault="008F365A" w:rsidP="00492292">
      <w:pPr>
        <w:pStyle w:val="EndNoteBibliography"/>
        <w:spacing w:after="240"/>
        <w:ind w:firstLine="0"/>
      </w:pPr>
      <w:bookmarkStart w:id="33" w:name="_ENREF_33"/>
      <w:r w:rsidRPr="00492292">
        <w:t>Maloney, E., Degenhardt, L., Darke, S., Mattick, R.P., Nelson, E., 2007. Suicidal behaviour and associated risk factors among opioid-dependent individuals: A case–control study. Addiction 102, 1933-1941. doi: 10.1111/j.1360-0443.2007.01971.x.</w:t>
      </w:r>
      <w:bookmarkEnd w:id="33"/>
    </w:p>
    <w:p w:rsidR="008F365A" w:rsidRPr="00492292" w:rsidRDefault="008F365A" w:rsidP="00492292">
      <w:pPr>
        <w:pStyle w:val="EndNoteBibliography"/>
        <w:spacing w:after="240"/>
        <w:ind w:firstLine="0"/>
      </w:pPr>
      <w:bookmarkStart w:id="34" w:name="_ENREF_34"/>
      <w:r w:rsidRPr="00492292">
        <w:t>Mino, A., Bousquet, A., Broers, B., 1999. Substance abuse and drug-related death, suicidal ideation, and suicide: A review. Crisis 20, 28-35. doi: 10.1027//0227-5910.20.1.28.</w:t>
      </w:r>
      <w:bookmarkEnd w:id="34"/>
    </w:p>
    <w:p w:rsidR="008F365A" w:rsidRPr="00492292" w:rsidRDefault="008F365A" w:rsidP="00492292">
      <w:pPr>
        <w:pStyle w:val="EndNoteBibliography"/>
        <w:spacing w:after="240"/>
        <w:ind w:firstLine="0"/>
      </w:pPr>
      <w:bookmarkStart w:id="35" w:name="_ENREF_35"/>
      <w:r w:rsidRPr="00492292">
        <w:lastRenderedPageBreak/>
        <w:t>Mueser, K.T., 2003. Integrated treatment for dual disorders: A guide to effective practice. Guilford Press, New York.</w:t>
      </w:r>
      <w:bookmarkEnd w:id="35"/>
    </w:p>
    <w:p w:rsidR="008F365A" w:rsidRPr="00492292" w:rsidRDefault="008F365A" w:rsidP="00492292">
      <w:pPr>
        <w:pStyle w:val="EndNoteBibliography"/>
        <w:spacing w:after="240"/>
        <w:ind w:firstLine="0"/>
      </w:pPr>
      <w:bookmarkStart w:id="36" w:name="_ENREF_36"/>
      <w:r w:rsidRPr="00492292">
        <w:t>Neale, J., 2000. Suicidal intent in non-fatal illicit drug overdose. Addiction 95, 85-93. doi: 10.1046/j.1360-0443.2000.951859.x.</w:t>
      </w:r>
      <w:bookmarkEnd w:id="36"/>
    </w:p>
    <w:p w:rsidR="008F365A" w:rsidRPr="00492292" w:rsidRDefault="008F365A" w:rsidP="00492292">
      <w:pPr>
        <w:pStyle w:val="EndNoteBibliography"/>
        <w:spacing w:after="240"/>
        <w:ind w:firstLine="0"/>
      </w:pPr>
      <w:bookmarkStart w:id="37" w:name="_ENREF_37"/>
      <w:r w:rsidRPr="00492292">
        <w:t>Ness, O., Borg, M., Davidson, L., 2014. Facilitators and barriers in dual recovery: A literature review of first-person perspectives. Advances in Dual Diagnosis 7, 107-117. doi: 10.1108/ADD-02-2014-0007.</w:t>
      </w:r>
      <w:bookmarkEnd w:id="37"/>
    </w:p>
    <w:p w:rsidR="008F365A" w:rsidRPr="00492292" w:rsidRDefault="008F365A" w:rsidP="00492292">
      <w:pPr>
        <w:pStyle w:val="EndNoteBibliography"/>
        <w:spacing w:after="240"/>
        <w:ind w:firstLine="0"/>
      </w:pPr>
      <w:bookmarkStart w:id="38" w:name="_ENREF_38"/>
      <w:r w:rsidRPr="00492292">
        <w:t>Oquendo, M.A., Volkow, N.D., 2018. Suicide: A silent contributor to opioid-overdose deaths. N. Engl. J. Med. 378, 1567-1569. doi: 10.1056/NEJMp1801417.</w:t>
      </w:r>
      <w:bookmarkEnd w:id="38"/>
    </w:p>
    <w:p w:rsidR="008F365A" w:rsidRPr="00492292" w:rsidRDefault="008F365A" w:rsidP="00492292">
      <w:pPr>
        <w:pStyle w:val="EndNoteBibliography"/>
        <w:spacing w:after="240"/>
        <w:ind w:firstLine="0"/>
      </w:pPr>
      <w:bookmarkStart w:id="39" w:name="_ENREF_39"/>
      <w:r w:rsidRPr="00492292">
        <w:t>Pettersen, H., Landheim, A., Skeie, I., Biong, S., Brodahl, M., Benson, V., Davidson, L., 2019. Helpful ingredients in the treatment of long-term substance use disorders: A collaborative narrative study. Subst. Abuse 13, 1178221819844996. doi: 10.1177/1178221819844996.</w:t>
      </w:r>
      <w:bookmarkEnd w:id="39"/>
    </w:p>
    <w:p w:rsidR="008F365A" w:rsidRPr="00492292" w:rsidRDefault="008F365A" w:rsidP="00492292">
      <w:pPr>
        <w:pStyle w:val="EndNoteBibliography"/>
        <w:spacing w:after="240"/>
        <w:ind w:firstLine="0"/>
      </w:pPr>
      <w:bookmarkStart w:id="40" w:name="_ENREF_40"/>
      <w:r w:rsidRPr="00492292">
        <w:t>Pompili, M., Lester, D., Forte, A., Seretti, M.E., Erbuto, D., Lamis, D.A., Amore, M., Girardi, P., 2014. Bisexuality and suicide: A systematic review of the current literature. The Journal of Sexual Medicine 11, 1903-1913. doi: 10.1111/jsm.12581.</w:t>
      </w:r>
      <w:bookmarkEnd w:id="40"/>
    </w:p>
    <w:p w:rsidR="008F365A" w:rsidRPr="00492292" w:rsidRDefault="008F365A" w:rsidP="00492292">
      <w:pPr>
        <w:pStyle w:val="EndNoteBibliography"/>
        <w:spacing w:after="240"/>
        <w:ind w:firstLine="0"/>
      </w:pPr>
      <w:bookmarkStart w:id="41" w:name="_ENREF_41"/>
      <w:r w:rsidRPr="00492292">
        <w:t>Priester, M.A., Browne, T., Iachini, A., Clone, S., DeHart, D., Seay, K.D., 2016. Treatment access barriers and disparities among individuals with co-occurring mental health and substance use disorders: An integrative literature review. J. Subst. Abuse Treat. 61, 47-59. doi: 10.1016/j.jsat.2015.09.006.</w:t>
      </w:r>
      <w:bookmarkEnd w:id="41"/>
    </w:p>
    <w:p w:rsidR="008F365A" w:rsidRPr="00492292" w:rsidRDefault="008F365A" w:rsidP="00492292">
      <w:pPr>
        <w:pStyle w:val="EndNoteBibliography"/>
        <w:spacing w:after="240"/>
        <w:ind w:firstLine="0"/>
      </w:pPr>
      <w:bookmarkStart w:id="42" w:name="_ENREF_42"/>
      <w:r w:rsidRPr="00492292">
        <w:t>Richer, I., Bertrand, K., Vandermeerschen, J., Roy, E., 2013. A prospective cohort study of non-fatal accidental overdose among street youth: The link with suicidal ideation. Drug Alcohol Rev. 32, 398-404. doi: 10.1111/dar.12003.</w:t>
      </w:r>
      <w:bookmarkEnd w:id="42"/>
    </w:p>
    <w:p w:rsidR="008F365A" w:rsidRPr="00492292" w:rsidRDefault="008F365A" w:rsidP="00492292">
      <w:pPr>
        <w:pStyle w:val="EndNoteBibliography"/>
        <w:spacing w:after="240"/>
        <w:ind w:firstLine="0"/>
      </w:pPr>
      <w:bookmarkStart w:id="43" w:name="_ENREF_43"/>
      <w:r w:rsidRPr="00492292">
        <w:t>Roy, A., 2010. Risk factors for attempting suicide in heroin addicts. Suicide Life. Threat. Behav. 40, 416-420. doi: 10.1521/suli.2010.40.4.416.</w:t>
      </w:r>
      <w:bookmarkEnd w:id="43"/>
    </w:p>
    <w:p w:rsidR="008F365A" w:rsidRPr="00492292" w:rsidRDefault="008F365A" w:rsidP="00492292">
      <w:pPr>
        <w:pStyle w:val="EndNoteBibliography"/>
        <w:spacing w:after="240"/>
        <w:ind w:firstLine="0"/>
      </w:pPr>
      <w:bookmarkStart w:id="44" w:name="_ENREF_44"/>
      <w:r w:rsidRPr="00492292">
        <w:t>Spivak, S., Strain, E.C., Spivak, A., Cullen, B., Ruble, A.E., Parekh, V., Green, C., Mojtabai, R., 2020. Integrated dual diagnosis treatment among United States mental health treatment facilities: 2010 to 2018. Drug Alcohol Depend. 213, 108074. doi: 10.1016/j.drugalcdep.2020.108074.</w:t>
      </w:r>
      <w:bookmarkEnd w:id="44"/>
    </w:p>
    <w:p w:rsidR="008F365A" w:rsidRPr="00492292" w:rsidRDefault="008F365A" w:rsidP="00492292">
      <w:pPr>
        <w:pStyle w:val="EndNoteBibliography"/>
        <w:spacing w:after="240"/>
        <w:ind w:firstLine="0"/>
      </w:pPr>
      <w:bookmarkStart w:id="45" w:name="_ENREF_45"/>
      <w:r w:rsidRPr="00492292">
        <w:t>Stiffman, A.R., Horwitz, S.M., Hoagwood, K., Compton, W., 3rd, Cottler, L., Bean, D.L., Narrow, W.E., Weisz, J.R., 2000. The Service Assessment for Children and Adolescents (SACA): Adult and child reports. J. Am. Acad. Child Adolesc. Psychiatry 39, 1032-1039. doi: 10.1097/00004583-200008000-00019.</w:t>
      </w:r>
      <w:bookmarkEnd w:id="45"/>
    </w:p>
    <w:p w:rsidR="008F365A" w:rsidRPr="00492292" w:rsidRDefault="008F365A" w:rsidP="00492292">
      <w:pPr>
        <w:pStyle w:val="EndNoteBibliography"/>
        <w:spacing w:after="240"/>
        <w:ind w:firstLine="0"/>
      </w:pPr>
      <w:bookmarkStart w:id="46" w:name="_ENREF_46"/>
      <w:r w:rsidRPr="00492292">
        <w:t>Stover, A.N., Rockett, I.R.H., Smith, G.S., LeMasters, T., Scott, V.G., Kelly, K.M., Winstanley, E.L., 2020. Feasibility and acceptability of safety screening among patients receiving addiction treatment. J. Subst. Abuse Treat. 117, 108092. doi: 10.1016/j.jsat.2020.108092.</w:t>
      </w:r>
      <w:bookmarkEnd w:id="46"/>
    </w:p>
    <w:p w:rsidR="008F365A" w:rsidRPr="00492292" w:rsidRDefault="008F365A" w:rsidP="00492292">
      <w:pPr>
        <w:pStyle w:val="EndNoteBibliography"/>
        <w:spacing w:after="240"/>
        <w:ind w:firstLine="0"/>
      </w:pPr>
      <w:bookmarkStart w:id="47" w:name="_ENREF_47"/>
      <w:r w:rsidRPr="00492292">
        <w:t xml:space="preserve">Substance Abuse and Mental Health Services Administration (SAMHSA), 2020. Substance Use Disorder Treatment for Persons with Co-occurring Disorders. Treatment Improvement Protocol </w:t>
      </w:r>
      <w:r w:rsidRPr="00492292">
        <w:lastRenderedPageBreak/>
        <w:t>(TIP) Series, No. 42. SAMHSA Publication No. PEP20-02-01-004. Rockville, MD: Substance Abuse and Mental Health Services Administration.</w:t>
      </w:r>
      <w:bookmarkEnd w:id="47"/>
    </w:p>
    <w:p w:rsidR="008F365A" w:rsidRPr="00492292" w:rsidRDefault="008F365A" w:rsidP="00492292">
      <w:pPr>
        <w:pStyle w:val="EndNoteBibliography"/>
        <w:spacing w:after="240"/>
        <w:ind w:firstLine="0"/>
      </w:pPr>
      <w:bookmarkStart w:id="48" w:name="_ENREF_48"/>
      <w:r w:rsidRPr="00492292">
        <w:t>Syan, S.K., Minhas, M., Oshri, A., Costello, J., Sousa, S., Samokhvalov, A.V., Rush, B., MacKillop, J., 2020. Predictors of premature treatment termination in a large residential addiction medicine program. J. Subst. Abuse Treat. 117, 108077. doi: 10.1016/j.jsat.2020.108077.</w:t>
      </w:r>
      <w:bookmarkEnd w:id="48"/>
    </w:p>
    <w:p w:rsidR="008F365A" w:rsidRPr="00492292" w:rsidRDefault="008F365A" w:rsidP="00492292">
      <w:pPr>
        <w:pStyle w:val="EndNoteBibliography"/>
        <w:spacing w:after="240"/>
        <w:ind w:firstLine="0"/>
      </w:pPr>
      <w:bookmarkStart w:id="49" w:name="_ENREF_49"/>
      <w:r w:rsidRPr="00492292">
        <w:t>Teesson, M., Marel, C., Darke, S., Ross, J., Slade, T., Burns, L., Lynskey, M., Memedovic, S., White, J., Mills, K.L., 2015. Long-term mortality, remission, criminality and psychiatric comorbidity of heroin dependence: 11-year findings from the Australian Treatment Outcome Study. Addiction 110, 986-993. doi: 10.1111/add.12860.</w:t>
      </w:r>
      <w:bookmarkEnd w:id="49"/>
    </w:p>
    <w:p w:rsidR="008F365A" w:rsidRPr="00492292" w:rsidRDefault="008F365A" w:rsidP="00492292">
      <w:pPr>
        <w:pStyle w:val="EndNoteBibliography"/>
        <w:spacing w:after="240"/>
        <w:ind w:firstLine="0"/>
      </w:pPr>
      <w:bookmarkStart w:id="50" w:name="_ENREF_50"/>
      <w:r w:rsidRPr="00492292">
        <w:t>Teesson, M., Mills, K., Ross, J., Darke, S., Williamson, A., Havard, A., 2008. The impact of treatment on 3 years' outcome for heroin dependence: Findings from the Australian Treatment Outcome Study (ATOS). Addiction 103, 80-88. doi: 10.1111/j.1360-0443.2007.02029.x.</w:t>
      </w:r>
      <w:bookmarkEnd w:id="50"/>
    </w:p>
    <w:p w:rsidR="008F365A" w:rsidRPr="00492292" w:rsidRDefault="008F365A" w:rsidP="00492292">
      <w:pPr>
        <w:pStyle w:val="EndNoteBibliography"/>
        <w:spacing w:after="240"/>
        <w:ind w:firstLine="0"/>
      </w:pPr>
      <w:bookmarkStart w:id="51" w:name="_ENREF_51"/>
      <w:r w:rsidRPr="00492292">
        <w:t xml:space="preserve">Tondo, L., Baldessarini, R.J., Hennen, J., Minnai, G.P., Salis, P., Scamonatti, L., Masia, M., Ghiani, C., Mannu, P., 1999. Suicide attempts in major affective disorder patients with comorbid substance use disorders. J. Clin. Psychiatry 60, 63-69. </w:t>
      </w:r>
      <w:bookmarkEnd w:id="51"/>
    </w:p>
    <w:p w:rsidR="008F365A" w:rsidRPr="00492292" w:rsidRDefault="008F365A" w:rsidP="00492292">
      <w:pPr>
        <w:pStyle w:val="EndNoteBibliography"/>
        <w:spacing w:after="240"/>
        <w:ind w:firstLine="0"/>
      </w:pPr>
      <w:bookmarkStart w:id="52" w:name="_ENREF_52"/>
      <w:r w:rsidRPr="00492292">
        <w:t>Trust for America's Health, Well Being Trust, 2019. Pain in the Nation Update. Issue Brief. Washington, DC: Trust for America's Health.</w:t>
      </w:r>
      <w:bookmarkEnd w:id="52"/>
    </w:p>
    <w:p w:rsidR="008F365A" w:rsidRPr="00492292" w:rsidRDefault="008F365A" w:rsidP="00492292">
      <w:pPr>
        <w:pStyle w:val="EndNoteBibliography"/>
        <w:spacing w:after="240"/>
        <w:ind w:firstLine="0"/>
      </w:pPr>
      <w:bookmarkStart w:id="53" w:name="_ENREF_53"/>
      <w:r w:rsidRPr="00492292">
        <w:t>van Hagen, L.J., de Waal, M.M., Christ, C., Dekker, J.J.M., Goudriaan, A.E., 2019. Patient characteristics predicting abstinence in substance use disorder patients with comorbid mental disorders. Journal of Dual Diagnosis 15, 312-323. doi: 10.1080/15504263.2019.1667043.</w:t>
      </w:r>
      <w:bookmarkEnd w:id="53"/>
    </w:p>
    <w:p w:rsidR="008F365A" w:rsidRPr="00492292" w:rsidRDefault="008F365A" w:rsidP="00492292">
      <w:pPr>
        <w:pStyle w:val="EndNoteBibliography"/>
        <w:spacing w:after="240"/>
        <w:ind w:firstLine="0"/>
      </w:pPr>
      <w:bookmarkStart w:id="54" w:name="_ENREF_54"/>
      <w:r w:rsidRPr="00492292">
        <w:t>Wilcox, H.C., Conner, K.R., Caine, E.D., 2004. Association of alcohol and drug use disorders and completed suicide: An empirical review of cohort studies. Drug Alcohol Depend. 76, S11-S19. doi: 10.1016/j.drugalcdep.2004.08.003.</w:t>
      </w:r>
      <w:bookmarkEnd w:id="54"/>
    </w:p>
    <w:p w:rsidR="008F365A" w:rsidRPr="00492292" w:rsidRDefault="008F365A" w:rsidP="00492292">
      <w:pPr>
        <w:pStyle w:val="EndNoteBibliography"/>
        <w:spacing w:after="240"/>
        <w:ind w:firstLine="0"/>
      </w:pPr>
      <w:bookmarkStart w:id="55" w:name="_ENREF_55"/>
      <w:r w:rsidRPr="00492292">
        <w:t>Wilson, N., Kariisa, M., Seth, P., Smith, H., IV , Davis, N.L., 2020. Drug and Opioid-Involved Overdose Deaths — United States, 2017–2018. MMWR Morb Mortal Wkly Rep 69, 290-297. doi: 10.15585/mmwr.mm6911a4.</w:t>
      </w:r>
      <w:bookmarkEnd w:id="55"/>
    </w:p>
    <w:p w:rsidR="008F365A" w:rsidRPr="00492292" w:rsidRDefault="008F365A" w:rsidP="00492292">
      <w:pPr>
        <w:pStyle w:val="EndNoteBibliography"/>
        <w:ind w:firstLine="0"/>
      </w:pPr>
      <w:bookmarkStart w:id="56" w:name="_ENREF_56"/>
      <w:r w:rsidRPr="00492292">
        <w:t>Yuodelis-Flores, C., Ries, R.K., 2015. Addiction and suicide: A review. The American Journal on Addictions 24, 98-104. doi: 10.1111/ajad.12185.</w:t>
      </w:r>
      <w:bookmarkEnd w:id="56"/>
    </w:p>
    <w:p w:rsidR="008F365A" w:rsidRPr="00FA2489" w:rsidRDefault="008F365A">
      <w:pPr>
        <w:rPr>
          <w:rFonts w:ascii="Times New Roman" w:hAnsi="Times New Roman" w:cs="Times New Roman"/>
        </w:rPr>
      </w:pPr>
    </w:p>
    <w:p w:rsidR="008F365A" w:rsidRPr="00FA2489" w:rsidRDefault="008F365A">
      <w:pPr>
        <w:rPr>
          <w:rFonts w:ascii="Times New Roman" w:hAnsi="Times New Roman" w:cs="Times New Roman"/>
        </w:rPr>
      </w:pPr>
      <w:r w:rsidRPr="00FA2489">
        <w:rPr>
          <w:rFonts w:ascii="Times New Roman" w:hAnsi="Times New Roman" w:cs="Times New Roman"/>
        </w:rPr>
        <w:br w:type="page"/>
      </w:r>
    </w:p>
    <w:tbl>
      <w:tblPr>
        <w:tblW w:w="8447" w:type="dxa"/>
        <w:tblInd w:w="108" w:type="dxa"/>
        <w:tblLook w:val="04A0" w:firstRow="1" w:lastRow="0" w:firstColumn="1" w:lastColumn="0" w:noHBand="0" w:noVBand="1"/>
      </w:tblPr>
      <w:tblGrid>
        <w:gridCol w:w="3690"/>
        <w:gridCol w:w="816"/>
        <w:gridCol w:w="799"/>
        <w:gridCol w:w="742"/>
        <w:gridCol w:w="825"/>
        <w:gridCol w:w="708"/>
        <w:gridCol w:w="11"/>
        <w:gridCol w:w="845"/>
        <w:gridCol w:w="11"/>
      </w:tblGrid>
      <w:tr w:rsidR="008F365A" w:rsidRPr="00FA2489" w:rsidTr="00130079">
        <w:trPr>
          <w:gridAfter w:val="1"/>
          <w:wAfter w:w="11" w:type="dxa"/>
          <w:trHeight w:val="585"/>
        </w:trPr>
        <w:tc>
          <w:tcPr>
            <w:tcW w:w="8436" w:type="dxa"/>
            <w:gridSpan w:val="8"/>
            <w:tcBorders>
              <w:top w:val="nil"/>
              <w:left w:val="nil"/>
              <w:bottom w:val="nil"/>
              <w:right w:val="nil"/>
            </w:tcBorders>
            <w:shd w:val="clear" w:color="auto" w:fill="auto"/>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lastRenderedPageBreak/>
              <w:t>Table 1. Demographic characteristics and suicidal thoughts and behavior past 12 months among young PWID (N=570)</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p>
        </w:tc>
        <w:tc>
          <w:tcPr>
            <w:tcW w:w="1615"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Sample</w:t>
            </w:r>
          </w:p>
        </w:tc>
        <w:tc>
          <w:tcPr>
            <w:tcW w:w="1567"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STB past 12 months</w:t>
            </w:r>
          </w:p>
        </w:tc>
        <w:tc>
          <w:tcPr>
            <w:tcW w:w="719"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r>
      <w:tr w:rsidR="008F365A" w:rsidRPr="00FA2489" w:rsidTr="00130079">
        <w:trPr>
          <w:trHeight w:val="345"/>
        </w:trPr>
        <w:tc>
          <w:tcPr>
            <w:tcW w:w="369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Variable</w:t>
            </w:r>
          </w:p>
        </w:tc>
        <w:tc>
          <w:tcPr>
            <w:tcW w:w="816"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color w:val="000000"/>
              </w:rPr>
            </w:pPr>
            <w:r w:rsidRPr="00FA2489">
              <w:rPr>
                <w:rFonts w:ascii="Times New Roman" w:eastAsia="Times New Roman" w:hAnsi="Times New Roman" w:cs="Times New Roman"/>
                <w:i/>
                <w:color w:val="000000"/>
              </w:rPr>
              <w:t>n</w:t>
            </w:r>
          </w:p>
        </w:tc>
        <w:tc>
          <w:tcPr>
            <w:tcW w:w="799"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color w:val="000000"/>
              </w:rPr>
            </w:pPr>
            <w:r w:rsidRPr="00FA2489">
              <w:rPr>
                <w:rFonts w:ascii="Times New Roman" w:eastAsia="Times New Roman" w:hAnsi="Times New Roman" w:cs="Times New Roman"/>
                <w:i/>
                <w:color w:val="000000"/>
              </w:rPr>
              <w:t>%</w:t>
            </w:r>
          </w:p>
        </w:tc>
        <w:tc>
          <w:tcPr>
            <w:tcW w:w="742"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color w:val="000000"/>
              </w:rPr>
            </w:pPr>
            <w:r w:rsidRPr="00FA2489">
              <w:rPr>
                <w:rFonts w:ascii="Times New Roman" w:eastAsia="Times New Roman" w:hAnsi="Times New Roman" w:cs="Times New Roman"/>
                <w:i/>
                <w:color w:val="000000"/>
              </w:rPr>
              <w:t>n</w:t>
            </w:r>
          </w:p>
        </w:tc>
        <w:tc>
          <w:tcPr>
            <w:tcW w:w="825"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color w:val="000000"/>
              </w:rPr>
            </w:pPr>
            <w:r w:rsidRPr="00FA2489">
              <w:rPr>
                <w:rFonts w:ascii="Times New Roman" w:eastAsia="Times New Roman" w:hAnsi="Times New Roman" w:cs="Times New Roman"/>
                <w:i/>
                <w:color w:val="000000"/>
              </w:rPr>
              <w:t>%</w:t>
            </w:r>
          </w:p>
        </w:tc>
        <w:tc>
          <w:tcPr>
            <w:tcW w:w="719" w:type="dxa"/>
            <w:gridSpan w:val="2"/>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color w:val="000000"/>
              </w:rPr>
            </w:pPr>
            <w:r w:rsidRPr="00FA2489">
              <w:rPr>
                <w:rFonts w:ascii="Times New Roman" w:eastAsia="Times New Roman" w:hAnsi="Times New Roman" w:cs="Times New Roman"/>
                <w:i/>
                <w:color w:val="000000"/>
              </w:rPr>
              <w:t>Chi</w:t>
            </w:r>
            <w:r w:rsidRPr="00FA2489">
              <w:rPr>
                <w:rFonts w:ascii="Times New Roman" w:eastAsia="Times New Roman" w:hAnsi="Times New Roman" w:cs="Times New Roman"/>
                <w:i/>
                <w:color w:val="000000"/>
                <w:vertAlign w:val="superscript"/>
              </w:rPr>
              <w:t>2</w:t>
            </w:r>
          </w:p>
        </w:tc>
        <w:tc>
          <w:tcPr>
            <w:tcW w:w="856" w:type="dxa"/>
            <w:gridSpan w:val="2"/>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color w:val="000000"/>
              </w:rPr>
            </w:pPr>
            <w:r w:rsidRPr="00FA2489">
              <w:rPr>
                <w:rFonts w:ascii="Times New Roman" w:eastAsia="Times New Roman" w:hAnsi="Times New Roman" w:cs="Times New Roman"/>
                <w:i/>
                <w:color w:val="000000"/>
              </w:rPr>
              <w:t>p</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Sex</w:t>
            </w:r>
          </w:p>
        </w:tc>
        <w:tc>
          <w:tcPr>
            <w:tcW w:w="816"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p>
        </w:tc>
        <w:tc>
          <w:tcPr>
            <w:tcW w:w="79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719"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Male</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353</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62%</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56</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16%</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7.70</w:t>
            </w: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0.006</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Female</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217</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38%</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55</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25%</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Race/ethnicity</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NH white</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477</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84%</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86</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18%</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3.90</w:t>
            </w: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0.142</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Hispanic</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64</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11%</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17</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27%</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Other, NH</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29</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28%</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Sexual orientation</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heterosexual</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483</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85%</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82</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17%</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12.58</w:t>
            </w: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&lt; .001</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non-heterosexual</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87</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15%</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29</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33%</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Parental / caregiver involvement</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130079">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Mother / female caregiver only</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177</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31%</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26</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15%</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8.43</w:t>
            </w: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0.015</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130079">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Father / male caregiver only</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43</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297"/>
        </w:trPr>
        <w:tc>
          <w:tcPr>
            <w:tcW w:w="3690" w:type="dxa"/>
            <w:tcBorders>
              <w:top w:val="nil"/>
              <w:left w:val="nil"/>
              <w:bottom w:val="nil"/>
              <w:right w:val="nil"/>
            </w:tcBorders>
            <w:shd w:val="clear" w:color="auto" w:fill="auto"/>
            <w:vAlign w:val="center"/>
            <w:hideMark/>
          </w:tcPr>
          <w:p w:rsidR="008F365A" w:rsidRPr="00FA2489" w:rsidRDefault="008F365A" w:rsidP="00130079">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Both parents / caregivers</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350</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61%</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81</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23%</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Adopted</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No</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545</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96%</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104</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19%</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1.21</w:t>
            </w: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0.271</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Yes</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25</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28%</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 xml:space="preserve">Mother or father died </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No</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518</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91%</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100</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19%</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0.15</w:t>
            </w: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0.697</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Yes</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51</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11</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22%</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Mother or father separated</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No</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361</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63%</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74</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0.62</w:t>
            </w: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0.432</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Yes</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208</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36%</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37</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18%</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Lived with a step-parent</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No</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532</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93%</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100</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19%</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3.38</w:t>
            </w: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0.066</w:t>
            </w: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Yes</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31</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32%</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600"/>
        </w:trPr>
        <w:tc>
          <w:tcPr>
            <w:tcW w:w="3690" w:type="dxa"/>
            <w:tcBorders>
              <w:top w:val="nil"/>
              <w:left w:val="nil"/>
              <w:bottom w:val="nil"/>
              <w:right w:val="nil"/>
            </w:tcBorders>
            <w:shd w:val="clear" w:color="auto" w:fill="auto"/>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Lived with foster parent or state-appointed guardian</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sz w:val="20"/>
                <w:szCs w:val="20"/>
              </w:rPr>
            </w:pPr>
          </w:p>
        </w:tc>
      </w:tr>
      <w:tr w:rsidR="008F365A" w:rsidRPr="00FA2489" w:rsidTr="00130079">
        <w:trPr>
          <w:trHeight w:val="300"/>
        </w:trPr>
        <w:tc>
          <w:tcPr>
            <w:tcW w:w="36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No</w:t>
            </w:r>
          </w:p>
        </w:tc>
        <w:tc>
          <w:tcPr>
            <w:tcW w:w="816"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546</w:t>
            </w:r>
          </w:p>
        </w:tc>
        <w:tc>
          <w:tcPr>
            <w:tcW w:w="799"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96%</w:t>
            </w:r>
          </w:p>
        </w:tc>
        <w:tc>
          <w:tcPr>
            <w:tcW w:w="742"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102</w:t>
            </w:r>
          </w:p>
        </w:tc>
        <w:tc>
          <w:tcPr>
            <w:tcW w:w="825" w:type="dxa"/>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19%</w:t>
            </w:r>
          </w:p>
        </w:tc>
        <w:tc>
          <w:tcPr>
            <w:tcW w:w="719"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8.45</w:t>
            </w:r>
          </w:p>
        </w:tc>
        <w:tc>
          <w:tcPr>
            <w:tcW w:w="856" w:type="dxa"/>
            <w:gridSpan w:val="2"/>
            <w:tcBorders>
              <w:top w:val="nil"/>
              <w:left w:val="nil"/>
              <w:bottom w:val="nil"/>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0.004</w:t>
            </w:r>
          </w:p>
        </w:tc>
      </w:tr>
      <w:tr w:rsidR="008F365A" w:rsidRPr="00FA2489" w:rsidTr="00130079">
        <w:trPr>
          <w:trHeight w:val="300"/>
        </w:trPr>
        <w:tc>
          <w:tcPr>
            <w:tcW w:w="369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Yes</w:t>
            </w:r>
          </w:p>
        </w:tc>
        <w:tc>
          <w:tcPr>
            <w:tcW w:w="816" w:type="dxa"/>
            <w:tcBorders>
              <w:top w:val="nil"/>
              <w:left w:val="nil"/>
              <w:bottom w:val="single" w:sz="4" w:space="0" w:color="auto"/>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17</w:t>
            </w:r>
          </w:p>
        </w:tc>
        <w:tc>
          <w:tcPr>
            <w:tcW w:w="799" w:type="dxa"/>
            <w:tcBorders>
              <w:top w:val="nil"/>
              <w:left w:val="nil"/>
              <w:bottom w:val="single" w:sz="4" w:space="0" w:color="auto"/>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742" w:type="dxa"/>
            <w:tcBorders>
              <w:top w:val="nil"/>
              <w:left w:val="nil"/>
              <w:bottom w:val="single" w:sz="4" w:space="0" w:color="auto"/>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w:t>
            </w:r>
          </w:p>
        </w:tc>
        <w:tc>
          <w:tcPr>
            <w:tcW w:w="825" w:type="dxa"/>
            <w:tcBorders>
              <w:top w:val="nil"/>
              <w:left w:val="nil"/>
              <w:bottom w:val="single" w:sz="4" w:space="0" w:color="auto"/>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47%</w:t>
            </w:r>
          </w:p>
        </w:tc>
        <w:tc>
          <w:tcPr>
            <w:tcW w:w="719" w:type="dxa"/>
            <w:gridSpan w:val="2"/>
            <w:tcBorders>
              <w:top w:val="nil"/>
              <w:left w:val="nil"/>
              <w:bottom w:val="single" w:sz="4" w:space="0" w:color="auto"/>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c>
          <w:tcPr>
            <w:tcW w:w="856" w:type="dxa"/>
            <w:gridSpan w:val="2"/>
            <w:tcBorders>
              <w:top w:val="nil"/>
              <w:left w:val="nil"/>
              <w:bottom w:val="single" w:sz="4" w:space="0" w:color="auto"/>
              <w:right w:val="nil"/>
            </w:tcBorders>
            <w:shd w:val="clear" w:color="auto" w:fill="auto"/>
            <w:noWrap/>
            <w:vAlign w:val="center"/>
            <w:hideMark/>
          </w:tcPr>
          <w:p w:rsidR="008F365A" w:rsidRPr="00FA2489" w:rsidRDefault="008F365A" w:rsidP="00130079">
            <w:pPr>
              <w:spacing w:line="240" w:lineRule="auto"/>
              <w:ind w:firstLine="0"/>
              <w:jc w:val="center"/>
              <w:rPr>
                <w:rFonts w:ascii="Times New Roman" w:eastAsia="Times New Roman" w:hAnsi="Times New Roman" w:cs="Times New Roman"/>
                <w:color w:val="000000"/>
              </w:rPr>
            </w:pPr>
          </w:p>
        </w:tc>
      </w:tr>
      <w:tr w:rsidR="008F365A" w:rsidRPr="00FA2489" w:rsidTr="00130079">
        <w:trPr>
          <w:gridAfter w:val="1"/>
          <w:wAfter w:w="11" w:type="dxa"/>
          <w:trHeight w:val="360"/>
        </w:trPr>
        <w:tc>
          <w:tcPr>
            <w:tcW w:w="7580" w:type="dxa"/>
            <w:gridSpan w:val="6"/>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sz w:val="20"/>
                <w:szCs w:val="20"/>
              </w:rPr>
            </w:pPr>
            <w:r w:rsidRPr="00FA2489">
              <w:rPr>
                <w:rFonts w:ascii="Times New Roman" w:eastAsia="Times New Roman" w:hAnsi="Times New Roman" w:cs="Times New Roman"/>
                <w:color w:val="000000"/>
                <w:sz w:val="20"/>
                <w:szCs w:val="20"/>
              </w:rPr>
              <w:t>PWID: people who inject drugs; STB: suicidal thoughts and behaviors; NH: non-Hispanic</w:t>
            </w:r>
          </w:p>
        </w:tc>
        <w:tc>
          <w:tcPr>
            <w:tcW w:w="856"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sz w:val="20"/>
                <w:szCs w:val="20"/>
              </w:rPr>
            </w:pPr>
          </w:p>
        </w:tc>
      </w:tr>
    </w:tbl>
    <w:p w:rsidR="008F365A" w:rsidRPr="00FA2489" w:rsidRDefault="008F365A">
      <w:pPr>
        <w:rPr>
          <w:rFonts w:ascii="Times New Roman" w:hAnsi="Times New Roman" w:cs="Times New Roman"/>
        </w:rPr>
      </w:pPr>
    </w:p>
    <w:p w:rsidR="008F365A" w:rsidRPr="00FA2489" w:rsidRDefault="008F365A">
      <w:pPr>
        <w:rPr>
          <w:rFonts w:ascii="Times New Roman" w:hAnsi="Times New Roman" w:cs="Times New Roman"/>
        </w:rPr>
      </w:pPr>
      <w:r w:rsidRPr="00FA2489">
        <w:rPr>
          <w:rFonts w:ascii="Times New Roman" w:hAnsi="Times New Roman" w:cs="Times New Roman"/>
        </w:rPr>
        <w:br w:type="page"/>
      </w:r>
    </w:p>
    <w:tbl>
      <w:tblPr>
        <w:tblW w:w="6830" w:type="dxa"/>
        <w:tblInd w:w="108" w:type="dxa"/>
        <w:tblLook w:val="04A0" w:firstRow="1" w:lastRow="0" w:firstColumn="1" w:lastColumn="0" w:noHBand="0" w:noVBand="1"/>
      </w:tblPr>
      <w:tblGrid>
        <w:gridCol w:w="5580"/>
        <w:gridCol w:w="630"/>
        <w:gridCol w:w="620"/>
      </w:tblGrid>
      <w:tr w:rsidR="008F365A" w:rsidRPr="00FA2489" w:rsidTr="00137D84">
        <w:trPr>
          <w:trHeight w:val="705"/>
        </w:trPr>
        <w:tc>
          <w:tcPr>
            <w:tcW w:w="6830" w:type="dxa"/>
            <w:gridSpan w:val="3"/>
            <w:tcBorders>
              <w:top w:val="nil"/>
              <w:left w:val="nil"/>
              <w:bottom w:val="nil"/>
              <w:right w:val="nil"/>
            </w:tcBorders>
            <w:shd w:val="clear" w:color="auto" w:fill="auto"/>
            <w:vAlign w:val="bottom"/>
            <w:hideMark/>
          </w:tcPr>
          <w:p w:rsidR="008F365A" w:rsidRPr="00FA2489" w:rsidRDefault="008F365A" w:rsidP="0074545B">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lastRenderedPageBreak/>
              <w:t>Table 2. Clinical characteristics and treatment experiences of PWID reporting STB past 12 months (N=111)</w:t>
            </w:r>
          </w:p>
        </w:tc>
      </w:tr>
      <w:tr w:rsidR="008F365A" w:rsidRPr="00FA2489" w:rsidTr="00137D84">
        <w:trPr>
          <w:trHeight w:val="300"/>
        </w:trPr>
        <w:tc>
          <w:tcPr>
            <w:tcW w:w="5580" w:type="dxa"/>
            <w:tcBorders>
              <w:top w:val="nil"/>
              <w:left w:val="nil"/>
              <w:bottom w:val="single" w:sz="4" w:space="0" w:color="auto"/>
              <w:right w:val="nil"/>
            </w:tcBorders>
            <w:shd w:val="clear" w:color="auto" w:fill="auto"/>
            <w:noWrap/>
            <w:vAlign w:val="bottom"/>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 </w:t>
            </w:r>
          </w:p>
        </w:tc>
        <w:tc>
          <w:tcPr>
            <w:tcW w:w="630" w:type="dxa"/>
            <w:tcBorders>
              <w:top w:val="nil"/>
              <w:left w:val="nil"/>
              <w:bottom w:val="single" w:sz="4" w:space="0" w:color="auto"/>
              <w:right w:val="nil"/>
            </w:tcBorders>
            <w:shd w:val="clear" w:color="auto" w:fill="auto"/>
            <w:noWrap/>
            <w:vAlign w:val="bottom"/>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n</w:t>
            </w:r>
          </w:p>
        </w:tc>
        <w:tc>
          <w:tcPr>
            <w:tcW w:w="620" w:type="dxa"/>
            <w:tcBorders>
              <w:top w:val="nil"/>
              <w:left w:val="nil"/>
              <w:bottom w:val="single" w:sz="4" w:space="0" w:color="auto"/>
              <w:right w:val="nil"/>
            </w:tcBorders>
            <w:shd w:val="clear" w:color="auto" w:fill="auto"/>
            <w:noWrap/>
            <w:vAlign w:val="bottom"/>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r>
      <w:tr w:rsidR="008F365A" w:rsidRPr="00FA2489" w:rsidTr="00137D84">
        <w:trPr>
          <w:trHeight w:val="630"/>
        </w:trPr>
        <w:tc>
          <w:tcPr>
            <w:tcW w:w="5580" w:type="dxa"/>
            <w:tcBorders>
              <w:top w:val="nil"/>
              <w:left w:val="nil"/>
              <w:bottom w:val="nil"/>
              <w:right w:val="nil"/>
            </w:tcBorders>
            <w:shd w:val="clear" w:color="auto" w:fill="auto"/>
            <w:vAlign w:val="center"/>
            <w:hideMark/>
          </w:tcPr>
          <w:p w:rsidR="008F365A" w:rsidRPr="00FA2489" w:rsidRDefault="008F365A" w:rsidP="00137D84">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Suicide attempt, gesture, plan, ideation or recurrent thoughts of death during recent potential depressi</w:t>
            </w:r>
            <w:r>
              <w:rPr>
                <w:rFonts w:ascii="Times New Roman" w:eastAsia="Times New Roman" w:hAnsi="Times New Roman" w:cs="Times New Roman"/>
                <w:color w:val="000000"/>
              </w:rPr>
              <w:t>ve episode</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80</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72%</w:t>
            </w:r>
          </w:p>
        </w:tc>
      </w:tr>
      <w:tr w:rsidR="008F365A" w:rsidRPr="00FA2489" w:rsidTr="00137D84">
        <w:trPr>
          <w:trHeight w:val="630"/>
        </w:trPr>
        <w:tc>
          <w:tcPr>
            <w:tcW w:w="5580" w:type="dxa"/>
            <w:tcBorders>
              <w:top w:val="nil"/>
              <w:left w:val="nil"/>
              <w:bottom w:val="nil"/>
              <w:right w:val="nil"/>
            </w:tcBorders>
            <w:shd w:val="clear" w:color="auto" w:fill="auto"/>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Any suicidal behavior past year (gesture, threat, attempt) - BPD module</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46</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41%</w:t>
            </w:r>
          </w:p>
        </w:tc>
      </w:tr>
      <w:tr w:rsidR="008F365A" w:rsidRPr="00FA2489" w:rsidTr="00137D84">
        <w:trPr>
          <w:trHeight w:val="360"/>
        </w:trPr>
        <w:tc>
          <w:tcPr>
            <w:tcW w:w="558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Substance-induced depression, past 12 months</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76</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68%</w:t>
            </w:r>
          </w:p>
        </w:tc>
      </w:tr>
      <w:tr w:rsidR="008F365A" w:rsidRPr="00FA2489" w:rsidTr="00137D84">
        <w:trPr>
          <w:trHeight w:val="360"/>
        </w:trPr>
        <w:tc>
          <w:tcPr>
            <w:tcW w:w="5580" w:type="dxa"/>
            <w:tcBorders>
              <w:top w:val="nil"/>
              <w:left w:val="nil"/>
              <w:bottom w:val="nil"/>
              <w:right w:val="nil"/>
            </w:tcBorders>
            <w:shd w:val="clear" w:color="auto" w:fill="auto"/>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Primary major depression, lifetime</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39</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35%</w:t>
            </w:r>
          </w:p>
        </w:tc>
      </w:tr>
      <w:tr w:rsidR="008F365A" w:rsidRPr="00FA2489" w:rsidTr="00137D84">
        <w:trPr>
          <w:trHeight w:val="360"/>
        </w:trPr>
        <w:tc>
          <w:tcPr>
            <w:tcW w:w="5580" w:type="dxa"/>
            <w:tcBorders>
              <w:top w:val="nil"/>
              <w:left w:val="nil"/>
              <w:bottom w:val="nil"/>
              <w:right w:val="nil"/>
            </w:tcBorders>
            <w:shd w:val="clear" w:color="auto" w:fill="auto"/>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Post-traumatic stress disorder, lifetime</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28</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25%</w:t>
            </w:r>
          </w:p>
        </w:tc>
      </w:tr>
      <w:tr w:rsidR="008F365A" w:rsidRPr="00FA2489" w:rsidTr="00137D84">
        <w:trPr>
          <w:trHeight w:val="360"/>
        </w:trPr>
        <w:tc>
          <w:tcPr>
            <w:tcW w:w="5580" w:type="dxa"/>
            <w:tcBorders>
              <w:top w:val="nil"/>
              <w:left w:val="nil"/>
              <w:bottom w:val="nil"/>
              <w:right w:val="nil"/>
            </w:tcBorders>
            <w:shd w:val="clear" w:color="auto" w:fill="auto"/>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Anxiety disorder (except PTSD), lifetime</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34</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31%</w:t>
            </w:r>
          </w:p>
        </w:tc>
      </w:tr>
      <w:tr w:rsidR="008F365A" w:rsidRPr="00FA2489" w:rsidTr="00137D84">
        <w:trPr>
          <w:trHeight w:val="360"/>
        </w:trPr>
        <w:tc>
          <w:tcPr>
            <w:tcW w:w="5580" w:type="dxa"/>
            <w:tcBorders>
              <w:top w:val="nil"/>
              <w:left w:val="nil"/>
              <w:bottom w:val="nil"/>
              <w:right w:val="nil"/>
            </w:tcBorders>
            <w:shd w:val="clear" w:color="auto" w:fill="auto"/>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Borderline personality disorder</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62</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56%</w:t>
            </w:r>
          </w:p>
        </w:tc>
      </w:tr>
      <w:tr w:rsidR="008F365A" w:rsidRPr="00FA2489" w:rsidTr="00137D84">
        <w:trPr>
          <w:trHeight w:val="360"/>
        </w:trPr>
        <w:tc>
          <w:tcPr>
            <w:tcW w:w="558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Suicide attempt, past year</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22</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r>
      <w:tr w:rsidR="008F365A" w:rsidRPr="00FA2489" w:rsidTr="00137D84">
        <w:trPr>
          <w:trHeight w:val="360"/>
        </w:trPr>
        <w:tc>
          <w:tcPr>
            <w:tcW w:w="558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Suicide attempt, ever</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28</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25%</w:t>
            </w:r>
          </w:p>
        </w:tc>
      </w:tr>
      <w:tr w:rsidR="008F365A" w:rsidRPr="00FA2489" w:rsidTr="00137D84">
        <w:trPr>
          <w:trHeight w:val="360"/>
        </w:trPr>
        <w:tc>
          <w:tcPr>
            <w:tcW w:w="5580" w:type="dxa"/>
            <w:tcBorders>
              <w:top w:val="nil"/>
              <w:left w:val="nil"/>
              <w:bottom w:val="nil"/>
              <w:right w:val="nil"/>
            </w:tcBorders>
            <w:shd w:val="clear" w:color="auto" w:fill="auto"/>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Psychiatric or psychological treatment, ever</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92</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83%</w:t>
            </w:r>
          </w:p>
        </w:tc>
      </w:tr>
      <w:tr w:rsidR="008F365A" w:rsidRPr="00FA2489" w:rsidTr="00137D84">
        <w:trPr>
          <w:trHeight w:val="360"/>
        </w:trPr>
        <w:tc>
          <w:tcPr>
            <w:tcW w:w="5580" w:type="dxa"/>
            <w:tcBorders>
              <w:top w:val="nil"/>
              <w:left w:val="nil"/>
              <w:bottom w:val="nil"/>
              <w:right w:val="nil"/>
            </w:tcBorders>
            <w:shd w:val="clear" w:color="auto" w:fill="auto"/>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Substance abuse treatment past 12 months</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71</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64%</w:t>
            </w:r>
          </w:p>
        </w:tc>
      </w:tr>
      <w:tr w:rsidR="008F365A" w:rsidRPr="00FA2489" w:rsidTr="00137D84">
        <w:trPr>
          <w:trHeight w:val="360"/>
        </w:trPr>
        <w:tc>
          <w:tcPr>
            <w:tcW w:w="5580" w:type="dxa"/>
            <w:tcBorders>
              <w:top w:val="nil"/>
              <w:left w:val="nil"/>
              <w:bottom w:val="nil"/>
              <w:right w:val="nil"/>
            </w:tcBorders>
            <w:shd w:val="clear" w:color="auto" w:fill="auto"/>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Mental health services in past 12 months</w:t>
            </w:r>
          </w:p>
        </w:tc>
        <w:tc>
          <w:tcPr>
            <w:tcW w:w="63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49</w:t>
            </w:r>
          </w:p>
        </w:tc>
        <w:tc>
          <w:tcPr>
            <w:tcW w:w="62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44%</w:t>
            </w:r>
          </w:p>
        </w:tc>
      </w:tr>
      <w:tr w:rsidR="008F365A" w:rsidRPr="00FA2489" w:rsidTr="00137D84">
        <w:trPr>
          <w:trHeight w:val="630"/>
        </w:trPr>
        <w:tc>
          <w:tcPr>
            <w:tcW w:w="5580" w:type="dxa"/>
            <w:tcBorders>
              <w:top w:val="nil"/>
              <w:left w:val="nil"/>
              <w:bottom w:val="single" w:sz="4" w:space="0" w:color="auto"/>
              <w:right w:val="nil"/>
            </w:tcBorders>
            <w:shd w:val="clear" w:color="auto" w:fill="auto"/>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Sought treatment for suicidal thoughts or behaviors, past 12 months</w:t>
            </w:r>
          </w:p>
        </w:tc>
        <w:tc>
          <w:tcPr>
            <w:tcW w:w="630" w:type="dxa"/>
            <w:tcBorders>
              <w:top w:val="nil"/>
              <w:left w:val="nil"/>
              <w:bottom w:val="single" w:sz="4" w:space="0" w:color="auto"/>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42</w:t>
            </w:r>
          </w:p>
        </w:tc>
        <w:tc>
          <w:tcPr>
            <w:tcW w:w="620" w:type="dxa"/>
            <w:tcBorders>
              <w:top w:val="nil"/>
              <w:left w:val="nil"/>
              <w:bottom w:val="single" w:sz="4" w:space="0" w:color="auto"/>
              <w:right w:val="nil"/>
            </w:tcBorders>
            <w:shd w:val="clear" w:color="auto" w:fill="auto"/>
            <w:noWrap/>
            <w:vAlign w:val="center"/>
            <w:hideMark/>
          </w:tcPr>
          <w:p w:rsidR="008F365A" w:rsidRPr="00FA2489" w:rsidRDefault="008F365A" w:rsidP="009259CE">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38%</w:t>
            </w:r>
          </w:p>
        </w:tc>
      </w:tr>
      <w:tr w:rsidR="008F365A" w:rsidRPr="00FA2489" w:rsidTr="00137D84">
        <w:trPr>
          <w:trHeight w:val="375"/>
        </w:trPr>
        <w:tc>
          <w:tcPr>
            <w:tcW w:w="5580" w:type="dxa"/>
            <w:tcBorders>
              <w:top w:val="nil"/>
              <w:left w:val="nil"/>
              <w:bottom w:val="nil"/>
              <w:right w:val="nil"/>
            </w:tcBorders>
            <w:shd w:val="clear" w:color="auto" w:fill="auto"/>
            <w:noWrap/>
            <w:vAlign w:val="center"/>
            <w:hideMark/>
          </w:tcPr>
          <w:p w:rsidR="008F365A" w:rsidRPr="00FA2489" w:rsidRDefault="008F365A" w:rsidP="009259CE">
            <w:pPr>
              <w:spacing w:line="240" w:lineRule="auto"/>
              <w:ind w:firstLine="0"/>
              <w:rPr>
                <w:rFonts w:ascii="Times New Roman" w:eastAsia="Times New Roman" w:hAnsi="Times New Roman" w:cs="Times New Roman"/>
                <w:color w:val="000000"/>
                <w:sz w:val="20"/>
                <w:szCs w:val="20"/>
              </w:rPr>
            </w:pPr>
            <w:r w:rsidRPr="00FA2489">
              <w:rPr>
                <w:rFonts w:ascii="Times New Roman" w:eastAsia="Times New Roman" w:hAnsi="Times New Roman" w:cs="Times New Roman"/>
                <w:color w:val="000000"/>
                <w:sz w:val="20"/>
                <w:szCs w:val="20"/>
              </w:rPr>
              <w:t>PWID: people who inject drugs</w:t>
            </w:r>
          </w:p>
        </w:tc>
        <w:tc>
          <w:tcPr>
            <w:tcW w:w="630" w:type="dxa"/>
            <w:tcBorders>
              <w:top w:val="nil"/>
              <w:left w:val="nil"/>
              <w:bottom w:val="nil"/>
              <w:right w:val="nil"/>
            </w:tcBorders>
            <w:shd w:val="clear" w:color="auto" w:fill="auto"/>
            <w:noWrap/>
            <w:vAlign w:val="bottom"/>
            <w:hideMark/>
          </w:tcPr>
          <w:p w:rsidR="008F365A" w:rsidRPr="00FA2489" w:rsidRDefault="008F365A" w:rsidP="009259CE">
            <w:pPr>
              <w:spacing w:line="240" w:lineRule="auto"/>
              <w:ind w:firstLine="0"/>
              <w:rPr>
                <w:rFonts w:ascii="Times New Roman" w:eastAsia="Times New Roman" w:hAnsi="Times New Roman" w:cs="Times New Roman"/>
                <w:color w:val="000000"/>
                <w:sz w:val="20"/>
                <w:szCs w:val="20"/>
              </w:rPr>
            </w:pPr>
          </w:p>
        </w:tc>
        <w:tc>
          <w:tcPr>
            <w:tcW w:w="620" w:type="dxa"/>
            <w:tcBorders>
              <w:top w:val="nil"/>
              <w:left w:val="nil"/>
              <w:bottom w:val="nil"/>
              <w:right w:val="nil"/>
            </w:tcBorders>
            <w:shd w:val="clear" w:color="auto" w:fill="auto"/>
            <w:noWrap/>
            <w:vAlign w:val="bottom"/>
            <w:hideMark/>
          </w:tcPr>
          <w:p w:rsidR="008F365A" w:rsidRPr="00FA2489" w:rsidRDefault="008F365A" w:rsidP="009259CE">
            <w:pPr>
              <w:spacing w:line="240" w:lineRule="auto"/>
              <w:ind w:firstLine="0"/>
              <w:rPr>
                <w:rFonts w:ascii="Times New Roman" w:eastAsia="Times New Roman" w:hAnsi="Times New Roman" w:cs="Times New Roman"/>
                <w:sz w:val="20"/>
                <w:szCs w:val="20"/>
              </w:rPr>
            </w:pPr>
          </w:p>
        </w:tc>
      </w:tr>
    </w:tbl>
    <w:p w:rsidR="008F365A" w:rsidRPr="00FA2489" w:rsidRDefault="008F365A" w:rsidP="009259CE">
      <w:pPr>
        <w:ind w:firstLine="0"/>
        <w:rPr>
          <w:rFonts w:ascii="Times New Roman" w:hAnsi="Times New Roman" w:cs="Times New Roman"/>
        </w:rPr>
      </w:pPr>
    </w:p>
    <w:p w:rsidR="008F365A" w:rsidRPr="00FA2489" w:rsidRDefault="008F365A">
      <w:pPr>
        <w:rPr>
          <w:rFonts w:ascii="Times New Roman" w:hAnsi="Times New Roman" w:cs="Times New Roman"/>
        </w:rPr>
      </w:pPr>
      <w:r w:rsidRPr="00FA2489">
        <w:rPr>
          <w:rFonts w:ascii="Times New Roman" w:hAnsi="Times New Roman" w:cs="Times New Roman"/>
        </w:rPr>
        <w:br w:type="page"/>
      </w:r>
    </w:p>
    <w:p w:rsidR="008F365A" w:rsidRPr="00FA2489" w:rsidRDefault="008F365A" w:rsidP="0074545B">
      <w:pPr>
        <w:ind w:firstLine="0"/>
        <w:rPr>
          <w:rFonts w:ascii="Times New Roman" w:hAnsi="Times New Roman" w:cs="Times New Roman"/>
        </w:rPr>
        <w:sectPr w:rsidR="008F365A" w:rsidRPr="00FA2489" w:rsidSect="00CB059A">
          <w:pgSz w:w="12240" w:h="15840"/>
          <w:pgMar w:top="1440" w:right="1440" w:bottom="1440" w:left="1440" w:header="720" w:footer="720" w:gutter="0"/>
          <w:cols w:space="720"/>
          <w:docGrid w:linePitch="360"/>
        </w:sectPr>
      </w:pPr>
    </w:p>
    <w:tbl>
      <w:tblPr>
        <w:tblW w:w="10651" w:type="dxa"/>
        <w:tblInd w:w="108" w:type="dxa"/>
        <w:tblLook w:val="04A0" w:firstRow="1" w:lastRow="0" w:firstColumn="1" w:lastColumn="0" w:noHBand="0" w:noVBand="1"/>
      </w:tblPr>
      <w:tblGrid>
        <w:gridCol w:w="4140"/>
        <w:gridCol w:w="810"/>
        <w:gridCol w:w="720"/>
        <w:gridCol w:w="720"/>
        <w:gridCol w:w="990"/>
        <w:gridCol w:w="803"/>
        <w:gridCol w:w="720"/>
        <w:gridCol w:w="756"/>
        <w:gridCol w:w="7"/>
        <w:gridCol w:w="964"/>
        <w:gridCol w:w="21"/>
      </w:tblGrid>
      <w:tr w:rsidR="008F365A" w:rsidRPr="00137D84" w:rsidTr="007D2846">
        <w:trPr>
          <w:trHeight w:val="360"/>
        </w:trPr>
        <w:tc>
          <w:tcPr>
            <w:tcW w:w="10651" w:type="dxa"/>
            <w:gridSpan w:val="11"/>
            <w:tcBorders>
              <w:top w:val="nil"/>
              <w:left w:val="nil"/>
              <w:bottom w:val="nil"/>
              <w:right w:val="nil"/>
            </w:tcBorders>
            <w:shd w:val="clear" w:color="auto" w:fill="auto"/>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lastRenderedPageBreak/>
              <w:t>Table 3. Logistic regression predicting suicidal thoughts and behavior past 12 months among young PWID (N=570)</w:t>
            </w:r>
          </w:p>
        </w:tc>
      </w:tr>
      <w:tr w:rsidR="008F365A" w:rsidRPr="00137D84" w:rsidTr="007D2846">
        <w:trPr>
          <w:gridAfter w:val="1"/>
          <w:wAfter w:w="21" w:type="dxa"/>
          <w:trHeight w:val="300"/>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p>
        </w:tc>
        <w:tc>
          <w:tcPr>
            <w:tcW w:w="3240" w:type="dxa"/>
            <w:gridSpan w:val="4"/>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Model 1</w:t>
            </w:r>
          </w:p>
        </w:tc>
        <w:tc>
          <w:tcPr>
            <w:tcW w:w="3250" w:type="dxa"/>
            <w:gridSpan w:val="5"/>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Model 2</w:t>
            </w:r>
          </w:p>
        </w:tc>
      </w:tr>
      <w:tr w:rsidR="008F365A" w:rsidRPr="00137D84" w:rsidTr="007D2846">
        <w:trPr>
          <w:trHeight w:val="360"/>
        </w:trPr>
        <w:tc>
          <w:tcPr>
            <w:tcW w:w="4140" w:type="dxa"/>
            <w:tcBorders>
              <w:top w:val="nil"/>
              <w:left w:val="nil"/>
              <w:bottom w:val="single" w:sz="4" w:space="0" w:color="auto"/>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OR</w:t>
            </w:r>
          </w:p>
        </w:tc>
        <w:tc>
          <w:tcPr>
            <w:tcW w:w="1440" w:type="dxa"/>
            <w:gridSpan w:val="2"/>
            <w:tcBorders>
              <w:top w:val="nil"/>
              <w:left w:val="nil"/>
              <w:bottom w:val="single" w:sz="4" w:space="0" w:color="auto"/>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95% Conf. Int</w:t>
            </w:r>
          </w:p>
        </w:tc>
        <w:tc>
          <w:tcPr>
            <w:tcW w:w="990" w:type="dxa"/>
            <w:tcBorders>
              <w:top w:val="nil"/>
              <w:left w:val="nil"/>
              <w:bottom w:val="single" w:sz="4" w:space="0" w:color="auto"/>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p (Wald)</w:t>
            </w:r>
          </w:p>
        </w:tc>
        <w:tc>
          <w:tcPr>
            <w:tcW w:w="803" w:type="dxa"/>
            <w:tcBorders>
              <w:top w:val="nil"/>
              <w:left w:val="nil"/>
              <w:bottom w:val="single" w:sz="4" w:space="0" w:color="auto"/>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OR</w:t>
            </w:r>
          </w:p>
        </w:tc>
        <w:tc>
          <w:tcPr>
            <w:tcW w:w="1483" w:type="dxa"/>
            <w:gridSpan w:val="3"/>
            <w:tcBorders>
              <w:top w:val="nil"/>
              <w:left w:val="nil"/>
              <w:bottom w:val="single" w:sz="4" w:space="0" w:color="auto"/>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95% Conf. Int</w:t>
            </w:r>
          </w:p>
        </w:tc>
        <w:tc>
          <w:tcPr>
            <w:tcW w:w="985" w:type="dxa"/>
            <w:gridSpan w:val="2"/>
            <w:tcBorders>
              <w:top w:val="nil"/>
              <w:left w:val="nil"/>
              <w:bottom w:val="single" w:sz="4" w:space="0" w:color="auto"/>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p (Wald)</w:t>
            </w:r>
          </w:p>
        </w:tc>
      </w:tr>
      <w:tr w:rsidR="008F365A" w:rsidRPr="00137D84" w:rsidTr="007D2846">
        <w:trPr>
          <w:trHeight w:val="330"/>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Female vs. male</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1.41</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0.90</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2.22</w:t>
            </w: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0.134</w:t>
            </w: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0.84</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0.46</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1.50</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0.549</w:t>
            </w:r>
          </w:p>
        </w:tc>
      </w:tr>
      <w:tr w:rsidR="008F365A" w:rsidRPr="00137D84" w:rsidTr="007D2846">
        <w:trPr>
          <w:trHeight w:val="330"/>
        </w:trPr>
        <w:tc>
          <w:tcPr>
            <w:tcW w:w="4140" w:type="dxa"/>
            <w:tcBorders>
              <w:top w:val="nil"/>
              <w:left w:val="nil"/>
              <w:bottom w:val="nil"/>
              <w:right w:val="nil"/>
            </w:tcBorders>
            <w:shd w:val="clear" w:color="auto" w:fill="auto"/>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Non-heterosexual vs. heterosexual</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2.02</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1.17</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3.51</w:t>
            </w: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0.012</w:t>
            </w: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1.73</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0.83</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3.59</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0.144</w:t>
            </w:r>
          </w:p>
        </w:tc>
      </w:tr>
      <w:tr w:rsidR="008F365A" w:rsidRPr="00137D84" w:rsidTr="007D2846">
        <w:trPr>
          <w:trHeight w:val="315"/>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Age</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0.98</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0.89</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1.09</w:t>
            </w: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0.775</w:t>
            </w: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0.99</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0.87</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1.13</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0.904</w:t>
            </w:r>
          </w:p>
        </w:tc>
      </w:tr>
      <w:tr w:rsidR="008F365A" w:rsidRPr="00137D84" w:rsidTr="007D2846">
        <w:trPr>
          <w:trHeight w:val="315"/>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Hispanic vs. NH white</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1.66</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0.87</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3.16</w:t>
            </w: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0.121</w:t>
            </w: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2.16</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0.99</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4.72</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0.054</w:t>
            </w:r>
          </w:p>
        </w:tc>
      </w:tr>
      <w:tr w:rsidR="008F365A" w:rsidRPr="00137D84" w:rsidTr="007D2846">
        <w:trPr>
          <w:trHeight w:val="330"/>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Other, NH vs. NH white</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1.89</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0.76</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4.71</w:t>
            </w: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0.170</w:t>
            </w: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0.79</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0.23</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2.75</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0.716</w:t>
            </w:r>
          </w:p>
        </w:tc>
      </w:tr>
      <w:tr w:rsidR="008F365A" w:rsidRPr="00137D84" w:rsidTr="007D2846">
        <w:trPr>
          <w:trHeight w:val="345"/>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Mother only vs. both parents</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0.48</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0.29</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0.81</w:t>
            </w: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0.005</w:t>
            </w: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0.53</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0.28</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1.02</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0.058</w:t>
            </w:r>
          </w:p>
        </w:tc>
      </w:tr>
      <w:tr w:rsidR="008F365A" w:rsidRPr="00137D84" w:rsidTr="007D2846">
        <w:trPr>
          <w:trHeight w:val="345"/>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Father only vs. both parents</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0.38</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0.13</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1.11</w:t>
            </w: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0.077</w:t>
            </w: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1.00</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0.29</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3.42</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0.997</w:t>
            </w:r>
          </w:p>
        </w:tc>
      </w:tr>
      <w:tr w:rsidR="008F365A" w:rsidRPr="00137D84" w:rsidTr="007D2846">
        <w:trPr>
          <w:trHeight w:val="330"/>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Lived with foster parent</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3.43</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1.23</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9.58</w:t>
            </w: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0.018</w:t>
            </w: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4.13</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1.17</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14.63</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0.028</w:t>
            </w:r>
          </w:p>
        </w:tc>
      </w:tr>
      <w:tr w:rsidR="008F365A" w:rsidRPr="00137D84" w:rsidTr="007D2846">
        <w:trPr>
          <w:trHeight w:val="345"/>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Lived with a step-parent</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2.25</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0.98</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5.17</w:t>
            </w: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0.057</w:t>
            </w: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1.66</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0.57</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4.84</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0.350</w:t>
            </w:r>
          </w:p>
        </w:tc>
      </w:tr>
      <w:tr w:rsidR="008F365A" w:rsidRPr="00137D84" w:rsidTr="007D2846">
        <w:trPr>
          <w:trHeight w:val="345"/>
        </w:trPr>
        <w:tc>
          <w:tcPr>
            <w:tcW w:w="414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Primary major depression, lifetime</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2.02</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1.01</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4.04</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0.046</w:t>
            </w:r>
          </w:p>
        </w:tc>
      </w:tr>
      <w:tr w:rsidR="008F365A" w:rsidRPr="00137D84" w:rsidTr="007D2846">
        <w:trPr>
          <w:trHeight w:val="375"/>
        </w:trPr>
        <w:tc>
          <w:tcPr>
            <w:tcW w:w="4140" w:type="dxa"/>
            <w:tcBorders>
              <w:top w:val="nil"/>
              <w:left w:val="nil"/>
              <w:bottom w:val="nil"/>
              <w:right w:val="nil"/>
            </w:tcBorders>
            <w:shd w:val="clear" w:color="auto" w:fill="auto"/>
            <w:noWrap/>
            <w:vAlign w:val="center"/>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Post-traumatic stress disorder, lifetime</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1.72</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0.77</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3.87</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0.189</w:t>
            </w:r>
          </w:p>
        </w:tc>
      </w:tr>
      <w:tr w:rsidR="008F365A" w:rsidRPr="00137D84" w:rsidTr="007D2846">
        <w:trPr>
          <w:trHeight w:val="360"/>
        </w:trPr>
        <w:tc>
          <w:tcPr>
            <w:tcW w:w="4140" w:type="dxa"/>
            <w:tcBorders>
              <w:top w:val="nil"/>
              <w:left w:val="nil"/>
              <w:bottom w:val="nil"/>
              <w:right w:val="nil"/>
            </w:tcBorders>
            <w:shd w:val="clear" w:color="auto" w:fill="auto"/>
            <w:noWrap/>
            <w:vAlign w:val="center"/>
            <w:hideMark/>
          </w:tcPr>
          <w:p w:rsidR="008F365A" w:rsidRPr="00137D84" w:rsidRDefault="008F365A" w:rsidP="00862F83">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Any other anxiety disorder</w:t>
            </w:r>
            <w:r w:rsidRPr="00137D84">
              <w:rPr>
                <w:rFonts w:ascii="Times New Roman" w:eastAsia="Times New Roman" w:hAnsi="Times New Roman" w:cs="Times New Roman"/>
                <w:color w:val="000000"/>
                <w:sz w:val="24"/>
                <w:szCs w:val="24"/>
                <w:vertAlign w:val="superscript"/>
              </w:rPr>
              <w:t>a</w:t>
            </w:r>
            <w:r w:rsidRPr="00137D84">
              <w:rPr>
                <w:rFonts w:ascii="Times New Roman" w:eastAsia="Times New Roman" w:hAnsi="Times New Roman" w:cs="Times New Roman"/>
                <w:color w:val="000000"/>
                <w:sz w:val="24"/>
                <w:szCs w:val="24"/>
              </w:rPr>
              <w:t>, lifetime</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3.03</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1.52</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6.04</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0.002</w:t>
            </w:r>
          </w:p>
        </w:tc>
      </w:tr>
      <w:tr w:rsidR="008F365A" w:rsidRPr="00137D84" w:rsidTr="007D2846">
        <w:trPr>
          <w:trHeight w:val="345"/>
        </w:trPr>
        <w:tc>
          <w:tcPr>
            <w:tcW w:w="4140" w:type="dxa"/>
            <w:tcBorders>
              <w:top w:val="nil"/>
              <w:left w:val="nil"/>
              <w:bottom w:val="nil"/>
              <w:right w:val="nil"/>
            </w:tcBorders>
            <w:shd w:val="clear" w:color="auto" w:fill="auto"/>
            <w:noWrap/>
            <w:vAlign w:val="center"/>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Borderline personality disorder</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2.94</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1.63</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5.33</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0.000</w:t>
            </w:r>
          </w:p>
        </w:tc>
      </w:tr>
      <w:tr w:rsidR="008F365A" w:rsidRPr="00137D84" w:rsidTr="007D2846">
        <w:trPr>
          <w:trHeight w:val="345"/>
        </w:trPr>
        <w:tc>
          <w:tcPr>
            <w:tcW w:w="4140" w:type="dxa"/>
            <w:tcBorders>
              <w:top w:val="nil"/>
              <w:left w:val="nil"/>
              <w:bottom w:val="nil"/>
              <w:right w:val="nil"/>
            </w:tcBorders>
            <w:shd w:val="clear" w:color="auto" w:fill="auto"/>
            <w:noWrap/>
            <w:vAlign w:val="center"/>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Substance-induced depression, past 12m</w:t>
            </w:r>
          </w:p>
        </w:tc>
        <w:tc>
          <w:tcPr>
            <w:tcW w:w="81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99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sz w:val="24"/>
                <w:szCs w:val="24"/>
              </w:rPr>
            </w:pPr>
          </w:p>
        </w:tc>
        <w:tc>
          <w:tcPr>
            <w:tcW w:w="803"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10.02</w:t>
            </w:r>
          </w:p>
        </w:tc>
        <w:tc>
          <w:tcPr>
            <w:tcW w:w="720"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5.71</w:t>
            </w:r>
          </w:p>
        </w:tc>
        <w:tc>
          <w:tcPr>
            <w:tcW w:w="756" w:type="dxa"/>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17.58</w:t>
            </w:r>
          </w:p>
        </w:tc>
        <w:tc>
          <w:tcPr>
            <w:tcW w:w="992" w:type="dxa"/>
            <w:gridSpan w:val="3"/>
            <w:tcBorders>
              <w:top w:val="nil"/>
              <w:left w:val="nil"/>
              <w:bottom w:val="nil"/>
              <w:right w:val="nil"/>
            </w:tcBorders>
            <w:shd w:val="clear" w:color="auto" w:fill="auto"/>
            <w:noWrap/>
            <w:vAlign w:val="bottom"/>
            <w:hideMark/>
          </w:tcPr>
          <w:p w:rsidR="008F365A" w:rsidRPr="00137D84" w:rsidRDefault="008F365A" w:rsidP="006411B7">
            <w:pPr>
              <w:spacing w:line="240" w:lineRule="auto"/>
              <w:ind w:firstLine="0"/>
              <w:jc w:val="center"/>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0.000</w:t>
            </w:r>
          </w:p>
        </w:tc>
      </w:tr>
      <w:tr w:rsidR="008F365A" w:rsidRPr="00137D84" w:rsidTr="007D2846">
        <w:trPr>
          <w:trHeight w:val="375"/>
        </w:trPr>
        <w:tc>
          <w:tcPr>
            <w:tcW w:w="10651" w:type="dxa"/>
            <w:gridSpan w:val="11"/>
            <w:tcBorders>
              <w:top w:val="single" w:sz="4" w:space="0" w:color="auto"/>
              <w:left w:val="nil"/>
              <w:bottom w:val="nil"/>
              <w:right w:val="nil"/>
            </w:tcBorders>
            <w:shd w:val="clear" w:color="auto" w:fill="auto"/>
            <w:noWrap/>
            <w:vAlign w:val="bottom"/>
            <w:hideMark/>
          </w:tcPr>
          <w:p w:rsidR="008F365A" w:rsidRPr="00137D84" w:rsidRDefault="008F365A" w:rsidP="006411B7">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rPr>
              <w:t>PWID: people who inject drugs; NH: non-Hispanic</w:t>
            </w:r>
          </w:p>
          <w:p w:rsidR="008F365A" w:rsidRPr="00137D84" w:rsidRDefault="008F365A" w:rsidP="00101760">
            <w:pPr>
              <w:spacing w:line="240" w:lineRule="auto"/>
              <w:ind w:firstLine="0"/>
              <w:rPr>
                <w:rFonts w:ascii="Times New Roman" w:eastAsia="Times New Roman" w:hAnsi="Times New Roman" w:cs="Times New Roman"/>
                <w:color w:val="000000"/>
                <w:sz w:val="24"/>
                <w:szCs w:val="24"/>
              </w:rPr>
            </w:pPr>
            <w:r w:rsidRPr="00137D84">
              <w:rPr>
                <w:rFonts w:ascii="Times New Roman" w:eastAsia="Times New Roman" w:hAnsi="Times New Roman" w:cs="Times New Roman"/>
                <w:color w:val="000000"/>
                <w:sz w:val="24"/>
                <w:szCs w:val="24"/>
                <w:vertAlign w:val="superscript"/>
              </w:rPr>
              <w:t xml:space="preserve">a </w:t>
            </w:r>
            <w:r w:rsidRPr="00137D84">
              <w:rPr>
                <w:rFonts w:ascii="Times New Roman" w:eastAsia="Times New Roman" w:hAnsi="Times New Roman" w:cs="Times New Roman"/>
                <w:color w:val="000000"/>
                <w:sz w:val="24"/>
                <w:szCs w:val="24"/>
              </w:rPr>
              <w:t>excluding PTSD</w:t>
            </w:r>
          </w:p>
        </w:tc>
      </w:tr>
    </w:tbl>
    <w:p w:rsidR="008F365A" w:rsidRPr="00FA2489" w:rsidRDefault="008F365A" w:rsidP="002618E6">
      <w:pPr>
        <w:ind w:firstLine="0"/>
        <w:rPr>
          <w:rFonts w:ascii="Times New Roman" w:hAnsi="Times New Roman" w:cs="Times New Roman"/>
        </w:rPr>
      </w:pPr>
    </w:p>
    <w:p w:rsidR="008F365A" w:rsidRPr="00FA2489" w:rsidRDefault="008F365A" w:rsidP="0074545B">
      <w:pPr>
        <w:ind w:firstLine="0"/>
        <w:rPr>
          <w:rFonts w:ascii="Times New Roman" w:hAnsi="Times New Roman" w:cs="Times New Roman"/>
        </w:rPr>
        <w:sectPr w:rsidR="008F365A" w:rsidRPr="00FA2489" w:rsidSect="0074545B">
          <w:pgSz w:w="15840" w:h="12240" w:orient="landscape"/>
          <w:pgMar w:top="1440" w:right="1440" w:bottom="1440" w:left="1440" w:header="720" w:footer="720" w:gutter="0"/>
          <w:cols w:space="720"/>
          <w:docGrid w:linePitch="360"/>
        </w:sectPr>
      </w:pPr>
    </w:p>
    <w:tbl>
      <w:tblPr>
        <w:tblW w:w="7870" w:type="dxa"/>
        <w:tblInd w:w="108" w:type="dxa"/>
        <w:tblLook w:val="04A0" w:firstRow="1" w:lastRow="0" w:firstColumn="1" w:lastColumn="0" w:noHBand="0" w:noVBand="1"/>
      </w:tblPr>
      <w:tblGrid>
        <w:gridCol w:w="2610"/>
        <w:gridCol w:w="900"/>
        <w:gridCol w:w="900"/>
        <w:gridCol w:w="820"/>
        <w:gridCol w:w="880"/>
        <w:gridCol w:w="820"/>
        <w:gridCol w:w="940"/>
      </w:tblGrid>
      <w:tr w:rsidR="008F365A" w:rsidRPr="00FA2489" w:rsidTr="008A7F86">
        <w:trPr>
          <w:trHeight w:val="675"/>
        </w:trPr>
        <w:tc>
          <w:tcPr>
            <w:tcW w:w="7870" w:type="dxa"/>
            <w:gridSpan w:val="7"/>
            <w:tcBorders>
              <w:top w:val="nil"/>
              <w:left w:val="nil"/>
              <w:bottom w:val="nil"/>
              <w:right w:val="nil"/>
            </w:tcBorders>
            <w:shd w:val="clear" w:color="auto" w:fill="auto"/>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lastRenderedPageBreak/>
              <w:t>Table 4. Treatment for problems with behavior or feelings among PWID with past 12 month STB (N=111)</w:t>
            </w:r>
          </w:p>
        </w:tc>
      </w:tr>
      <w:tr w:rsidR="008F365A" w:rsidRPr="00FA2489" w:rsidTr="008A7F86">
        <w:trPr>
          <w:trHeight w:val="405"/>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3460" w:type="dxa"/>
            <w:gridSpan w:val="4"/>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Reason for visit</w:t>
            </w:r>
          </w:p>
        </w:tc>
      </w:tr>
      <w:tr w:rsidR="008F365A" w:rsidRPr="00FA2489" w:rsidTr="008A7F86">
        <w:trPr>
          <w:trHeight w:val="30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1700"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drugs/alcohol</w:t>
            </w:r>
          </w:p>
        </w:tc>
        <w:tc>
          <w:tcPr>
            <w:tcW w:w="1760"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STB</w:t>
            </w:r>
          </w:p>
        </w:tc>
      </w:tr>
      <w:tr w:rsidR="008F365A" w:rsidRPr="00FA2489" w:rsidTr="008A7F86">
        <w:trPr>
          <w:trHeight w:val="390"/>
        </w:trPr>
        <w:tc>
          <w:tcPr>
            <w:tcW w:w="2610" w:type="dxa"/>
            <w:tcBorders>
              <w:top w:val="nil"/>
              <w:left w:val="nil"/>
              <w:bottom w:val="single" w:sz="4" w:space="0" w:color="auto"/>
              <w:right w:val="nil"/>
            </w:tcBorders>
            <w:shd w:val="clear" w:color="auto" w:fill="auto"/>
            <w:noWrap/>
            <w:vAlign w:val="bottom"/>
            <w:hideMark/>
          </w:tcPr>
          <w:p w:rsidR="008F365A" w:rsidRPr="00FA2489" w:rsidRDefault="008F365A" w:rsidP="008A7F86">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Type of service</w:t>
            </w:r>
          </w:p>
        </w:tc>
        <w:tc>
          <w:tcPr>
            <w:tcW w:w="90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n</w:t>
            </w:r>
          </w:p>
        </w:tc>
        <w:tc>
          <w:tcPr>
            <w:tcW w:w="90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w:t>
            </w:r>
          </w:p>
        </w:tc>
        <w:tc>
          <w:tcPr>
            <w:tcW w:w="82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n</w:t>
            </w:r>
          </w:p>
        </w:tc>
        <w:tc>
          <w:tcPr>
            <w:tcW w:w="88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w:t>
            </w:r>
          </w:p>
        </w:tc>
        <w:tc>
          <w:tcPr>
            <w:tcW w:w="82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n</w:t>
            </w:r>
          </w:p>
        </w:tc>
        <w:tc>
          <w:tcPr>
            <w:tcW w:w="94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w:t>
            </w:r>
          </w:p>
        </w:tc>
      </w:tr>
      <w:tr w:rsidR="008F365A" w:rsidRPr="00FA2489" w:rsidTr="008A7F86">
        <w:trPr>
          <w:trHeight w:val="39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Inpatient hospital</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27</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24%</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21</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78%</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14</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52%</w:t>
            </w:r>
          </w:p>
        </w:tc>
      </w:tr>
      <w:tr w:rsidR="008F365A" w:rsidRPr="00FA2489" w:rsidTr="008A7F86">
        <w:trPr>
          <w:trHeight w:val="375"/>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Emergency department</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12</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11%</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83%</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33%</w:t>
            </w:r>
          </w:p>
        </w:tc>
      </w:tr>
      <w:tr w:rsidR="008F365A" w:rsidRPr="00FA2489" w:rsidTr="008A7F86">
        <w:trPr>
          <w:trHeight w:val="387"/>
        </w:trPr>
        <w:tc>
          <w:tcPr>
            <w:tcW w:w="2610" w:type="dxa"/>
            <w:tcBorders>
              <w:top w:val="nil"/>
              <w:left w:val="nil"/>
              <w:bottom w:val="nil"/>
              <w:right w:val="nil"/>
            </w:tcBorders>
            <w:shd w:val="clear" w:color="auto" w:fill="auto"/>
            <w:vAlign w:val="bottom"/>
            <w:hideMark/>
          </w:tcPr>
          <w:p w:rsidR="008F365A" w:rsidRPr="00FA2489" w:rsidRDefault="008F365A" w:rsidP="008A7F86">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 xml:space="preserve">Outpatient mental health </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37</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33%</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r>
      <w:tr w:rsidR="008F365A" w:rsidRPr="00FA2489" w:rsidTr="008A7F86">
        <w:trPr>
          <w:trHeight w:val="30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Mental health clinic</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15</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14%</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11</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73%</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11</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73%</w:t>
            </w:r>
          </w:p>
        </w:tc>
      </w:tr>
      <w:tr w:rsidR="008F365A" w:rsidRPr="00FA2489" w:rsidTr="008A7F86">
        <w:trPr>
          <w:trHeight w:val="30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Professional counselor</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22</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19</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86%</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16</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73%</w:t>
            </w:r>
          </w:p>
        </w:tc>
      </w:tr>
      <w:tr w:rsidR="008F365A" w:rsidRPr="00FA2489" w:rsidTr="008A7F86">
        <w:trPr>
          <w:trHeight w:val="300"/>
        </w:trPr>
        <w:tc>
          <w:tcPr>
            <w:tcW w:w="2610" w:type="dxa"/>
            <w:tcBorders>
              <w:top w:val="nil"/>
              <w:left w:val="nil"/>
              <w:bottom w:val="nil"/>
              <w:right w:val="nil"/>
            </w:tcBorders>
            <w:shd w:val="clear" w:color="auto" w:fill="auto"/>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Partial hospitalization</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90%</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50%</w:t>
            </w:r>
          </w:p>
        </w:tc>
      </w:tr>
      <w:tr w:rsidR="008F365A" w:rsidRPr="00FA2489" w:rsidTr="008A7F86">
        <w:trPr>
          <w:trHeight w:val="30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Counselor home visit</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80%</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40%</w:t>
            </w:r>
          </w:p>
        </w:tc>
      </w:tr>
      <w:tr w:rsidR="008F365A" w:rsidRPr="00FA2489" w:rsidTr="001D4BC7">
        <w:trPr>
          <w:trHeight w:val="288"/>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Drug/alcohol treatment</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71</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64%</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r>
      <w:tr w:rsidR="008F365A" w:rsidRPr="00FA2489" w:rsidTr="008A7F86">
        <w:trPr>
          <w:trHeight w:val="30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Residential program</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34</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31%</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r>
      <w:tr w:rsidR="008F365A" w:rsidRPr="00FA2489" w:rsidTr="008A7F86">
        <w:trPr>
          <w:trHeight w:val="30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Short term unit (detox)</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42</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38%</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r>
      <w:tr w:rsidR="008F365A" w:rsidRPr="00FA2489" w:rsidTr="008A7F86">
        <w:trPr>
          <w:trHeight w:val="30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Drug or alcohol clinic</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29</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26%</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w:t>
            </w:r>
          </w:p>
        </w:tc>
      </w:tr>
      <w:tr w:rsidR="008F365A" w:rsidRPr="00FA2489" w:rsidTr="008A7F86">
        <w:trPr>
          <w:trHeight w:val="30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Other services</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r>
      <w:tr w:rsidR="008F365A" w:rsidRPr="00FA2489" w:rsidTr="008A7F86">
        <w:trPr>
          <w:trHeight w:val="300"/>
        </w:trPr>
        <w:tc>
          <w:tcPr>
            <w:tcW w:w="261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Crisis hotline</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9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8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60%</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60%</w:t>
            </w:r>
          </w:p>
        </w:tc>
      </w:tr>
      <w:tr w:rsidR="008F365A" w:rsidRPr="00FA2489" w:rsidTr="008A7F86">
        <w:trPr>
          <w:trHeight w:val="300"/>
        </w:trPr>
        <w:tc>
          <w:tcPr>
            <w:tcW w:w="261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Self-help group</w:t>
            </w:r>
          </w:p>
        </w:tc>
        <w:tc>
          <w:tcPr>
            <w:tcW w:w="90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45</w:t>
            </w:r>
          </w:p>
        </w:tc>
        <w:tc>
          <w:tcPr>
            <w:tcW w:w="90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41%</w:t>
            </w:r>
          </w:p>
        </w:tc>
        <w:tc>
          <w:tcPr>
            <w:tcW w:w="82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45</w:t>
            </w:r>
          </w:p>
        </w:tc>
        <w:tc>
          <w:tcPr>
            <w:tcW w:w="88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100%</w:t>
            </w:r>
          </w:p>
        </w:tc>
        <w:tc>
          <w:tcPr>
            <w:tcW w:w="82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w:t>
            </w:r>
          </w:p>
        </w:tc>
        <w:tc>
          <w:tcPr>
            <w:tcW w:w="94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w:t>
            </w:r>
          </w:p>
        </w:tc>
      </w:tr>
      <w:tr w:rsidR="008F365A" w:rsidRPr="00FA2489" w:rsidTr="008A7F86">
        <w:trPr>
          <w:trHeight w:val="375"/>
        </w:trPr>
        <w:tc>
          <w:tcPr>
            <w:tcW w:w="6110" w:type="dxa"/>
            <w:gridSpan w:val="5"/>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sz w:val="20"/>
                <w:szCs w:val="20"/>
              </w:rPr>
            </w:pPr>
            <w:r w:rsidRPr="00FA2489">
              <w:rPr>
                <w:rFonts w:ascii="Times New Roman" w:eastAsia="Times New Roman" w:hAnsi="Times New Roman" w:cs="Times New Roman"/>
                <w:color w:val="000000"/>
                <w:sz w:val="20"/>
                <w:szCs w:val="20"/>
              </w:rPr>
              <w:t>PWID: people who inject drugs; STB: suicidal thoughts and behaviors</w:t>
            </w:r>
          </w:p>
        </w:tc>
        <w:tc>
          <w:tcPr>
            <w:tcW w:w="8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sz w:val="20"/>
                <w:szCs w:val="20"/>
              </w:rPr>
            </w:pPr>
          </w:p>
        </w:tc>
        <w:tc>
          <w:tcPr>
            <w:tcW w:w="9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r>
    </w:tbl>
    <w:p w:rsidR="008F365A" w:rsidRPr="00FA2489" w:rsidRDefault="008F365A" w:rsidP="00283285">
      <w:pPr>
        <w:ind w:firstLine="0"/>
        <w:rPr>
          <w:rFonts w:ascii="Times New Roman" w:hAnsi="Times New Roman" w:cs="Times New Roman"/>
        </w:rPr>
      </w:pPr>
    </w:p>
    <w:p w:rsidR="008F365A" w:rsidRPr="00FA2489" w:rsidRDefault="008F365A">
      <w:pPr>
        <w:rPr>
          <w:rFonts w:ascii="Times New Roman" w:hAnsi="Times New Roman" w:cs="Times New Roman"/>
        </w:rPr>
      </w:pPr>
      <w:r w:rsidRPr="00FA2489">
        <w:rPr>
          <w:rFonts w:ascii="Times New Roman" w:hAnsi="Times New Roman" w:cs="Times New Roman"/>
        </w:rPr>
        <w:br w:type="page"/>
      </w:r>
    </w:p>
    <w:p w:rsidR="008F365A" w:rsidRPr="00FA2489" w:rsidRDefault="008F365A" w:rsidP="00283285">
      <w:pPr>
        <w:ind w:firstLine="0"/>
        <w:rPr>
          <w:rFonts w:ascii="Times New Roman" w:hAnsi="Times New Roman" w:cs="Times New Roman"/>
        </w:rPr>
        <w:sectPr w:rsidR="008F365A" w:rsidRPr="00FA2489" w:rsidSect="00FC61E4">
          <w:pgSz w:w="12240" w:h="15840"/>
          <w:pgMar w:top="1440" w:right="1440" w:bottom="1440" w:left="1440" w:header="720" w:footer="720" w:gutter="0"/>
          <w:cols w:space="720"/>
          <w:docGrid w:linePitch="360"/>
        </w:sectPr>
      </w:pPr>
    </w:p>
    <w:tbl>
      <w:tblPr>
        <w:tblW w:w="12600" w:type="dxa"/>
        <w:tblInd w:w="108" w:type="dxa"/>
        <w:tblLook w:val="04A0" w:firstRow="1" w:lastRow="0" w:firstColumn="1" w:lastColumn="0" w:noHBand="0" w:noVBand="1"/>
      </w:tblPr>
      <w:tblGrid>
        <w:gridCol w:w="2790"/>
        <w:gridCol w:w="480"/>
        <w:gridCol w:w="660"/>
        <w:gridCol w:w="800"/>
        <w:gridCol w:w="490"/>
        <w:gridCol w:w="720"/>
        <w:gridCol w:w="540"/>
        <w:gridCol w:w="720"/>
        <w:gridCol w:w="540"/>
        <w:gridCol w:w="630"/>
        <w:gridCol w:w="540"/>
        <w:gridCol w:w="720"/>
        <w:gridCol w:w="781"/>
        <w:gridCol w:w="749"/>
        <w:gridCol w:w="702"/>
        <w:gridCol w:w="738"/>
      </w:tblGrid>
      <w:tr w:rsidR="008F365A" w:rsidRPr="00FA2489" w:rsidTr="006C500E">
        <w:trPr>
          <w:trHeight w:val="435"/>
        </w:trPr>
        <w:tc>
          <w:tcPr>
            <w:tcW w:w="12600" w:type="dxa"/>
            <w:gridSpan w:val="16"/>
            <w:tcBorders>
              <w:top w:val="nil"/>
              <w:left w:val="nil"/>
              <w:bottom w:val="nil"/>
              <w:right w:val="nil"/>
            </w:tcBorders>
            <w:shd w:val="clear" w:color="auto" w:fill="auto"/>
            <w:vAlign w:val="bottom"/>
            <w:hideMark/>
          </w:tcPr>
          <w:p w:rsidR="008F365A" w:rsidRPr="00FA2489" w:rsidRDefault="008F365A" w:rsidP="00B05866">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lastRenderedPageBreak/>
              <w:t>Table 5. Evaluation of treatment for problems with behavior or feelings among PWID with past 12 month STB (N=</w:t>
            </w:r>
            <w:r>
              <w:rPr>
                <w:rFonts w:ascii="Times New Roman" w:eastAsia="Times New Roman" w:hAnsi="Times New Roman" w:cs="Times New Roman"/>
                <w:color w:val="000000"/>
              </w:rPr>
              <w:t>84</w:t>
            </w:r>
            <w:r w:rsidRPr="00FA2489">
              <w:rPr>
                <w:rFonts w:ascii="Times New Roman" w:eastAsia="Times New Roman" w:hAnsi="Times New Roman" w:cs="Times New Roman"/>
                <w:color w:val="000000"/>
              </w:rPr>
              <w:t>)</w:t>
            </w:r>
          </w:p>
        </w:tc>
      </w:tr>
      <w:tr w:rsidR="008F365A" w:rsidRPr="00FA2489" w:rsidTr="006C500E">
        <w:trPr>
          <w:trHeight w:val="480"/>
        </w:trPr>
        <w:tc>
          <w:tcPr>
            <w:tcW w:w="27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2670" w:type="dxa"/>
            <w:gridSpan w:val="4"/>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Treatment matched needs</w:t>
            </w:r>
          </w:p>
        </w:tc>
        <w:tc>
          <w:tcPr>
            <w:tcW w:w="2430" w:type="dxa"/>
            <w:gridSpan w:val="4"/>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Treatment helped</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r>
      <w:tr w:rsidR="008F365A" w:rsidRPr="00FA2489" w:rsidTr="006C500E">
        <w:trPr>
          <w:trHeight w:val="300"/>
        </w:trPr>
        <w:tc>
          <w:tcPr>
            <w:tcW w:w="27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1460"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not well</w:t>
            </w:r>
          </w:p>
        </w:tc>
        <w:tc>
          <w:tcPr>
            <w:tcW w:w="1210"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 xml:space="preserve">very well </w:t>
            </w:r>
          </w:p>
        </w:tc>
        <w:tc>
          <w:tcPr>
            <w:tcW w:w="1260"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not at all</w:t>
            </w:r>
          </w:p>
        </w:tc>
        <w:tc>
          <w:tcPr>
            <w:tcW w:w="1170" w:type="dxa"/>
            <w:gridSpan w:val="2"/>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a lot</w:t>
            </w:r>
          </w:p>
        </w:tc>
        <w:tc>
          <w:tcPr>
            <w:tcW w:w="4230" w:type="dxa"/>
            <w:gridSpan w:val="6"/>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Reason ended</w:t>
            </w:r>
          </w:p>
        </w:tc>
      </w:tr>
      <w:tr w:rsidR="008F365A" w:rsidRPr="00FA2489" w:rsidTr="001D4BC7">
        <w:trPr>
          <w:trHeight w:val="405"/>
        </w:trPr>
        <w:tc>
          <w:tcPr>
            <w:tcW w:w="279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Type of treatment / service</w:t>
            </w:r>
          </w:p>
        </w:tc>
        <w:tc>
          <w:tcPr>
            <w:tcW w:w="48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n</w:t>
            </w:r>
          </w:p>
        </w:tc>
        <w:tc>
          <w:tcPr>
            <w:tcW w:w="66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n</w:t>
            </w:r>
          </w:p>
        </w:tc>
        <w:tc>
          <w:tcPr>
            <w:tcW w:w="80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w:t>
            </w:r>
          </w:p>
        </w:tc>
        <w:tc>
          <w:tcPr>
            <w:tcW w:w="49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n</w:t>
            </w:r>
          </w:p>
        </w:tc>
        <w:tc>
          <w:tcPr>
            <w:tcW w:w="72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w:t>
            </w:r>
          </w:p>
        </w:tc>
        <w:tc>
          <w:tcPr>
            <w:tcW w:w="54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n</w:t>
            </w:r>
          </w:p>
        </w:tc>
        <w:tc>
          <w:tcPr>
            <w:tcW w:w="72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w:t>
            </w:r>
          </w:p>
        </w:tc>
        <w:tc>
          <w:tcPr>
            <w:tcW w:w="54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n</w:t>
            </w:r>
          </w:p>
        </w:tc>
        <w:tc>
          <w:tcPr>
            <w:tcW w:w="63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w:t>
            </w:r>
          </w:p>
        </w:tc>
        <w:tc>
          <w:tcPr>
            <w:tcW w:w="54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
                <w:iCs/>
                <w:color w:val="000000"/>
              </w:rPr>
            </w:pPr>
            <w:r w:rsidRPr="00FA2489">
              <w:rPr>
                <w:rFonts w:ascii="Times New Roman" w:eastAsia="Times New Roman" w:hAnsi="Times New Roman" w:cs="Times New Roman"/>
                <w:i/>
                <w:iCs/>
                <w:color w:val="000000"/>
              </w:rPr>
              <w:t>n</w:t>
            </w:r>
          </w:p>
        </w:tc>
        <w:tc>
          <w:tcPr>
            <w:tcW w:w="720"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Cs/>
                <w:color w:val="000000"/>
                <w:sz w:val="20"/>
                <w:szCs w:val="20"/>
              </w:rPr>
            </w:pPr>
            <w:r w:rsidRPr="00FA2489">
              <w:rPr>
                <w:rFonts w:ascii="Times New Roman" w:eastAsia="Times New Roman" w:hAnsi="Times New Roman" w:cs="Times New Roman"/>
                <w:iCs/>
                <w:color w:val="000000"/>
                <w:sz w:val="20"/>
                <w:szCs w:val="20"/>
              </w:rPr>
              <w:t>A</w:t>
            </w:r>
          </w:p>
        </w:tc>
        <w:tc>
          <w:tcPr>
            <w:tcW w:w="781"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Cs/>
                <w:color w:val="000000"/>
                <w:sz w:val="20"/>
                <w:szCs w:val="20"/>
              </w:rPr>
            </w:pPr>
            <w:r w:rsidRPr="00FA2489">
              <w:rPr>
                <w:rFonts w:ascii="Times New Roman" w:eastAsia="Times New Roman" w:hAnsi="Times New Roman" w:cs="Times New Roman"/>
                <w:iCs/>
                <w:color w:val="000000"/>
                <w:sz w:val="20"/>
                <w:szCs w:val="20"/>
              </w:rPr>
              <w:t>B</w:t>
            </w:r>
          </w:p>
        </w:tc>
        <w:tc>
          <w:tcPr>
            <w:tcW w:w="749"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Cs/>
                <w:color w:val="000000"/>
                <w:sz w:val="20"/>
                <w:szCs w:val="20"/>
              </w:rPr>
            </w:pPr>
            <w:r w:rsidRPr="00FA2489">
              <w:rPr>
                <w:rFonts w:ascii="Times New Roman" w:eastAsia="Times New Roman" w:hAnsi="Times New Roman" w:cs="Times New Roman"/>
                <w:iCs/>
                <w:color w:val="000000"/>
                <w:sz w:val="20"/>
                <w:szCs w:val="20"/>
              </w:rPr>
              <w:t>C</w:t>
            </w:r>
          </w:p>
        </w:tc>
        <w:tc>
          <w:tcPr>
            <w:tcW w:w="702" w:type="dxa"/>
            <w:tcBorders>
              <w:top w:val="nil"/>
              <w:left w:val="nil"/>
              <w:bottom w:val="single" w:sz="4" w:space="0" w:color="auto"/>
              <w:right w:val="nil"/>
            </w:tcBorders>
            <w:shd w:val="clear" w:color="auto" w:fill="auto"/>
            <w:vAlign w:val="bottom"/>
            <w:hideMark/>
          </w:tcPr>
          <w:p w:rsidR="008F365A" w:rsidRPr="00FA2489" w:rsidRDefault="008F365A" w:rsidP="00283285">
            <w:pPr>
              <w:spacing w:line="240" w:lineRule="auto"/>
              <w:ind w:firstLine="0"/>
              <w:jc w:val="center"/>
              <w:rPr>
                <w:rFonts w:ascii="Times New Roman" w:eastAsia="Times New Roman" w:hAnsi="Times New Roman" w:cs="Times New Roman"/>
                <w:iCs/>
                <w:color w:val="000000"/>
                <w:sz w:val="20"/>
                <w:szCs w:val="20"/>
              </w:rPr>
            </w:pPr>
            <w:r w:rsidRPr="00FA2489">
              <w:rPr>
                <w:rFonts w:ascii="Times New Roman" w:eastAsia="Times New Roman" w:hAnsi="Times New Roman" w:cs="Times New Roman"/>
                <w:iCs/>
                <w:color w:val="000000"/>
                <w:sz w:val="20"/>
                <w:szCs w:val="20"/>
              </w:rPr>
              <w:t>D</w:t>
            </w:r>
          </w:p>
        </w:tc>
        <w:tc>
          <w:tcPr>
            <w:tcW w:w="738" w:type="dxa"/>
            <w:tcBorders>
              <w:top w:val="nil"/>
              <w:left w:val="nil"/>
              <w:bottom w:val="single" w:sz="4" w:space="0" w:color="auto"/>
              <w:right w:val="nil"/>
            </w:tcBorders>
            <w:shd w:val="clear" w:color="auto" w:fill="auto"/>
            <w:vAlign w:val="bottom"/>
            <w:hideMark/>
          </w:tcPr>
          <w:p w:rsidR="008F365A" w:rsidRPr="00FA2489" w:rsidRDefault="008F365A" w:rsidP="006C500E">
            <w:pPr>
              <w:spacing w:line="240" w:lineRule="auto"/>
              <w:ind w:firstLine="0"/>
              <w:jc w:val="center"/>
              <w:rPr>
                <w:rFonts w:ascii="Times New Roman" w:eastAsia="Times New Roman" w:hAnsi="Times New Roman" w:cs="Times New Roman"/>
                <w:iCs/>
                <w:color w:val="000000"/>
                <w:sz w:val="20"/>
                <w:szCs w:val="20"/>
              </w:rPr>
            </w:pPr>
            <w:r w:rsidRPr="00FA2489">
              <w:rPr>
                <w:rFonts w:ascii="Times New Roman" w:eastAsia="Times New Roman" w:hAnsi="Times New Roman" w:cs="Times New Roman"/>
                <w:iCs/>
                <w:color w:val="000000"/>
                <w:sz w:val="20"/>
                <w:szCs w:val="20"/>
              </w:rPr>
              <w:t>E</w:t>
            </w:r>
          </w:p>
        </w:tc>
      </w:tr>
      <w:tr w:rsidR="008F365A" w:rsidRPr="00FA2489" w:rsidTr="006C500E">
        <w:trPr>
          <w:trHeight w:val="390"/>
        </w:trPr>
        <w:tc>
          <w:tcPr>
            <w:tcW w:w="27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Inpatient hospital</w:t>
            </w: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27</w:t>
            </w:r>
          </w:p>
        </w:tc>
        <w:tc>
          <w:tcPr>
            <w:tcW w:w="66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w:t>
            </w:r>
          </w:p>
        </w:tc>
        <w:tc>
          <w:tcPr>
            <w:tcW w:w="8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26%</w:t>
            </w:r>
          </w:p>
        </w:tc>
        <w:tc>
          <w:tcPr>
            <w:tcW w:w="4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11%</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22%</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w:t>
            </w:r>
          </w:p>
        </w:tc>
        <w:tc>
          <w:tcPr>
            <w:tcW w:w="63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25</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52%</w:t>
            </w:r>
          </w:p>
        </w:tc>
        <w:tc>
          <w:tcPr>
            <w:tcW w:w="781"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c>
          <w:tcPr>
            <w:tcW w:w="74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w:t>
            </w:r>
          </w:p>
        </w:tc>
        <w:tc>
          <w:tcPr>
            <w:tcW w:w="70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12%</w:t>
            </w:r>
          </w:p>
        </w:tc>
        <w:tc>
          <w:tcPr>
            <w:tcW w:w="738"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24%</w:t>
            </w:r>
          </w:p>
        </w:tc>
      </w:tr>
      <w:tr w:rsidR="008F365A" w:rsidRPr="00FA2489" w:rsidTr="006C500E">
        <w:trPr>
          <w:trHeight w:val="675"/>
        </w:trPr>
        <w:tc>
          <w:tcPr>
            <w:tcW w:w="2790" w:type="dxa"/>
            <w:tcBorders>
              <w:top w:val="nil"/>
              <w:left w:val="nil"/>
              <w:bottom w:val="nil"/>
              <w:right w:val="nil"/>
            </w:tcBorders>
            <w:shd w:val="clear" w:color="auto" w:fill="auto"/>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Outpatient mental health treatment</w:t>
            </w: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37</w:t>
            </w:r>
          </w:p>
        </w:tc>
        <w:tc>
          <w:tcPr>
            <w:tcW w:w="66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p>
        </w:tc>
        <w:tc>
          <w:tcPr>
            <w:tcW w:w="8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r>
      <w:tr w:rsidR="008F365A" w:rsidRPr="00FA2489" w:rsidTr="006C500E">
        <w:trPr>
          <w:trHeight w:val="300"/>
        </w:trPr>
        <w:tc>
          <w:tcPr>
            <w:tcW w:w="27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Mental health clinic</w:t>
            </w: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15</w:t>
            </w:r>
          </w:p>
        </w:tc>
        <w:tc>
          <w:tcPr>
            <w:tcW w:w="66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8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c>
          <w:tcPr>
            <w:tcW w:w="4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13%</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63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17%</w:t>
            </w:r>
          </w:p>
        </w:tc>
        <w:tc>
          <w:tcPr>
            <w:tcW w:w="781"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67%</w:t>
            </w:r>
          </w:p>
        </w:tc>
        <w:tc>
          <w:tcPr>
            <w:tcW w:w="74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50%</w:t>
            </w:r>
          </w:p>
        </w:tc>
        <w:tc>
          <w:tcPr>
            <w:tcW w:w="70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33%</w:t>
            </w:r>
          </w:p>
        </w:tc>
        <w:tc>
          <w:tcPr>
            <w:tcW w:w="738"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33%</w:t>
            </w:r>
          </w:p>
        </w:tc>
      </w:tr>
      <w:tr w:rsidR="008F365A" w:rsidRPr="00FA2489" w:rsidTr="006C500E">
        <w:trPr>
          <w:trHeight w:val="300"/>
        </w:trPr>
        <w:tc>
          <w:tcPr>
            <w:tcW w:w="27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Professional counselor</w:t>
            </w: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22</w:t>
            </w:r>
          </w:p>
        </w:tc>
        <w:tc>
          <w:tcPr>
            <w:tcW w:w="66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w:t>
            </w:r>
          </w:p>
        </w:tc>
        <w:tc>
          <w:tcPr>
            <w:tcW w:w="8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w:t>
            </w:r>
          </w:p>
        </w:tc>
        <w:tc>
          <w:tcPr>
            <w:tcW w:w="4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23%</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14%</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w:t>
            </w:r>
          </w:p>
        </w:tc>
        <w:tc>
          <w:tcPr>
            <w:tcW w:w="63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27%</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12</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17%</w:t>
            </w:r>
          </w:p>
        </w:tc>
        <w:tc>
          <w:tcPr>
            <w:tcW w:w="781"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33%</w:t>
            </w:r>
          </w:p>
        </w:tc>
        <w:tc>
          <w:tcPr>
            <w:tcW w:w="74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25%</w:t>
            </w:r>
          </w:p>
        </w:tc>
        <w:tc>
          <w:tcPr>
            <w:tcW w:w="70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42%</w:t>
            </w:r>
          </w:p>
        </w:tc>
        <w:tc>
          <w:tcPr>
            <w:tcW w:w="738"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50%</w:t>
            </w:r>
          </w:p>
        </w:tc>
      </w:tr>
      <w:tr w:rsidR="008F365A" w:rsidRPr="00FA2489" w:rsidTr="006C500E">
        <w:trPr>
          <w:trHeight w:val="300"/>
        </w:trPr>
        <w:tc>
          <w:tcPr>
            <w:tcW w:w="2790" w:type="dxa"/>
            <w:tcBorders>
              <w:top w:val="nil"/>
              <w:left w:val="nil"/>
              <w:bottom w:val="nil"/>
              <w:right w:val="nil"/>
            </w:tcBorders>
            <w:shd w:val="clear" w:color="auto" w:fill="auto"/>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Partial hospitalization</w:t>
            </w: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66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w:t>
            </w:r>
          </w:p>
        </w:tc>
        <w:tc>
          <w:tcPr>
            <w:tcW w:w="8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c>
          <w:tcPr>
            <w:tcW w:w="4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63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30%</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30%</w:t>
            </w:r>
          </w:p>
        </w:tc>
        <w:tc>
          <w:tcPr>
            <w:tcW w:w="781"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40%</w:t>
            </w:r>
          </w:p>
        </w:tc>
        <w:tc>
          <w:tcPr>
            <w:tcW w:w="74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c>
          <w:tcPr>
            <w:tcW w:w="70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40%</w:t>
            </w:r>
          </w:p>
        </w:tc>
        <w:tc>
          <w:tcPr>
            <w:tcW w:w="738"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40%</w:t>
            </w:r>
          </w:p>
        </w:tc>
      </w:tr>
      <w:tr w:rsidR="008F365A" w:rsidRPr="00FA2489" w:rsidTr="006C500E">
        <w:trPr>
          <w:trHeight w:val="390"/>
        </w:trPr>
        <w:tc>
          <w:tcPr>
            <w:tcW w:w="27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rPr>
            </w:pPr>
            <w:r w:rsidRPr="00FA2489">
              <w:rPr>
                <w:rFonts w:ascii="Times New Roman" w:eastAsia="Times New Roman" w:hAnsi="Times New Roman" w:cs="Times New Roman"/>
                <w:color w:val="000000"/>
              </w:rPr>
              <w:t>Drug/alcohol treatment</w:t>
            </w: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71</w:t>
            </w:r>
          </w:p>
        </w:tc>
        <w:tc>
          <w:tcPr>
            <w:tcW w:w="66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p>
        </w:tc>
        <w:tc>
          <w:tcPr>
            <w:tcW w:w="8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sz w:val="20"/>
                <w:szCs w:val="20"/>
              </w:rPr>
            </w:pPr>
          </w:p>
        </w:tc>
      </w:tr>
      <w:tr w:rsidR="008F365A" w:rsidRPr="00FA2489" w:rsidTr="006C500E">
        <w:trPr>
          <w:trHeight w:val="300"/>
        </w:trPr>
        <w:tc>
          <w:tcPr>
            <w:tcW w:w="27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Residential program</w:t>
            </w: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34</w:t>
            </w:r>
          </w:p>
        </w:tc>
        <w:tc>
          <w:tcPr>
            <w:tcW w:w="66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w:t>
            </w:r>
          </w:p>
        </w:tc>
        <w:tc>
          <w:tcPr>
            <w:tcW w:w="8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18%</w:t>
            </w:r>
          </w:p>
        </w:tc>
        <w:tc>
          <w:tcPr>
            <w:tcW w:w="4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18%</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18%</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63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15%</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32</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22%</w:t>
            </w:r>
          </w:p>
        </w:tc>
        <w:tc>
          <w:tcPr>
            <w:tcW w:w="781"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56%</w:t>
            </w:r>
          </w:p>
        </w:tc>
        <w:tc>
          <w:tcPr>
            <w:tcW w:w="74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70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0%</w:t>
            </w:r>
          </w:p>
        </w:tc>
        <w:tc>
          <w:tcPr>
            <w:tcW w:w="738"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25%</w:t>
            </w:r>
          </w:p>
        </w:tc>
      </w:tr>
      <w:tr w:rsidR="008F365A" w:rsidRPr="00FA2489" w:rsidTr="006C500E">
        <w:trPr>
          <w:trHeight w:val="300"/>
        </w:trPr>
        <w:tc>
          <w:tcPr>
            <w:tcW w:w="27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Short term unit (detox)</w:t>
            </w:r>
          </w:p>
        </w:tc>
        <w:tc>
          <w:tcPr>
            <w:tcW w:w="48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42</w:t>
            </w:r>
          </w:p>
        </w:tc>
        <w:tc>
          <w:tcPr>
            <w:tcW w:w="66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8</w:t>
            </w:r>
          </w:p>
        </w:tc>
        <w:tc>
          <w:tcPr>
            <w:tcW w:w="80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19%</w:t>
            </w:r>
          </w:p>
        </w:tc>
        <w:tc>
          <w:tcPr>
            <w:tcW w:w="49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12%</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24%</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w:t>
            </w:r>
          </w:p>
        </w:tc>
        <w:tc>
          <w:tcPr>
            <w:tcW w:w="63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54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42</w:t>
            </w:r>
          </w:p>
        </w:tc>
        <w:tc>
          <w:tcPr>
            <w:tcW w:w="720"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29%</w:t>
            </w:r>
          </w:p>
        </w:tc>
        <w:tc>
          <w:tcPr>
            <w:tcW w:w="781"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48%</w:t>
            </w:r>
          </w:p>
        </w:tc>
        <w:tc>
          <w:tcPr>
            <w:tcW w:w="749"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w:t>
            </w:r>
          </w:p>
        </w:tc>
        <w:tc>
          <w:tcPr>
            <w:tcW w:w="702"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5%</w:t>
            </w:r>
          </w:p>
        </w:tc>
        <w:tc>
          <w:tcPr>
            <w:tcW w:w="738" w:type="dxa"/>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24%</w:t>
            </w:r>
          </w:p>
        </w:tc>
      </w:tr>
      <w:tr w:rsidR="008F365A" w:rsidRPr="00FA2489" w:rsidTr="006C500E">
        <w:trPr>
          <w:trHeight w:val="300"/>
        </w:trPr>
        <w:tc>
          <w:tcPr>
            <w:tcW w:w="279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Chars="100" w:firstLine="220"/>
              <w:rPr>
                <w:rFonts w:ascii="Times New Roman" w:eastAsia="Times New Roman" w:hAnsi="Times New Roman" w:cs="Times New Roman"/>
                <w:color w:val="000000"/>
              </w:rPr>
            </w:pPr>
            <w:r w:rsidRPr="00FA2489">
              <w:rPr>
                <w:rFonts w:ascii="Times New Roman" w:eastAsia="Times New Roman" w:hAnsi="Times New Roman" w:cs="Times New Roman"/>
                <w:color w:val="000000"/>
              </w:rPr>
              <w:t>Drug or alcohol clinic</w:t>
            </w:r>
          </w:p>
        </w:tc>
        <w:tc>
          <w:tcPr>
            <w:tcW w:w="48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29</w:t>
            </w:r>
          </w:p>
        </w:tc>
        <w:tc>
          <w:tcPr>
            <w:tcW w:w="66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6</w:t>
            </w:r>
          </w:p>
        </w:tc>
        <w:tc>
          <w:tcPr>
            <w:tcW w:w="80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21%</w:t>
            </w:r>
          </w:p>
        </w:tc>
        <w:tc>
          <w:tcPr>
            <w:tcW w:w="49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72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54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9</w:t>
            </w:r>
          </w:p>
        </w:tc>
        <w:tc>
          <w:tcPr>
            <w:tcW w:w="72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31%</w:t>
            </w:r>
          </w:p>
        </w:tc>
        <w:tc>
          <w:tcPr>
            <w:tcW w:w="54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w:t>
            </w:r>
          </w:p>
        </w:tc>
        <w:tc>
          <w:tcPr>
            <w:tcW w:w="63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10%</w:t>
            </w:r>
          </w:p>
        </w:tc>
        <w:tc>
          <w:tcPr>
            <w:tcW w:w="54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25</w:t>
            </w:r>
          </w:p>
        </w:tc>
        <w:tc>
          <w:tcPr>
            <w:tcW w:w="720"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16%</w:t>
            </w:r>
          </w:p>
        </w:tc>
        <w:tc>
          <w:tcPr>
            <w:tcW w:w="781"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48%</w:t>
            </w:r>
          </w:p>
        </w:tc>
        <w:tc>
          <w:tcPr>
            <w:tcW w:w="749"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20%</w:t>
            </w:r>
          </w:p>
        </w:tc>
        <w:tc>
          <w:tcPr>
            <w:tcW w:w="702"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36%</w:t>
            </w:r>
          </w:p>
        </w:tc>
        <w:tc>
          <w:tcPr>
            <w:tcW w:w="738" w:type="dxa"/>
            <w:tcBorders>
              <w:top w:val="nil"/>
              <w:left w:val="nil"/>
              <w:bottom w:val="single" w:sz="4" w:space="0" w:color="auto"/>
              <w:right w:val="nil"/>
            </w:tcBorders>
            <w:shd w:val="clear" w:color="auto" w:fill="auto"/>
            <w:noWrap/>
            <w:vAlign w:val="bottom"/>
            <w:hideMark/>
          </w:tcPr>
          <w:p w:rsidR="008F365A" w:rsidRPr="00FA2489" w:rsidRDefault="008F365A" w:rsidP="00283285">
            <w:pPr>
              <w:spacing w:line="240" w:lineRule="auto"/>
              <w:ind w:firstLine="0"/>
              <w:jc w:val="center"/>
              <w:rPr>
                <w:rFonts w:ascii="Times New Roman" w:eastAsia="Times New Roman" w:hAnsi="Times New Roman" w:cs="Times New Roman"/>
                <w:color w:val="000000"/>
              </w:rPr>
            </w:pPr>
            <w:r w:rsidRPr="00FA2489">
              <w:rPr>
                <w:rFonts w:ascii="Times New Roman" w:eastAsia="Times New Roman" w:hAnsi="Times New Roman" w:cs="Times New Roman"/>
                <w:color w:val="000000"/>
              </w:rPr>
              <w:t>28%</w:t>
            </w:r>
          </w:p>
        </w:tc>
      </w:tr>
      <w:tr w:rsidR="008F365A" w:rsidRPr="00FA2489" w:rsidTr="006C500E">
        <w:trPr>
          <w:trHeight w:val="375"/>
        </w:trPr>
        <w:tc>
          <w:tcPr>
            <w:tcW w:w="12600" w:type="dxa"/>
            <w:gridSpan w:val="16"/>
            <w:tcBorders>
              <w:top w:val="single" w:sz="4" w:space="0" w:color="auto"/>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sz w:val="20"/>
                <w:szCs w:val="20"/>
              </w:rPr>
            </w:pPr>
            <w:r w:rsidRPr="00FA2489">
              <w:rPr>
                <w:rFonts w:ascii="Times New Roman" w:eastAsia="Times New Roman" w:hAnsi="Times New Roman" w:cs="Times New Roman"/>
                <w:color w:val="000000"/>
                <w:sz w:val="20"/>
                <w:szCs w:val="20"/>
              </w:rPr>
              <w:t>PWID: people who inject drugs; STB: suicidal thoughts and behaviors</w:t>
            </w:r>
          </w:p>
        </w:tc>
      </w:tr>
      <w:tr w:rsidR="008F365A" w:rsidRPr="00FA2489" w:rsidTr="006C500E">
        <w:trPr>
          <w:trHeight w:val="300"/>
        </w:trPr>
        <w:tc>
          <w:tcPr>
            <w:tcW w:w="12600" w:type="dxa"/>
            <w:gridSpan w:val="16"/>
            <w:tcBorders>
              <w:top w:val="nil"/>
              <w:left w:val="nil"/>
              <w:bottom w:val="nil"/>
              <w:right w:val="nil"/>
            </w:tcBorders>
            <w:shd w:val="clear" w:color="auto" w:fill="auto"/>
            <w:noWrap/>
            <w:vAlign w:val="bottom"/>
            <w:hideMark/>
          </w:tcPr>
          <w:p w:rsidR="008F365A" w:rsidRPr="00FA2489" w:rsidRDefault="008F365A" w:rsidP="00283285">
            <w:pPr>
              <w:spacing w:line="240" w:lineRule="auto"/>
              <w:ind w:firstLine="0"/>
              <w:rPr>
                <w:rFonts w:ascii="Times New Roman" w:eastAsia="Times New Roman" w:hAnsi="Times New Roman" w:cs="Times New Roman"/>
                <w:color w:val="000000"/>
                <w:sz w:val="20"/>
                <w:szCs w:val="20"/>
              </w:rPr>
            </w:pPr>
            <w:r w:rsidRPr="00FA2489">
              <w:rPr>
                <w:rFonts w:ascii="Times New Roman" w:eastAsia="Times New Roman" w:hAnsi="Times New Roman" w:cs="Times New Roman"/>
                <w:color w:val="000000"/>
                <w:sz w:val="20"/>
                <w:szCs w:val="20"/>
              </w:rPr>
              <w:t>Treatment matched needs was rated as not well, okay, or very well. Treatment helped was rated as not at all, some, or a lot.</w:t>
            </w:r>
          </w:p>
        </w:tc>
      </w:tr>
      <w:tr w:rsidR="008F365A" w:rsidRPr="00FA2489" w:rsidTr="00061282">
        <w:trPr>
          <w:trHeight w:val="567"/>
        </w:trPr>
        <w:tc>
          <w:tcPr>
            <w:tcW w:w="12600" w:type="dxa"/>
            <w:gridSpan w:val="16"/>
            <w:tcBorders>
              <w:top w:val="nil"/>
              <w:left w:val="nil"/>
              <w:bottom w:val="nil"/>
              <w:right w:val="nil"/>
            </w:tcBorders>
            <w:shd w:val="clear" w:color="auto" w:fill="auto"/>
            <w:noWrap/>
            <w:vAlign w:val="bottom"/>
          </w:tcPr>
          <w:p w:rsidR="008F365A" w:rsidRPr="00FA2489" w:rsidRDefault="008F365A" w:rsidP="001D4BC7">
            <w:pPr>
              <w:spacing w:line="240" w:lineRule="auto"/>
              <w:ind w:firstLine="0"/>
              <w:rPr>
                <w:rFonts w:ascii="Times New Roman" w:eastAsia="Times New Roman" w:hAnsi="Times New Roman" w:cs="Times New Roman"/>
                <w:color w:val="000000"/>
                <w:sz w:val="20"/>
                <w:szCs w:val="20"/>
              </w:rPr>
            </w:pPr>
            <w:r w:rsidRPr="00FA2489">
              <w:rPr>
                <w:rFonts w:ascii="Times New Roman" w:eastAsia="Times New Roman" w:hAnsi="Times New Roman" w:cs="Times New Roman"/>
                <w:color w:val="000000"/>
                <w:sz w:val="20"/>
                <w:szCs w:val="20"/>
              </w:rPr>
              <w:t>Reason ended: (A) got better, (B) completed treatment, (C) logistical issues, (D) too expensive, (E) bad experience. Bad experience includes not getting better, treated unfairly, therapist left, felt out of place, policies were a hassle, and “bad experience”.</w:t>
            </w:r>
          </w:p>
        </w:tc>
      </w:tr>
    </w:tbl>
    <w:p w:rsidR="008F365A" w:rsidRPr="00FA2489" w:rsidRDefault="008F365A" w:rsidP="00283285">
      <w:pPr>
        <w:ind w:firstLine="0"/>
        <w:rPr>
          <w:rFonts w:ascii="Times New Roman" w:hAnsi="Times New Roman" w:cs="Times New Roman"/>
        </w:rPr>
      </w:pPr>
    </w:p>
    <w:p w:rsidR="005C2213" w:rsidRDefault="00BD4E87"/>
    <w:sectPr w:rsidR="005C2213" w:rsidSect="002832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87" w:rsidRDefault="00BD4E87" w:rsidP="008F365A">
      <w:pPr>
        <w:spacing w:line="240" w:lineRule="auto"/>
      </w:pPr>
      <w:r>
        <w:separator/>
      </w:r>
    </w:p>
  </w:endnote>
  <w:endnote w:type="continuationSeparator" w:id="0">
    <w:p w:rsidR="00BD4E87" w:rsidRDefault="00BD4E87" w:rsidP="008F3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87" w:rsidRDefault="00BD4E87" w:rsidP="008F365A">
      <w:pPr>
        <w:spacing w:line="240" w:lineRule="auto"/>
      </w:pPr>
      <w:r>
        <w:separator/>
      </w:r>
    </w:p>
  </w:footnote>
  <w:footnote w:type="continuationSeparator" w:id="0">
    <w:p w:rsidR="00BD4E87" w:rsidRDefault="00BD4E87" w:rsidP="008F36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71" w:rsidRPr="00697C28" w:rsidRDefault="00BD4E87" w:rsidP="00733581">
    <w:pPr>
      <w:pStyle w:val="Header"/>
      <w:ind w:firstLine="0"/>
      <w:rPr>
        <w:rFonts w:ascii="Times New Roman" w:hAnsi="Times New Roman" w:cs="Times New Roman"/>
      </w:rPr>
    </w:pPr>
    <w:r>
      <w:rPr>
        <w:rFonts w:ascii="Times New Roman" w:hAnsi="Times New Roman" w:cs="Times New Roman"/>
      </w:rPr>
      <w:t>Suicidality and Treatment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sidRPr="00697C28">
      <w:rPr>
        <w:rFonts w:ascii="Times New Roman" w:hAnsi="Times New Roman" w:cs="Times New Roman"/>
      </w:rPr>
      <w:fldChar w:fldCharType="begin"/>
    </w:r>
    <w:r w:rsidRPr="00697C28">
      <w:rPr>
        <w:rFonts w:ascii="Times New Roman" w:hAnsi="Times New Roman" w:cs="Times New Roman"/>
      </w:rPr>
      <w:instrText xml:space="preserve"> PAGE   \* MERGEFORMAT </w:instrText>
    </w:r>
    <w:r w:rsidRPr="00697C28">
      <w:rPr>
        <w:rFonts w:ascii="Times New Roman" w:hAnsi="Times New Roman" w:cs="Times New Roman"/>
      </w:rPr>
      <w:fldChar w:fldCharType="separate"/>
    </w:r>
    <w:r w:rsidR="008F365A">
      <w:rPr>
        <w:rFonts w:ascii="Times New Roman" w:hAnsi="Times New Roman" w:cs="Times New Roman"/>
        <w:noProof/>
      </w:rPr>
      <w:t>4</w:t>
    </w:r>
    <w:r w:rsidRPr="00697C28">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33A72"/>
    <w:multiLevelType w:val="hybridMultilevel"/>
    <w:tmpl w:val="2ECA6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B171E9"/>
    <w:multiLevelType w:val="hybridMultilevel"/>
    <w:tmpl w:val="1ADCE5FC"/>
    <w:lvl w:ilvl="0" w:tplc="F4BC781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365A"/>
    <w:rsid w:val="00350AA4"/>
    <w:rsid w:val="005A774A"/>
    <w:rsid w:val="008F365A"/>
    <w:rsid w:val="00BD4E87"/>
    <w:rsid w:val="00C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45484-F7C2-4B20-A59F-65F99571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65A"/>
    <w:pPr>
      <w:spacing w:after="0" w:line="480" w:lineRule="auto"/>
      <w:ind w:firstLine="720"/>
    </w:pPr>
    <w:rPr>
      <w:rFonts w:ascii="Arial" w:hAnsi="Arial" w:cs="Arial"/>
    </w:rPr>
  </w:style>
  <w:style w:type="character" w:default="1" w:styleId="DefaultParagraphFont">
    <w:name w:val="Default Paragraph Font"/>
    <w:uiPriority w:val="1"/>
    <w:unhideWhenUsed/>
    <w:rsid w:val="008F36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365A"/>
  </w:style>
  <w:style w:type="paragraph" w:styleId="BalloonText">
    <w:name w:val="Balloon Text"/>
    <w:basedOn w:val="Normal"/>
    <w:link w:val="BalloonTextChar"/>
    <w:uiPriority w:val="99"/>
    <w:semiHidden/>
    <w:unhideWhenUsed/>
    <w:rsid w:val="008F36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5A"/>
    <w:rPr>
      <w:rFonts w:ascii="Tahoma" w:hAnsi="Tahoma" w:cs="Tahoma"/>
      <w:sz w:val="16"/>
      <w:szCs w:val="16"/>
    </w:rPr>
  </w:style>
  <w:style w:type="paragraph" w:styleId="Header">
    <w:name w:val="header"/>
    <w:basedOn w:val="Normal"/>
    <w:link w:val="HeaderChar"/>
    <w:uiPriority w:val="99"/>
    <w:unhideWhenUsed/>
    <w:rsid w:val="008F365A"/>
    <w:pPr>
      <w:tabs>
        <w:tab w:val="center" w:pos="4680"/>
        <w:tab w:val="right" w:pos="9360"/>
      </w:tabs>
    </w:pPr>
    <w:rPr>
      <w:rFonts w:eastAsia="Calibri"/>
    </w:rPr>
  </w:style>
  <w:style w:type="character" w:customStyle="1" w:styleId="HeaderChar">
    <w:name w:val="Header Char"/>
    <w:basedOn w:val="DefaultParagraphFont"/>
    <w:link w:val="Header"/>
    <w:uiPriority w:val="99"/>
    <w:rsid w:val="008F365A"/>
    <w:rPr>
      <w:rFonts w:ascii="Arial" w:eastAsia="Calibri" w:hAnsi="Arial" w:cs="Arial"/>
    </w:rPr>
  </w:style>
  <w:style w:type="character" w:styleId="Hyperlink">
    <w:name w:val="Hyperlink"/>
    <w:basedOn w:val="DefaultParagraphFont"/>
    <w:uiPriority w:val="99"/>
    <w:unhideWhenUsed/>
    <w:rsid w:val="008F365A"/>
    <w:rPr>
      <w:color w:val="0563C1" w:themeColor="hyperlink"/>
      <w:u w:val="single"/>
    </w:rPr>
  </w:style>
  <w:style w:type="paragraph" w:customStyle="1" w:styleId="EndNoteBibliographyTitle">
    <w:name w:val="EndNote Bibliography Title"/>
    <w:basedOn w:val="Normal"/>
    <w:link w:val="EndNoteBibliographyTitleChar"/>
    <w:rsid w:val="008F365A"/>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F365A"/>
    <w:rPr>
      <w:rFonts w:ascii="Times New Roman" w:hAnsi="Times New Roman" w:cs="Times New Roman"/>
      <w:noProof/>
      <w:sz w:val="24"/>
    </w:rPr>
  </w:style>
  <w:style w:type="paragraph" w:customStyle="1" w:styleId="EndNoteBibliography">
    <w:name w:val="EndNote Bibliography"/>
    <w:basedOn w:val="Normal"/>
    <w:link w:val="EndNoteBibliographyChar"/>
    <w:rsid w:val="008F365A"/>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F365A"/>
    <w:rPr>
      <w:rFonts w:ascii="Times New Roman" w:hAnsi="Times New Roman" w:cs="Times New Roman"/>
      <w:noProof/>
      <w:sz w:val="24"/>
    </w:rPr>
  </w:style>
  <w:style w:type="paragraph" w:styleId="ListParagraph">
    <w:name w:val="List Paragraph"/>
    <w:basedOn w:val="Normal"/>
    <w:uiPriority w:val="34"/>
    <w:qFormat/>
    <w:rsid w:val="008F365A"/>
    <w:pPr>
      <w:spacing w:after="160" w:line="259" w:lineRule="auto"/>
      <w:ind w:left="720" w:firstLine="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8F365A"/>
    <w:rPr>
      <w:sz w:val="16"/>
      <w:szCs w:val="16"/>
    </w:rPr>
  </w:style>
  <w:style w:type="paragraph" w:styleId="CommentText">
    <w:name w:val="annotation text"/>
    <w:basedOn w:val="Normal"/>
    <w:link w:val="CommentTextChar"/>
    <w:uiPriority w:val="99"/>
    <w:semiHidden/>
    <w:unhideWhenUsed/>
    <w:rsid w:val="008F365A"/>
    <w:pPr>
      <w:spacing w:line="240" w:lineRule="auto"/>
    </w:pPr>
    <w:rPr>
      <w:sz w:val="20"/>
      <w:szCs w:val="20"/>
    </w:rPr>
  </w:style>
  <w:style w:type="character" w:customStyle="1" w:styleId="CommentTextChar">
    <w:name w:val="Comment Text Char"/>
    <w:basedOn w:val="DefaultParagraphFont"/>
    <w:link w:val="CommentText"/>
    <w:uiPriority w:val="99"/>
    <w:semiHidden/>
    <w:rsid w:val="008F365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365A"/>
    <w:rPr>
      <w:b/>
      <w:bCs/>
    </w:rPr>
  </w:style>
  <w:style w:type="character" w:customStyle="1" w:styleId="CommentSubjectChar">
    <w:name w:val="Comment Subject Char"/>
    <w:basedOn w:val="CommentTextChar"/>
    <w:link w:val="CommentSubject"/>
    <w:uiPriority w:val="99"/>
    <w:semiHidden/>
    <w:rsid w:val="008F365A"/>
    <w:rPr>
      <w:rFonts w:ascii="Arial" w:hAnsi="Arial" w:cs="Arial"/>
      <w:b/>
      <w:bCs/>
      <w:sz w:val="20"/>
      <w:szCs w:val="20"/>
    </w:rPr>
  </w:style>
  <w:style w:type="paragraph" w:styleId="Footer">
    <w:name w:val="footer"/>
    <w:basedOn w:val="Normal"/>
    <w:link w:val="FooterChar"/>
    <w:uiPriority w:val="99"/>
    <w:unhideWhenUsed/>
    <w:rsid w:val="008F365A"/>
    <w:pPr>
      <w:tabs>
        <w:tab w:val="center" w:pos="4680"/>
        <w:tab w:val="right" w:pos="9360"/>
      </w:tabs>
      <w:spacing w:line="240" w:lineRule="auto"/>
    </w:pPr>
  </w:style>
  <w:style w:type="character" w:customStyle="1" w:styleId="FooterChar">
    <w:name w:val="Footer Char"/>
    <w:basedOn w:val="DefaultParagraphFont"/>
    <w:link w:val="Footer"/>
    <w:uiPriority w:val="99"/>
    <w:rsid w:val="008F365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amiti@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6384</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Mackesy-Amiti, Mary Ellen</dc:creator>
  <cp:keywords/>
  <dc:description/>
  <cp:lastModifiedBy>Mackesy-Amiti, Mary Ellen</cp:lastModifiedBy>
  <cp:revision>1</cp:revision>
  <dcterms:created xsi:type="dcterms:W3CDTF">2020-10-13T19:24:00Z</dcterms:created>
  <dcterms:modified xsi:type="dcterms:W3CDTF">2020-10-13T19:25:00Z</dcterms:modified>
</cp:coreProperties>
</file>