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3C77" w14:textId="77777777" w:rsidR="00891594" w:rsidRPr="00296330" w:rsidRDefault="00891594" w:rsidP="001205A3">
      <w:pPr>
        <w:spacing w:line="259" w:lineRule="auto"/>
        <w:jc w:val="center"/>
        <w:rPr>
          <w:rFonts w:eastAsiaTheme="minorHAnsi"/>
          <w:sz w:val="22"/>
          <w:szCs w:val="22"/>
        </w:rPr>
      </w:pPr>
    </w:p>
    <w:p w14:paraId="6541E133" w14:textId="77777777" w:rsidR="00891594" w:rsidRPr="00296330" w:rsidRDefault="00891594" w:rsidP="001205A3">
      <w:pPr>
        <w:spacing w:line="259" w:lineRule="auto"/>
        <w:jc w:val="center"/>
        <w:rPr>
          <w:rFonts w:eastAsiaTheme="minorHAnsi"/>
          <w:sz w:val="22"/>
          <w:szCs w:val="22"/>
        </w:rPr>
      </w:pPr>
    </w:p>
    <w:p w14:paraId="35F33347" w14:textId="77777777" w:rsidR="00891594" w:rsidRPr="00296330" w:rsidRDefault="00891594" w:rsidP="001205A3">
      <w:pPr>
        <w:spacing w:line="259" w:lineRule="auto"/>
        <w:jc w:val="center"/>
        <w:rPr>
          <w:rFonts w:eastAsiaTheme="minorHAnsi"/>
          <w:sz w:val="22"/>
          <w:szCs w:val="22"/>
        </w:rPr>
      </w:pPr>
    </w:p>
    <w:p w14:paraId="4F8D459A" w14:textId="77777777" w:rsidR="00891594" w:rsidRPr="00296330" w:rsidRDefault="00891594" w:rsidP="001205A3">
      <w:pPr>
        <w:spacing w:line="259" w:lineRule="auto"/>
        <w:jc w:val="center"/>
        <w:rPr>
          <w:rFonts w:eastAsiaTheme="minorHAnsi"/>
          <w:sz w:val="22"/>
          <w:szCs w:val="22"/>
        </w:rPr>
      </w:pPr>
    </w:p>
    <w:p w14:paraId="131761C5" w14:textId="77777777" w:rsidR="00891594" w:rsidRPr="00296330" w:rsidRDefault="00891594" w:rsidP="001205A3">
      <w:pPr>
        <w:spacing w:line="259" w:lineRule="auto"/>
        <w:jc w:val="center"/>
        <w:rPr>
          <w:rFonts w:eastAsiaTheme="minorHAnsi"/>
          <w:sz w:val="22"/>
          <w:szCs w:val="22"/>
        </w:rPr>
      </w:pPr>
    </w:p>
    <w:p w14:paraId="6B9B078E" w14:textId="00454D57" w:rsidR="00891594" w:rsidRDefault="00891594" w:rsidP="001205A3">
      <w:pPr>
        <w:spacing w:line="259" w:lineRule="auto"/>
        <w:jc w:val="center"/>
        <w:rPr>
          <w:rFonts w:eastAsiaTheme="minorHAnsi"/>
          <w:sz w:val="22"/>
          <w:szCs w:val="22"/>
        </w:rPr>
      </w:pPr>
    </w:p>
    <w:p w14:paraId="7DB4ADD6" w14:textId="177DE388" w:rsidR="00DC6EF9" w:rsidRDefault="00DC6EF9" w:rsidP="001205A3">
      <w:pPr>
        <w:spacing w:line="259" w:lineRule="auto"/>
        <w:jc w:val="center"/>
        <w:rPr>
          <w:rFonts w:eastAsiaTheme="minorHAnsi"/>
          <w:sz w:val="22"/>
          <w:szCs w:val="22"/>
        </w:rPr>
      </w:pPr>
    </w:p>
    <w:p w14:paraId="538E92C6" w14:textId="1FA1A2E1" w:rsidR="00DC6EF9" w:rsidRDefault="00DC6EF9" w:rsidP="001205A3">
      <w:pPr>
        <w:spacing w:line="259" w:lineRule="auto"/>
        <w:jc w:val="center"/>
        <w:rPr>
          <w:rFonts w:eastAsiaTheme="minorHAnsi"/>
          <w:sz w:val="22"/>
          <w:szCs w:val="22"/>
        </w:rPr>
      </w:pPr>
    </w:p>
    <w:p w14:paraId="6738677B" w14:textId="77777777" w:rsidR="000A29DF" w:rsidRDefault="000A29DF" w:rsidP="000A29DF">
      <w:pPr>
        <w:spacing w:line="259" w:lineRule="auto"/>
        <w:rPr>
          <w:rFonts w:eastAsiaTheme="minorHAnsi"/>
          <w:sz w:val="22"/>
          <w:szCs w:val="22"/>
        </w:rPr>
      </w:pPr>
    </w:p>
    <w:p w14:paraId="279812C5" w14:textId="77777777" w:rsidR="000A29DF" w:rsidRDefault="000A29DF" w:rsidP="000A29DF">
      <w:pPr>
        <w:spacing w:line="259" w:lineRule="auto"/>
        <w:rPr>
          <w:rFonts w:eastAsiaTheme="minorHAnsi"/>
          <w:sz w:val="22"/>
          <w:szCs w:val="22"/>
        </w:rPr>
      </w:pPr>
    </w:p>
    <w:p w14:paraId="096E38F2" w14:textId="77777777" w:rsidR="000A29DF" w:rsidRDefault="000A29DF" w:rsidP="000A29DF">
      <w:pPr>
        <w:spacing w:line="259" w:lineRule="auto"/>
        <w:rPr>
          <w:rFonts w:eastAsiaTheme="minorHAnsi"/>
          <w:sz w:val="22"/>
          <w:szCs w:val="22"/>
        </w:rPr>
      </w:pPr>
    </w:p>
    <w:p w14:paraId="4F1B44E1" w14:textId="77777777" w:rsidR="000A29DF" w:rsidRDefault="000A29DF" w:rsidP="000A29DF">
      <w:pPr>
        <w:spacing w:line="259" w:lineRule="auto"/>
        <w:rPr>
          <w:rFonts w:eastAsiaTheme="minorHAnsi"/>
          <w:sz w:val="22"/>
          <w:szCs w:val="22"/>
        </w:rPr>
      </w:pPr>
    </w:p>
    <w:p w14:paraId="5F668278" w14:textId="77777777" w:rsidR="000A29DF" w:rsidRDefault="000A29DF" w:rsidP="000A29DF">
      <w:pPr>
        <w:spacing w:line="259" w:lineRule="auto"/>
        <w:rPr>
          <w:rFonts w:eastAsiaTheme="minorHAnsi"/>
          <w:sz w:val="22"/>
          <w:szCs w:val="22"/>
        </w:rPr>
      </w:pPr>
    </w:p>
    <w:p w14:paraId="1E9E0D64" w14:textId="77777777" w:rsidR="000A29DF" w:rsidRDefault="000A29DF" w:rsidP="000A29DF">
      <w:pPr>
        <w:spacing w:line="259" w:lineRule="auto"/>
        <w:rPr>
          <w:rFonts w:eastAsiaTheme="minorHAnsi"/>
          <w:sz w:val="22"/>
          <w:szCs w:val="22"/>
        </w:rPr>
      </w:pPr>
    </w:p>
    <w:p w14:paraId="010748EC" w14:textId="77777777" w:rsidR="000A29DF" w:rsidRDefault="000A29DF" w:rsidP="000A29DF">
      <w:pPr>
        <w:spacing w:line="259" w:lineRule="auto"/>
        <w:rPr>
          <w:rFonts w:eastAsiaTheme="minorHAnsi"/>
          <w:sz w:val="22"/>
          <w:szCs w:val="22"/>
        </w:rPr>
      </w:pPr>
    </w:p>
    <w:p w14:paraId="2FF37BB8" w14:textId="30748461" w:rsidR="000A29DF" w:rsidRDefault="000A29DF" w:rsidP="000A29DF">
      <w:pPr>
        <w:spacing w:line="259" w:lineRule="auto"/>
        <w:rPr>
          <w:b/>
          <w:bCs/>
          <w:sz w:val="22"/>
          <w:szCs w:val="22"/>
        </w:rPr>
      </w:pPr>
      <w:r w:rsidRPr="00296330">
        <w:rPr>
          <w:rFonts w:eastAsiaTheme="minorHAnsi"/>
          <w:sz w:val="22"/>
          <w:szCs w:val="22"/>
        </w:rPr>
        <w:t>Transforming Early Childhood Discipline Policy through Collaborative Research and Evaluation</w:t>
      </w:r>
    </w:p>
    <w:p w14:paraId="2ADE1132" w14:textId="77777777" w:rsidR="000A29DF" w:rsidRDefault="000A29DF" w:rsidP="000A29DF">
      <w:pPr>
        <w:spacing w:line="259" w:lineRule="auto"/>
        <w:jc w:val="center"/>
        <w:rPr>
          <w:b/>
          <w:bCs/>
          <w:sz w:val="22"/>
          <w:szCs w:val="22"/>
        </w:rPr>
      </w:pPr>
    </w:p>
    <w:p w14:paraId="24466C5B" w14:textId="77777777" w:rsidR="000A29DF" w:rsidRPr="003007AF" w:rsidRDefault="000A29DF" w:rsidP="000A29DF">
      <w:pPr>
        <w:spacing w:line="259" w:lineRule="auto"/>
        <w:jc w:val="center"/>
        <w:rPr>
          <w:bCs/>
          <w:sz w:val="22"/>
          <w:szCs w:val="22"/>
        </w:rPr>
      </w:pPr>
      <w:r w:rsidRPr="003007AF">
        <w:rPr>
          <w:bCs/>
          <w:sz w:val="22"/>
          <w:szCs w:val="22"/>
        </w:rPr>
        <w:t>H. Callie Silver</w:t>
      </w:r>
    </w:p>
    <w:p w14:paraId="3CB79395" w14:textId="4039D9A9" w:rsidR="000A29DF" w:rsidRDefault="000A29DF" w:rsidP="000A29DF">
      <w:pPr>
        <w:spacing w:line="259" w:lineRule="auto"/>
        <w:jc w:val="center"/>
        <w:rPr>
          <w:bCs/>
          <w:sz w:val="22"/>
          <w:szCs w:val="22"/>
        </w:rPr>
      </w:pPr>
      <w:r>
        <w:rPr>
          <w:bCs/>
          <w:sz w:val="22"/>
          <w:szCs w:val="22"/>
        </w:rPr>
        <w:t>Katherine M. Zinsser*</w:t>
      </w:r>
    </w:p>
    <w:p w14:paraId="69A5A1A1" w14:textId="77777777" w:rsidR="000A29DF" w:rsidRDefault="000A29DF" w:rsidP="000A29DF">
      <w:pPr>
        <w:spacing w:line="259" w:lineRule="auto"/>
        <w:jc w:val="center"/>
        <w:rPr>
          <w:bCs/>
          <w:sz w:val="22"/>
          <w:szCs w:val="22"/>
        </w:rPr>
      </w:pPr>
      <w:r>
        <w:rPr>
          <w:bCs/>
          <w:sz w:val="22"/>
          <w:szCs w:val="22"/>
        </w:rPr>
        <w:t>Courtney Ann Zulauf-McCurdy</w:t>
      </w:r>
    </w:p>
    <w:p w14:paraId="123689EA" w14:textId="77777777" w:rsidR="000A29DF" w:rsidRPr="003007AF" w:rsidRDefault="000A29DF" w:rsidP="000A29DF">
      <w:pPr>
        <w:spacing w:line="259" w:lineRule="auto"/>
        <w:jc w:val="center"/>
        <w:rPr>
          <w:bCs/>
          <w:i/>
          <w:sz w:val="22"/>
          <w:szCs w:val="22"/>
        </w:rPr>
      </w:pPr>
      <w:r w:rsidRPr="003007AF">
        <w:rPr>
          <w:bCs/>
          <w:i/>
          <w:sz w:val="22"/>
          <w:szCs w:val="22"/>
        </w:rPr>
        <w:t>University of Illinois at Chicago</w:t>
      </w:r>
    </w:p>
    <w:p w14:paraId="5155831D" w14:textId="77777777" w:rsidR="000A29DF" w:rsidRDefault="000A29DF" w:rsidP="000A29DF">
      <w:pPr>
        <w:spacing w:line="259" w:lineRule="auto"/>
        <w:jc w:val="center"/>
        <w:rPr>
          <w:bCs/>
          <w:sz w:val="22"/>
          <w:szCs w:val="22"/>
        </w:rPr>
      </w:pPr>
    </w:p>
    <w:p w14:paraId="5893D6B6" w14:textId="77777777" w:rsidR="000A29DF" w:rsidRDefault="000A29DF" w:rsidP="000A29DF">
      <w:pPr>
        <w:spacing w:line="259" w:lineRule="auto"/>
        <w:jc w:val="center"/>
        <w:rPr>
          <w:bCs/>
          <w:sz w:val="22"/>
          <w:szCs w:val="22"/>
        </w:rPr>
      </w:pPr>
      <w:r w:rsidRPr="003007AF">
        <w:rPr>
          <w:bCs/>
          <w:sz w:val="22"/>
          <w:szCs w:val="22"/>
        </w:rPr>
        <w:t>Allison Lowe-Fotos</w:t>
      </w:r>
    </w:p>
    <w:p w14:paraId="3AA0E287" w14:textId="7808E9E2" w:rsidR="000A29DF" w:rsidRDefault="004C67FD" w:rsidP="000A29DF">
      <w:pPr>
        <w:spacing w:line="259" w:lineRule="auto"/>
        <w:jc w:val="center"/>
        <w:rPr>
          <w:bCs/>
          <w:i/>
          <w:sz w:val="22"/>
          <w:szCs w:val="22"/>
        </w:rPr>
      </w:pPr>
      <w:r>
        <w:rPr>
          <w:bCs/>
          <w:i/>
          <w:sz w:val="22"/>
          <w:szCs w:val="22"/>
        </w:rPr>
        <w:t>Start Early</w:t>
      </w:r>
    </w:p>
    <w:p w14:paraId="491F29C9" w14:textId="77777777" w:rsidR="000A29DF" w:rsidRPr="003007AF" w:rsidRDefault="000A29DF" w:rsidP="000A29DF">
      <w:pPr>
        <w:spacing w:line="259" w:lineRule="auto"/>
        <w:jc w:val="center"/>
        <w:rPr>
          <w:bCs/>
          <w:i/>
          <w:sz w:val="22"/>
          <w:szCs w:val="22"/>
        </w:rPr>
      </w:pPr>
    </w:p>
    <w:p w14:paraId="4B92EE91" w14:textId="77777777" w:rsidR="000A29DF" w:rsidRDefault="000A29DF" w:rsidP="000A29DF">
      <w:pPr>
        <w:spacing w:line="259" w:lineRule="auto"/>
        <w:jc w:val="center"/>
        <w:rPr>
          <w:bCs/>
          <w:sz w:val="22"/>
          <w:szCs w:val="22"/>
        </w:rPr>
      </w:pPr>
      <w:r w:rsidRPr="003007AF">
        <w:rPr>
          <w:bCs/>
          <w:sz w:val="22"/>
          <w:szCs w:val="22"/>
        </w:rPr>
        <w:t>Maria Estlund</w:t>
      </w:r>
    </w:p>
    <w:p w14:paraId="5ED715C1" w14:textId="77777777" w:rsidR="000A29DF" w:rsidRDefault="000A29DF" w:rsidP="000A29DF">
      <w:pPr>
        <w:spacing w:line="259" w:lineRule="auto"/>
        <w:jc w:val="center"/>
        <w:rPr>
          <w:bCs/>
          <w:i/>
          <w:sz w:val="22"/>
          <w:szCs w:val="22"/>
        </w:rPr>
      </w:pPr>
      <w:r>
        <w:rPr>
          <w:bCs/>
          <w:i/>
          <w:sz w:val="22"/>
          <w:szCs w:val="22"/>
        </w:rPr>
        <w:t>Illinois Action for Children</w:t>
      </w:r>
    </w:p>
    <w:p w14:paraId="7C6A6839" w14:textId="77777777" w:rsidR="000A29DF" w:rsidRPr="003007AF" w:rsidRDefault="000A29DF" w:rsidP="000A29DF">
      <w:pPr>
        <w:spacing w:line="259" w:lineRule="auto"/>
        <w:jc w:val="center"/>
        <w:rPr>
          <w:bCs/>
          <w:i/>
          <w:sz w:val="22"/>
          <w:szCs w:val="22"/>
        </w:rPr>
      </w:pPr>
    </w:p>
    <w:p w14:paraId="192D4E1E" w14:textId="77777777" w:rsidR="000A29DF" w:rsidRDefault="000A29DF" w:rsidP="000A29DF">
      <w:pPr>
        <w:spacing w:line="259" w:lineRule="auto"/>
        <w:jc w:val="center"/>
        <w:rPr>
          <w:bCs/>
          <w:sz w:val="22"/>
          <w:szCs w:val="22"/>
        </w:rPr>
      </w:pPr>
      <w:r w:rsidRPr="003007AF">
        <w:rPr>
          <w:bCs/>
          <w:sz w:val="22"/>
          <w:szCs w:val="22"/>
        </w:rPr>
        <w:t>Lori Orr</w:t>
      </w:r>
    </w:p>
    <w:p w14:paraId="7A1A8EAA" w14:textId="77777777" w:rsidR="000A29DF" w:rsidRPr="003007AF" w:rsidRDefault="000A29DF" w:rsidP="000A29DF">
      <w:pPr>
        <w:spacing w:line="259" w:lineRule="auto"/>
        <w:jc w:val="center"/>
        <w:rPr>
          <w:bCs/>
          <w:i/>
          <w:sz w:val="22"/>
          <w:szCs w:val="22"/>
        </w:rPr>
      </w:pPr>
      <w:r w:rsidRPr="003007AF">
        <w:rPr>
          <w:bCs/>
          <w:i/>
          <w:sz w:val="22"/>
          <w:szCs w:val="22"/>
        </w:rPr>
        <w:t>Illinois Governor’s Office of Early Child Development</w:t>
      </w:r>
    </w:p>
    <w:p w14:paraId="67E011AE" w14:textId="77777777" w:rsidR="000A29DF" w:rsidRDefault="000A29DF" w:rsidP="000A29DF">
      <w:pPr>
        <w:spacing w:after="160" w:line="259" w:lineRule="auto"/>
        <w:rPr>
          <w:b/>
          <w:bCs/>
          <w:sz w:val="22"/>
          <w:szCs w:val="22"/>
        </w:rPr>
      </w:pPr>
    </w:p>
    <w:p w14:paraId="1A133F38" w14:textId="77777777" w:rsidR="000A29DF" w:rsidRDefault="000A29DF" w:rsidP="000A29DF">
      <w:pPr>
        <w:spacing w:after="160" w:line="259" w:lineRule="auto"/>
        <w:jc w:val="center"/>
        <w:rPr>
          <w:b/>
          <w:bCs/>
          <w:sz w:val="22"/>
          <w:szCs w:val="22"/>
        </w:rPr>
      </w:pPr>
    </w:p>
    <w:p w14:paraId="54B7EB7F" w14:textId="228404BF" w:rsidR="000A29DF" w:rsidRPr="007F3B47" w:rsidRDefault="000A29DF" w:rsidP="000A29DF">
      <w:pPr>
        <w:spacing w:line="259" w:lineRule="auto"/>
        <w:rPr>
          <w:bCs/>
          <w:sz w:val="22"/>
          <w:szCs w:val="22"/>
        </w:rPr>
      </w:pPr>
      <w:r w:rsidRPr="007F3B47">
        <w:rPr>
          <w:bCs/>
          <w:sz w:val="22"/>
          <w:szCs w:val="22"/>
        </w:rPr>
        <w:t>Use this citation:</w:t>
      </w:r>
    </w:p>
    <w:p w14:paraId="3DB6E8CE" w14:textId="2C77136D" w:rsidR="007F3B47" w:rsidRDefault="007F3B47" w:rsidP="007F3B47">
      <w:pPr>
        <w:spacing w:line="259" w:lineRule="auto"/>
        <w:ind w:left="720" w:hanging="720"/>
      </w:pPr>
      <w:r w:rsidRPr="007F3B47">
        <w:rPr>
          <w:color w:val="333333"/>
          <w:sz w:val="21"/>
          <w:szCs w:val="21"/>
          <w:shd w:val="clear" w:color="auto" w:fill="FFFFFF"/>
        </w:rPr>
        <w:t>Silver, H. C., </w:t>
      </w:r>
      <w:r>
        <w:rPr>
          <w:color w:val="333333"/>
          <w:sz w:val="21"/>
          <w:szCs w:val="21"/>
          <w:shd w:val="clear" w:color="auto" w:fill="FFFFFF"/>
        </w:rPr>
        <w:t>Zinsser</w:t>
      </w:r>
      <w:r w:rsidRPr="007F3B47">
        <w:rPr>
          <w:color w:val="333333"/>
          <w:sz w:val="21"/>
          <w:szCs w:val="21"/>
          <w:shd w:val="clear" w:color="auto" w:fill="FFFFFF"/>
        </w:rPr>
        <w:t>, K. M., Zulauf-McCurdy, C. A., Lowe-Fotos, A., Orr, L., &amp; Estlund, M. (2021). Transforming early childhood discipline policy through collaborative research and evaluation. </w:t>
      </w:r>
      <w:r w:rsidRPr="007F3B47">
        <w:rPr>
          <w:rStyle w:val="Emphasis"/>
          <w:rFonts w:eastAsia="Calibri"/>
          <w:color w:val="333333"/>
          <w:sz w:val="21"/>
          <w:szCs w:val="21"/>
          <w:shd w:val="clear" w:color="auto" w:fill="FFFFFF"/>
        </w:rPr>
        <w:t>Translational Issues in Psychological Science.</w:t>
      </w:r>
      <w:r w:rsidRPr="007F3B47">
        <w:rPr>
          <w:color w:val="333333"/>
          <w:sz w:val="21"/>
          <w:szCs w:val="21"/>
          <w:shd w:val="clear" w:color="auto" w:fill="FFFFFF"/>
        </w:rPr>
        <w:t> Advance online publication. </w:t>
      </w:r>
      <w:hyperlink r:id="rId8" w:tgtFrame="_blank" w:history="1">
        <w:r w:rsidRPr="007F3B47">
          <w:rPr>
            <w:rStyle w:val="Hyperlink"/>
            <w:color w:val="337AB7"/>
            <w:sz w:val="21"/>
            <w:szCs w:val="21"/>
            <w:shd w:val="clear" w:color="auto" w:fill="FFFFFF"/>
          </w:rPr>
          <w:t>https://doi.org/10.1037/tps0000279</w:t>
        </w:r>
      </w:hyperlink>
    </w:p>
    <w:p w14:paraId="08CFE0F8" w14:textId="77777777" w:rsidR="007F3B47" w:rsidRDefault="007F3B47" w:rsidP="007F3B47">
      <w:pPr>
        <w:spacing w:line="259" w:lineRule="auto"/>
        <w:ind w:left="720" w:hanging="720"/>
      </w:pPr>
    </w:p>
    <w:p w14:paraId="12414FAC" w14:textId="6BFA680C" w:rsidR="007F3B47" w:rsidRPr="007F3B47" w:rsidRDefault="007F3B47" w:rsidP="007F3B47">
      <w:pPr>
        <w:spacing w:line="259" w:lineRule="auto"/>
        <w:ind w:left="720" w:hanging="720"/>
        <w:rPr>
          <w:b/>
          <w:bCs/>
          <w:sz w:val="20"/>
          <w:szCs w:val="22"/>
        </w:rPr>
      </w:pPr>
      <w:r w:rsidRPr="007F3B47">
        <w:rPr>
          <w:rStyle w:val="Strong"/>
          <w:b w:val="0"/>
          <w:color w:val="000000"/>
          <w:sz w:val="22"/>
          <w:bdr w:val="none" w:sz="0" w:space="0" w:color="auto" w:frame="1"/>
          <w:shd w:val="clear" w:color="auto" w:fill="FFFFFF"/>
        </w:rPr>
        <w:t>©Americ</w:t>
      </w:r>
      <w:r>
        <w:rPr>
          <w:rStyle w:val="Strong"/>
          <w:b w:val="0"/>
          <w:color w:val="000000"/>
          <w:sz w:val="22"/>
          <w:bdr w:val="none" w:sz="0" w:space="0" w:color="auto" w:frame="1"/>
          <w:shd w:val="clear" w:color="auto" w:fill="FFFFFF"/>
        </w:rPr>
        <w:t>an Psychological Association, 2021</w:t>
      </w:r>
      <w:r w:rsidRPr="007F3B47">
        <w:rPr>
          <w:rStyle w:val="Strong"/>
          <w:b w:val="0"/>
          <w:color w:val="000000"/>
          <w:sz w:val="22"/>
          <w:bdr w:val="none" w:sz="0" w:space="0" w:color="auto" w:frame="1"/>
          <w:shd w:val="clear" w:color="auto" w:fill="FFFFFF"/>
        </w:rPr>
        <w:t>. This paper is not the copy of record and may not exactly replicate the authoritative document published in the APA journal. Please do not copy or cite without author's permission. The final article is av</w:t>
      </w:r>
      <w:r>
        <w:rPr>
          <w:rStyle w:val="Strong"/>
          <w:b w:val="0"/>
          <w:color w:val="000000"/>
          <w:sz w:val="22"/>
          <w:bdr w:val="none" w:sz="0" w:space="0" w:color="auto" w:frame="1"/>
          <w:shd w:val="clear" w:color="auto" w:fill="FFFFFF"/>
        </w:rPr>
        <w:t xml:space="preserve">ailable, upon publication, at: </w:t>
      </w:r>
      <w:hyperlink r:id="rId9" w:tgtFrame="_blank" w:history="1">
        <w:r w:rsidRPr="007F3B47">
          <w:rPr>
            <w:rStyle w:val="Hyperlink"/>
            <w:color w:val="337AB7"/>
            <w:sz w:val="21"/>
            <w:szCs w:val="21"/>
            <w:shd w:val="clear" w:color="auto" w:fill="FFFFFF"/>
          </w:rPr>
          <w:t>https://doi.org/10.1037/tps0000279</w:t>
        </w:r>
      </w:hyperlink>
    </w:p>
    <w:p w14:paraId="4E80D5E5" w14:textId="109E043B" w:rsidR="000A29DF" w:rsidRPr="000A29DF" w:rsidRDefault="000A29DF" w:rsidP="000A29DF">
      <w:pPr>
        <w:spacing w:after="160" w:line="259" w:lineRule="auto"/>
        <w:rPr>
          <w:bCs/>
          <w:sz w:val="22"/>
          <w:szCs w:val="22"/>
        </w:rPr>
      </w:pPr>
    </w:p>
    <w:p w14:paraId="3D794A80" w14:textId="0B65A207" w:rsidR="000A29DF" w:rsidRPr="003007AF" w:rsidRDefault="000A29DF" w:rsidP="000A29DF">
      <w:pPr>
        <w:spacing w:after="160" w:line="259" w:lineRule="auto"/>
        <w:rPr>
          <w:bCs/>
          <w:sz w:val="22"/>
          <w:szCs w:val="22"/>
        </w:rPr>
      </w:pPr>
      <w:r w:rsidRPr="003007AF">
        <w:rPr>
          <w:bCs/>
          <w:sz w:val="22"/>
          <w:szCs w:val="22"/>
        </w:rPr>
        <w:t>*</w:t>
      </w:r>
      <w:r>
        <w:rPr>
          <w:bCs/>
          <w:sz w:val="22"/>
          <w:szCs w:val="22"/>
        </w:rPr>
        <w:t xml:space="preserve">All inquiries about this study and the </w:t>
      </w:r>
      <w:r w:rsidRPr="003007AF">
        <w:rPr>
          <w:bCs/>
          <w:sz w:val="22"/>
          <w:szCs w:val="22"/>
        </w:rPr>
        <w:t xml:space="preserve">content of this </w:t>
      </w:r>
      <w:r>
        <w:rPr>
          <w:bCs/>
          <w:sz w:val="22"/>
          <w:szCs w:val="22"/>
        </w:rPr>
        <w:t>post</w:t>
      </w:r>
      <w:r w:rsidRPr="003007AF">
        <w:rPr>
          <w:bCs/>
          <w:sz w:val="22"/>
          <w:szCs w:val="22"/>
        </w:rPr>
        <w:t>-print</w:t>
      </w:r>
      <w:r>
        <w:rPr>
          <w:bCs/>
          <w:sz w:val="22"/>
          <w:szCs w:val="22"/>
        </w:rPr>
        <w:t xml:space="preserve"> </w:t>
      </w:r>
      <w:r w:rsidRPr="003007AF">
        <w:rPr>
          <w:bCs/>
          <w:sz w:val="22"/>
          <w:szCs w:val="22"/>
        </w:rPr>
        <w:t xml:space="preserve">should be directed to the project’s principal investigator, Dr. Kate Zinsser. </w:t>
      </w:r>
      <w:hyperlink r:id="rId10" w:history="1">
        <w:r w:rsidRPr="003007AF">
          <w:rPr>
            <w:rStyle w:val="Hyperlink"/>
            <w:bCs/>
            <w:sz w:val="22"/>
            <w:szCs w:val="22"/>
          </w:rPr>
          <w:t>kinsser@uic.edu</w:t>
        </w:r>
      </w:hyperlink>
      <w:r w:rsidRPr="003007AF">
        <w:rPr>
          <w:bCs/>
          <w:sz w:val="22"/>
          <w:szCs w:val="22"/>
        </w:rPr>
        <w:t xml:space="preserve"> </w:t>
      </w:r>
    </w:p>
    <w:p w14:paraId="0BD66E0D" w14:textId="528D4616" w:rsidR="001E03E5" w:rsidRDefault="000A29DF" w:rsidP="007F3B47">
      <w:pPr>
        <w:spacing w:after="160" w:line="259" w:lineRule="auto"/>
        <w:jc w:val="center"/>
        <w:rPr>
          <w:b/>
          <w:bCs/>
          <w:sz w:val="22"/>
          <w:szCs w:val="22"/>
        </w:rPr>
      </w:pPr>
      <w:r>
        <w:rPr>
          <w:b/>
          <w:bCs/>
          <w:sz w:val="22"/>
          <w:szCs w:val="22"/>
        </w:rPr>
        <w:br w:type="page"/>
      </w:r>
      <w:r w:rsidR="00243071" w:rsidRPr="00296330">
        <w:rPr>
          <w:b/>
          <w:bCs/>
          <w:sz w:val="22"/>
          <w:szCs w:val="22"/>
        </w:rPr>
        <w:lastRenderedPageBreak/>
        <w:t>Abstract</w:t>
      </w:r>
    </w:p>
    <w:p w14:paraId="0A283677" w14:textId="77777777" w:rsidR="00BC2FC7" w:rsidRPr="00296330" w:rsidRDefault="00BC2FC7" w:rsidP="001205A3">
      <w:pPr>
        <w:spacing w:line="259" w:lineRule="auto"/>
        <w:jc w:val="center"/>
        <w:rPr>
          <w:b/>
          <w:bCs/>
          <w:sz w:val="22"/>
          <w:szCs w:val="22"/>
        </w:rPr>
      </w:pPr>
    </w:p>
    <w:p w14:paraId="479D4DB6" w14:textId="16E5782E" w:rsidR="001E03E5" w:rsidRPr="00296330" w:rsidRDefault="001E03E5">
      <w:pPr>
        <w:spacing w:line="480" w:lineRule="auto"/>
        <w:ind w:firstLine="720"/>
        <w:rPr>
          <w:sz w:val="22"/>
          <w:szCs w:val="22"/>
        </w:rPr>
      </w:pPr>
      <w:r w:rsidRPr="00296330">
        <w:rPr>
          <w:sz w:val="22"/>
          <w:szCs w:val="22"/>
        </w:rPr>
        <w:t>Nationwide, 17,000 three- and four-year old children are expelled or suspended from preschool each year (</w:t>
      </w:r>
      <w:r w:rsidR="00D73628">
        <w:rPr>
          <w:sz w:val="22"/>
          <w:szCs w:val="22"/>
        </w:rPr>
        <w:t xml:space="preserve">Zeng, </w:t>
      </w:r>
      <w:proofErr w:type="spellStart"/>
      <w:r w:rsidR="00D73628">
        <w:rPr>
          <w:sz w:val="22"/>
          <w:szCs w:val="22"/>
        </w:rPr>
        <w:t>Corr</w:t>
      </w:r>
      <w:proofErr w:type="spellEnd"/>
      <w:r w:rsidR="00D73628">
        <w:rPr>
          <w:sz w:val="22"/>
          <w:szCs w:val="22"/>
        </w:rPr>
        <w:t>, O’Grady, &amp; Guan, 2019</w:t>
      </w:r>
      <w:r w:rsidRPr="00296330">
        <w:rPr>
          <w:sz w:val="22"/>
          <w:szCs w:val="22"/>
        </w:rPr>
        <w:t xml:space="preserve">). In response, advocates and researchers have called on policymakers to implement policies and legislation to prevent our youngest learners from entering the ‘preschool-to-prison pipeline’ before they have even begun formal schooling. This </w:t>
      </w:r>
      <w:r w:rsidR="009B509F" w:rsidRPr="00296330">
        <w:rPr>
          <w:sz w:val="22"/>
          <w:szCs w:val="22"/>
        </w:rPr>
        <w:t>paper</w:t>
      </w:r>
      <w:r w:rsidRPr="00296330">
        <w:rPr>
          <w:sz w:val="22"/>
          <w:szCs w:val="22"/>
        </w:rPr>
        <w:t xml:space="preserve">, co-authored by a team of academic researchers, advocates, and </w:t>
      </w:r>
      <w:bookmarkStart w:id="0" w:name="_GoBack"/>
      <w:bookmarkEnd w:id="0"/>
      <w:r w:rsidRPr="00296330">
        <w:rPr>
          <w:sz w:val="22"/>
          <w:szCs w:val="22"/>
        </w:rPr>
        <w:t xml:space="preserve">policymakers, </w:t>
      </w:r>
      <w:r w:rsidR="00323AFD" w:rsidRPr="00296330">
        <w:rPr>
          <w:sz w:val="22"/>
          <w:szCs w:val="22"/>
        </w:rPr>
        <w:t>includes</w:t>
      </w:r>
      <w:r w:rsidRPr="00296330">
        <w:rPr>
          <w:sz w:val="22"/>
          <w:szCs w:val="22"/>
        </w:rPr>
        <w:t xml:space="preserve"> findings from a multi-method, longitudinal study of the implementation of one state’s approach to curtailing early childhood expulsion, Illinois Public Act 100-0105. </w:t>
      </w:r>
      <w:r w:rsidR="00E66B31" w:rsidRPr="00296330">
        <w:rPr>
          <w:sz w:val="22"/>
          <w:szCs w:val="22"/>
        </w:rPr>
        <w:t>Original survey and interview data was collected for this study from early childhood program administrators throughout the state. Our findings have already been used to enhance practice, policy, and dissemination efforts, while also documenting barriers and a need for more data. By sharing how our</w:t>
      </w:r>
      <w:r w:rsidRPr="00296330">
        <w:rPr>
          <w:sz w:val="22"/>
          <w:szCs w:val="22"/>
        </w:rPr>
        <w:t xml:space="preserve"> multidisciplinary coalition </w:t>
      </w:r>
      <w:r w:rsidR="00FC1BC3" w:rsidRPr="00296330">
        <w:rPr>
          <w:sz w:val="22"/>
          <w:szCs w:val="22"/>
        </w:rPr>
        <w:t xml:space="preserve">collaborated </w:t>
      </w:r>
      <w:r w:rsidRPr="00296330">
        <w:rPr>
          <w:sz w:val="22"/>
          <w:szCs w:val="22"/>
        </w:rPr>
        <w:t>to collect, interpret, disseminate, and translate findings from this study</w:t>
      </w:r>
      <w:r w:rsidR="00E66B31" w:rsidRPr="00296330">
        <w:rPr>
          <w:sz w:val="22"/>
          <w:szCs w:val="22"/>
        </w:rPr>
        <w:t xml:space="preserve">, </w:t>
      </w:r>
      <w:r w:rsidRPr="00296330">
        <w:rPr>
          <w:sz w:val="22"/>
          <w:szCs w:val="22"/>
        </w:rPr>
        <w:t xml:space="preserve">we hope to inform the development of collaborative partnerships in the study of similar policies in other jurisdictions. </w:t>
      </w:r>
    </w:p>
    <w:p w14:paraId="7A4DFAB7" w14:textId="77777777" w:rsidR="00891594" w:rsidRPr="00296330" w:rsidRDefault="00891594">
      <w:pPr>
        <w:spacing w:line="480" w:lineRule="auto"/>
        <w:rPr>
          <w:i/>
          <w:sz w:val="22"/>
          <w:szCs w:val="22"/>
        </w:rPr>
      </w:pPr>
    </w:p>
    <w:p w14:paraId="7169A16A" w14:textId="79923D7E" w:rsidR="001E03E5" w:rsidRPr="00296330" w:rsidRDefault="001E03E5">
      <w:pPr>
        <w:spacing w:line="480" w:lineRule="auto"/>
        <w:rPr>
          <w:sz w:val="22"/>
          <w:szCs w:val="22"/>
        </w:rPr>
      </w:pPr>
      <w:r w:rsidRPr="00296330">
        <w:rPr>
          <w:i/>
          <w:sz w:val="22"/>
          <w:szCs w:val="22"/>
        </w:rPr>
        <w:t xml:space="preserve">Keywords: </w:t>
      </w:r>
      <w:r w:rsidRPr="00296330">
        <w:rPr>
          <w:sz w:val="22"/>
          <w:szCs w:val="22"/>
        </w:rPr>
        <w:t>Expulsion, early childhood, policy</w:t>
      </w:r>
      <w:r w:rsidR="00322316" w:rsidRPr="00296330">
        <w:rPr>
          <w:sz w:val="22"/>
          <w:szCs w:val="22"/>
        </w:rPr>
        <w:t xml:space="preserve"> </w:t>
      </w:r>
      <w:r w:rsidRPr="00296330">
        <w:rPr>
          <w:sz w:val="22"/>
          <w:szCs w:val="22"/>
        </w:rPr>
        <w:t>implementation, multidisciplinary coalition, equity</w:t>
      </w:r>
    </w:p>
    <w:p w14:paraId="1411BAB5" w14:textId="77777777" w:rsidR="00891594" w:rsidRPr="00296330" w:rsidRDefault="00891594">
      <w:pPr>
        <w:spacing w:line="480" w:lineRule="auto"/>
        <w:rPr>
          <w:bCs/>
          <w:i/>
          <w:iCs/>
          <w:sz w:val="22"/>
          <w:szCs w:val="22"/>
        </w:rPr>
      </w:pPr>
    </w:p>
    <w:p w14:paraId="77E5C71A" w14:textId="50E100E1" w:rsidR="00891594" w:rsidRPr="00296330" w:rsidRDefault="001E03E5">
      <w:pPr>
        <w:spacing w:line="480" w:lineRule="auto"/>
        <w:rPr>
          <w:bCs/>
          <w:sz w:val="22"/>
          <w:szCs w:val="22"/>
        </w:rPr>
      </w:pPr>
      <w:r w:rsidRPr="00296330">
        <w:rPr>
          <w:bCs/>
          <w:i/>
          <w:iCs/>
          <w:sz w:val="22"/>
          <w:szCs w:val="22"/>
        </w:rPr>
        <w:t xml:space="preserve">Public </w:t>
      </w:r>
      <w:r w:rsidR="00DD10A2" w:rsidRPr="00296330">
        <w:rPr>
          <w:bCs/>
          <w:i/>
          <w:iCs/>
          <w:sz w:val="22"/>
          <w:szCs w:val="22"/>
        </w:rPr>
        <w:t>Significance S</w:t>
      </w:r>
      <w:r w:rsidRPr="00296330">
        <w:rPr>
          <w:bCs/>
          <w:i/>
          <w:iCs/>
          <w:sz w:val="22"/>
          <w:szCs w:val="22"/>
        </w:rPr>
        <w:t>tatement:</w:t>
      </w:r>
      <w:r w:rsidR="00893FC7" w:rsidRPr="00296330">
        <w:rPr>
          <w:bCs/>
          <w:i/>
          <w:iCs/>
          <w:sz w:val="22"/>
          <w:szCs w:val="22"/>
        </w:rPr>
        <w:t xml:space="preserve"> </w:t>
      </w:r>
      <w:r w:rsidR="00891594" w:rsidRPr="00296330">
        <w:rPr>
          <w:bCs/>
          <w:iCs/>
          <w:sz w:val="22"/>
          <w:szCs w:val="22"/>
        </w:rPr>
        <w:t xml:space="preserve">This report describes the experiences of a multidisciplinary team seeking to end the expulsion of young children from child care and preschool programs in Illinois. </w:t>
      </w:r>
      <w:r w:rsidR="00891594" w:rsidRPr="00296330">
        <w:rPr>
          <w:bCs/>
          <w:sz w:val="22"/>
          <w:szCs w:val="22"/>
        </w:rPr>
        <w:t>Through our iterative collaboration</w:t>
      </w:r>
      <w:r w:rsidR="00A8250D">
        <w:rPr>
          <w:bCs/>
          <w:sz w:val="22"/>
          <w:szCs w:val="22"/>
        </w:rPr>
        <w:t>,</w:t>
      </w:r>
      <w:r w:rsidR="00891594" w:rsidRPr="00296330">
        <w:rPr>
          <w:bCs/>
          <w:sz w:val="22"/>
          <w:szCs w:val="22"/>
        </w:rPr>
        <w:t xml:space="preserve"> research on the implementation of a new legislation was translated and disseminated to stakeholders reducing unintended consequences and supporting children and programs state-wide. </w:t>
      </w:r>
    </w:p>
    <w:p w14:paraId="681E50A6" w14:textId="77777777" w:rsidR="00891594" w:rsidRPr="00296330" w:rsidRDefault="00891594" w:rsidP="001205A3">
      <w:pPr>
        <w:spacing w:line="259" w:lineRule="auto"/>
        <w:rPr>
          <w:bCs/>
          <w:sz w:val="22"/>
          <w:szCs w:val="22"/>
        </w:rPr>
      </w:pPr>
      <w:r w:rsidRPr="00296330">
        <w:rPr>
          <w:bCs/>
          <w:sz w:val="22"/>
          <w:szCs w:val="22"/>
        </w:rPr>
        <w:br w:type="page"/>
      </w:r>
    </w:p>
    <w:p w14:paraId="71F38BB6" w14:textId="58EF335C" w:rsidR="0079041D" w:rsidRDefault="0079041D" w:rsidP="0079041D">
      <w:pPr>
        <w:spacing w:line="259" w:lineRule="auto"/>
        <w:jc w:val="center"/>
        <w:rPr>
          <w:rFonts w:eastAsiaTheme="minorHAnsi"/>
          <w:sz w:val="22"/>
          <w:szCs w:val="22"/>
        </w:rPr>
      </w:pPr>
      <w:r w:rsidRPr="00296330">
        <w:rPr>
          <w:rFonts w:eastAsiaTheme="minorHAnsi"/>
          <w:sz w:val="22"/>
          <w:szCs w:val="22"/>
        </w:rPr>
        <w:lastRenderedPageBreak/>
        <w:t>Transforming Early Childhood Discipline Policy through Collaborative Research and Evaluation</w:t>
      </w:r>
    </w:p>
    <w:p w14:paraId="6B923520" w14:textId="77777777" w:rsidR="005F38D5" w:rsidRDefault="005F38D5" w:rsidP="0079041D">
      <w:pPr>
        <w:spacing w:line="259" w:lineRule="auto"/>
        <w:jc w:val="center"/>
        <w:rPr>
          <w:b/>
          <w:bCs/>
          <w:sz w:val="22"/>
          <w:szCs w:val="22"/>
        </w:rPr>
      </w:pPr>
    </w:p>
    <w:p w14:paraId="324DDC39" w14:textId="77777777" w:rsidR="0079041D" w:rsidRPr="0079041D" w:rsidRDefault="0079041D" w:rsidP="0079041D">
      <w:pPr>
        <w:spacing w:line="259" w:lineRule="auto"/>
        <w:jc w:val="center"/>
        <w:rPr>
          <w:b/>
          <w:bCs/>
          <w:sz w:val="22"/>
          <w:szCs w:val="22"/>
        </w:rPr>
      </w:pPr>
    </w:p>
    <w:p w14:paraId="2AD762D2" w14:textId="4B03F5A5" w:rsidR="00A31871" w:rsidRPr="00296330" w:rsidRDefault="00FE2A15">
      <w:pPr>
        <w:spacing w:line="480" w:lineRule="auto"/>
        <w:ind w:firstLine="720"/>
        <w:rPr>
          <w:sz w:val="22"/>
          <w:szCs w:val="22"/>
        </w:rPr>
      </w:pPr>
      <w:r w:rsidRPr="00296330">
        <w:rPr>
          <w:sz w:val="22"/>
          <w:szCs w:val="22"/>
        </w:rPr>
        <w:t xml:space="preserve">Recent reports have uncovered a crisis in our nation’s early childhood </w:t>
      </w:r>
      <w:r w:rsidR="00D8758A" w:rsidRPr="00296330">
        <w:rPr>
          <w:sz w:val="22"/>
          <w:szCs w:val="22"/>
        </w:rPr>
        <w:t xml:space="preserve">care and </w:t>
      </w:r>
      <w:r w:rsidRPr="00296330">
        <w:rPr>
          <w:sz w:val="22"/>
          <w:szCs w:val="22"/>
        </w:rPr>
        <w:t xml:space="preserve">education </w:t>
      </w:r>
      <w:r w:rsidR="00D8758A" w:rsidRPr="00296330">
        <w:rPr>
          <w:sz w:val="22"/>
          <w:szCs w:val="22"/>
        </w:rPr>
        <w:t xml:space="preserve">(ECCE) </w:t>
      </w:r>
      <w:r w:rsidRPr="00296330">
        <w:rPr>
          <w:sz w:val="22"/>
          <w:szCs w:val="22"/>
        </w:rPr>
        <w:t>program</w:t>
      </w:r>
      <w:r w:rsidR="008641D3" w:rsidRPr="00296330">
        <w:rPr>
          <w:sz w:val="22"/>
          <w:szCs w:val="22"/>
        </w:rPr>
        <w:t>s</w:t>
      </w:r>
      <w:r w:rsidRPr="00296330">
        <w:rPr>
          <w:sz w:val="22"/>
          <w:szCs w:val="22"/>
        </w:rPr>
        <w:t xml:space="preserve"> – hundreds of children are being expelled from </w:t>
      </w:r>
      <w:r w:rsidR="00C443C7" w:rsidRPr="00296330">
        <w:rPr>
          <w:sz w:val="22"/>
          <w:szCs w:val="22"/>
        </w:rPr>
        <w:t xml:space="preserve">public </w:t>
      </w:r>
      <w:r w:rsidRPr="00296330">
        <w:rPr>
          <w:sz w:val="22"/>
          <w:szCs w:val="22"/>
        </w:rPr>
        <w:t xml:space="preserve">preschools and </w:t>
      </w:r>
      <w:r w:rsidR="00C443C7" w:rsidRPr="00296330">
        <w:rPr>
          <w:sz w:val="22"/>
          <w:szCs w:val="22"/>
        </w:rPr>
        <w:t xml:space="preserve">private </w:t>
      </w:r>
      <w:r w:rsidRPr="00296330">
        <w:rPr>
          <w:sz w:val="22"/>
          <w:szCs w:val="22"/>
        </w:rPr>
        <w:t xml:space="preserve">child care </w:t>
      </w:r>
      <w:r w:rsidR="00C443C7" w:rsidRPr="00296330">
        <w:rPr>
          <w:sz w:val="22"/>
          <w:szCs w:val="22"/>
        </w:rPr>
        <w:t>programs</w:t>
      </w:r>
      <w:r w:rsidRPr="00296330">
        <w:rPr>
          <w:sz w:val="22"/>
          <w:szCs w:val="22"/>
        </w:rPr>
        <w:t xml:space="preserve"> each day, often for </w:t>
      </w:r>
      <w:r w:rsidR="008641D3" w:rsidRPr="00296330">
        <w:rPr>
          <w:sz w:val="22"/>
          <w:szCs w:val="22"/>
        </w:rPr>
        <w:t xml:space="preserve">behavior that is developmentally </w:t>
      </w:r>
      <w:r w:rsidR="00B61623" w:rsidRPr="00296330">
        <w:rPr>
          <w:sz w:val="22"/>
          <w:szCs w:val="22"/>
        </w:rPr>
        <w:t>typical</w:t>
      </w:r>
      <w:r w:rsidR="008641D3" w:rsidRPr="00296330">
        <w:rPr>
          <w:sz w:val="22"/>
          <w:szCs w:val="22"/>
        </w:rPr>
        <w:t xml:space="preserve"> (National Survey of Children’s Health, 2016). </w:t>
      </w:r>
      <w:r w:rsidR="00742E46">
        <w:rPr>
          <w:sz w:val="22"/>
          <w:szCs w:val="22"/>
        </w:rPr>
        <w:t>T</w:t>
      </w:r>
      <w:r w:rsidR="008641D3" w:rsidRPr="00296330">
        <w:rPr>
          <w:sz w:val="22"/>
          <w:szCs w:val="22"/>
        </w:rPr>
        <w:t xml:space="preserve">he rate of expulsion </w:t>
      </w:r>
      <w:r w:rsidR="00742E46">
        <w:rPr>
          <w:sz w:val="22"/>
          <w:szCs w:val="22"/>
        </w:rPr>
        <w:t xml:space="preserve">from U.S. public </w:t>
      </w:r>
      <w:r w:rsidR="00742E46" w:rsidRPr="0016442C">
        <w:rPr>
          <w:sz w:val="22"/>
          <w:szCs w:val="22"/>
        </w:rPr>
        <w:t>preschool</w:t>
      </w:r>
      <w:r w:rsidR="00742E46">
        <w:rPr>
          <w:sz w:val="22"/>
          <w:szCs w:val="22"/>
        </w:rPr>
        <w:t>s</w:t>
      </w:r>
      <w:r w:rsidR="00742E46" w:rsidRPr="0016442C">
        <w:rPr>
          <w:sz w:val="22"/>
          <w:szCs w:val="22"/>
        </w:rPr>
        <w:t xml:space="preserve"> </w:t>
      </w:r>
      <w:r w:rsidR="008641D3" w:rsidRPr="00296330">
        <w:rPr>
          <w:sz w:val="22"/>
          <w:szCs w:val="22"/>
        </w:rPr>
        <w:t xml:space="preserve">is </w:t>
      </w:r>
      <w:r w:rsidR="00742E46">
        <w:rPr>
          <w:sz w:val="22"/>
          <w:szCs w:val="22"/>
        </w:rPr>
        <w:t xml:space="preserve">consistently </w:t>
      </w:r>
      <w:r w:rsidR="008641D3" w:rsidRPr="00296330">
        <w:rPr>
          <w:sz w:val="22"/>
          <w:szCs w:val="22"/>
        </w:rPr>
        <w:t>three-times that o</w:t>
      </w:r>
      <w:r w:rsidR="00A50DF9" w:rsidRPr="00296330">
        <w:rPr>
          <w:sz w:val="22"/>
          <w:szCs w:val="22"/>
        </w:rPr>
        <w:t>f students in grades K-</w:t>
      </w:r>
      <w:r w:rsidR="008641D3" w:rsidRPr="00296330">
        <w:rPr>
          <w:sz w:val="22"/>
          <w:szCs w:val="22"/>
        </w:rPr>
        <w:t>12 combined</w:t>
      </w:r>
      <w:r w:rsidR="009E38D4" w:rsidRPr="00296330">
        <w:rPr>
          <w:sz w:val="22"/>
          <w:szCs w:val="22"/>
        </w:rPr>
        <w:t xml:space="preserve"> (</w:t>
      </w:r>
      <w:r w:rsidR="002B77CC" w:rsidRPr="00296330">
        <w:rPr>
          <w:sz w:val="22"/>
          <w:szCs w:val="22"/>
        </w:rPr>
        <w:t>Gilliam, 2005</w:t>
      </w:r>
      <w:r w:rsidR="00A50DF9" w:rsidRPr="00296330">
        <w:rPr>
          <w:sz w:val="22"/>
          <w:szCs w:val="22"/>
        </w:rPr>
        <w:t>; U.S. Department of Education, 2016</w:t>
      </w:r>
      <w:r w:rsidR="009E38D4" w:rsidRPr="00296330">
        <w:rPr>
          <w:sz w:val="22"/>
          <w:szCs w:val="22"/>
        </w:rPr>
        <w:t>)</w:t>
      </w:r>
      <w:r w:rsidR="00771B7B" w:rsidRPr="00296330">
        <w:rPr>
          <w:sz w:val="22"/>
          <w:szCs w:val="22"/>
        </w:rPr>
        <w:t>.</w:t>
      </w:r>
      <w:r w:rsidR="008641D3" w:rsidRPr="00296330">
        <w:rPr>
          <w:sz w:val="22"/>
          <w:szCs w:val="22"/>
        </w:rPr>
        <w:t xml:space="preserve"> In response, </w:t>
      </w:r>
      <w:r w:rsidR="008C6501" w:rsidRPr="00296330">
        <w:rPr>
          <w:sz w:val="22"/>
          <w:szCs w:val="22"/>
        </w:rPr>
        <w:t xml:space="preserve">the </w:t>
      </w:r>
      <w:r w:rsidR="001222CC" w:rsidRPr="00296330">
        <w:rPr>
          <w:sz w:val="22"/>
          <w:szCs w:val="22"/>
        </w:rPr>
        <w:t>ECCE</w:t>
      </w:r>
      <w:r w:rsidR="008C6501" w:rsidRPr="00296330">
        <w:rPr>
          <w:sz w:val="22"/>
          <w:szCs w:val="22"/>
        </w:rPr>
        <w:t xml:space="preserve"> community has demanded</w:t>
      </w:r>
      <w:r w:rsidR="00771B7B" w:rsidRPr="00296330">
        <w:rPr>
          <w:sz w:val="22"/>
          <w:szCs w:val="22"/>
        </w:rPr>
        <w:t xml:space="preserve"> policies to prevent </w:t>
      </w:r>
      <w:r w:rsidR="008C6501" w:rsidRPr="00296330">
        <w:rPr>
          <w:sz w:val="22"/>
          <w:szCs w:val="22"/>
        </w:rPr>
        <w:t xml:space="preserve">this </w:t>
      </w:r>
      <w:r w:rsidR="00C443C7" w:rsidRPr="00296330">
        <w:rPr>
          <w:sz w:val="22"/>
          <w:szCs w:val="22"/>
        </w:rPr>
        <w:t>practice</w:t>
      </w:r>
      <w:r w:rsidR="00771B7B" w:rsidRPr="00296330">
        <w:rPr>
          <w:sz w:val="22"/>
          <w:szCs w:val="22"/>
        </w:rPr>
        <w:t xml:space="preserve">. </w:t>
      </w:r>
      <w:r w:rsidR="00A236AB" w:rsidRPr="00296330">
        <w:rPr>
          <w:sz w:val="22"/>
          <w:szCs w:val="22"/>
        </w:rPr>
        <w:t>Although there is ample evidence that exclusionary discipline</w:t>
      </w:r>
      <w:r w:rsidR="00B555A4" w:rsidRPr="00296330">
        <w:rPr>
          <w:sz w:val="22"/>
          <w:szCs w:val="22"/>
        </w:rPr>
        <w:t xml:space="preserve"> (i.e., suspension and expulsion)</w:t>
      </w:r>
      <w:r w:rsidR="00A236AB" w:rsidRPr="00296330">
        <w:rPr>
          <w:sz w:val="22"/>
          <w:szCs w:val="22"/>
        </w:rPr>
        <w:t xml:space="preserve"> is ineffective and harmful (</w:t>
      </w:r>
      <w:r w:rsidR="00C325EC" w:rsidRPr="00296330">
        <w:rPr>
          <w:sz w:val="22"/>
          <w:szCs w:val="22"/>
        </w:rPr>
        <w:t>A</w:t>
      </w:r>
      <w:r w:rsidR="00B52783" w:rsidRPr="00296330">
        <w:rPr>
          <w:sz w:val="22"/>
          <w:szCs w:val="22"/>
        </w:rPr>
        <w:t xml:space="preserve">merican </w:t>
      </w:r>
      <w:r w:rsidR="00C325EC" w:rsidRPr="00296330">
        <w:rPr>
          <w:sz w:val="22"/>
          <w:szCs w:val="22"/>
        </w:rPr>
        <w:t>P</w:t>
      </w:r>
      <w:r w:rsidR="00B52783" w:rsidRPr="00296330">
        <w:rPr>
          <w:sz w:val="22"/>
          <w:szCs w:val="22"/>
        </w:rPr>
        <w:t xml:space="preserve">sychological </w:t>
      </w:r>
      <w:r w:rsidR="00C325EC" w:rsidRPr="00296330">
        <w:rPr>
          <w:sz w:val="22"/>
          <w:szCs w:val="22"/>
        </w:rPr>
        <w:t>A</w:t>
      </w:r>
      <w:r w:rsidR="00B52783" w:rsidRPr="00296330">
        <w:rPr>
          <w:sz w:val="22"/>
          <w:szCs w:val="22"/>
        </w:rPr>
        <w:t>ssociation</w:t>
      </w:r>
      <w:r w:rsidR="00185B1D" w:rsidRPr="00296330">
        <w:rPr>
          <w:sz w:val="22"/>
          <w:szCs w:val="22"/>
        </w:rPr>
        <w:t>, 2008; Council on School Health</w:t>
      </w:r>
      <w:r w:rsidR="00C325EC" w:rsidRPr="00296330">
        <w:rPr>
          <w:sz w:val="22"/>
          <w:szCs w:val="22"/>
        </w:rPr>
        <w:t>, 2013</w:t>
      </w:r>
      <w:r w:rsidR="00A236AB" w:rsidRPr="00296330">
        <w:rPr>
          <w:sz w:val="22"/>
          <w:szCs w:val="22"/>
        </w:rPr>
        <w:t>)</w:t>
      </w:r>
      <w:r w:rsidR="00224DD5" w:rsidRPr="00296330">
        <w:rPr>
          <w:sz w:val="22"/>
          <w:szCs w:val="22"/>
        </w:rPr>
        <w:t>,</w:t>
      </w:r>
      <w:r w:rsidR="0090477F" w:rsidRPr="00296330">
        <w:rPr>
          <w:sz w:val="22"/>
          <w:szCs w:val="22"/>
        </w:rPr>
        <w:t xml:space="preserve"> comparatively </w:t>
      </w:r>
      <w:r w:rsidR="00224DD5" w:rsidRPr="00296330">
        <w:rPr>
          <w:sz w:val="22"/>
          <w:szCs w:val="22"/>
        </w:rPr>
        <w:t>less</w:t>
      </w:r>
      <w:r w:rsidR="0090477F" w:rsidRPr="00296330">
        <w:rPr>
          <w:sz w:val="22"/>
          <w:szCs w:val="22"/>
        </w:rPr>
        <w:t xml:space="preserve"> </w:t>
      </w:r>
      <w:r w:rsidR="005C41E1" w:rsidRPr="00296330">
        <w:rPr>
          <w:sz w:val="22"/>
          <w:szCs w:val="22"/>
        </w:rPr>
        <w:t xml:space="preserve">is </w:t>
      </w:r>
      <w:r w:rsidR="0090477F" w:rsidRPr="00296330">
        <w:rPr>
          <w:sz w:val="22"/>
          <w:szCs w:val="22"/>
        </w:rPr>
        <w:t xml:space="preserve">known about why, how, and from where </w:t>
      </w:r>
      <w:r w:rsidR="001222CC" w:rsidRPr="00296330">
        <w:rPr>
          <w:sz w:val="22"/>
          <w:szCs w:val="22"/>
        </w:rPr>
        <w:t>ECCE</w:t>
      </w:r>
      <w:r w:rsidR="0090477F" w:rsidRPr="00296330">
        <w:rPr>
          <w:sz w:val="22"/>
          <w:szCs w:val="22"/>
        </w:rPr>
        <w:t xml:space="preserve"> expulsion occurs. States and municipalities aiming to comply with federal </w:t>
      </w:r>
      <w:r w:rsidR="00C85075" w:rsidRPr="00296330">
        <w:rPr>
          <w:sz w:val="22"/>
          <w:szCs w:val="22"/>
        </w:rPr>
        <w:t>recommendations</w:t>
      </w:r>
      <w:r w:rsidR="0090477F" w:rsidRPr="00296330">
        <w:rPr>
          <w:sz w:val="22"/>
          <w:szCs w:val="22"/>
        </w:rPr>
        <w:t xml:space="preserve"> to curtail </w:t>
      </w:r>
      <w:r w:rsidR="001222CC" w:rsidRPr="00296330">
        <w:rPr>
          <w:sz w:val="22"/>
          <w:szCs w:val="22"/>
        </w:rPr>
        <w:t>ECCE</w:t>
      </w:r>
      <w:r w:rsidR="0090477F" w:rsidRPr="00296330">
        <w:rPr>
          <w:sz w:val="22"/>
          <w:szCs w:val="22"/>
        </w:rPr>
        <w:t xml:space="preserve"> expulsion (</w:t>
      </w:r>
      <w:r w:rsidR="00D10976" w:rsidRPr="00296330">
        <w:rPr>
          <w:sz w:val="22"/>
          <w:szCs w:val="22"/>
        </w:rPr>
        <w:t>Child Care and Development Block Grant, 2014)</w:t>
      </w:r>
      <w:r w:rsidR="001E784C" w:rsidRPr="00296330">
        <w:rPr>
          <w:sz w:val="22"/>
          <w:szCs w:val="22"/>
        </w:rPr>
        <w:t>,</w:t>
      </w:r>
      <w:r w:rsidR="0090477F" w:rsidRPr="00296330">
        <w:rPr>
          <w:sz w:val="22"/>
          <w:szCs w:val="22"/>
        </w:rPr>
        <w:t xml:space="preserve"> therefore, ha</w:t>
      </w:r>
      <w:r w:rsidR="00A31871" w:rsidRPr="00296330">
        <w:rPr>
          <w:sz w:val="22"/>
          <w:szCs w:val="22"/>
        </w:rPr>
        <w:t>ve had</w:t>
      </w:r>
      <w:r w:rsidR="0090477F" w:rsidRPr="00296330">
        <w:rPr>
          <w:sz w:val="22"/>
          <w:szCs w:val="22"/>
        </w:rPr>
        <w:t xml:space="preserve"> </w:t>
      </w:r>
      <w:r w:rsidR="00C40BA4" w:rsidRPr="00296330">
        <w:rPr>
          <w:sz w:val="22"/>
          <w:szCs w:val="22"/>
        </w:rPr>
        <w:t xml:space="preserve">little guidance about how best to address their state’s early education system’s needs. </w:t>
      </w:r>
    </w:p>
    <w:p w14:paraId="7A22A469" w14:textId="303CD2DC" w:rsidR="002C1935" w:rsidRPr="00296330" w:rsidRDefault="00742E46">
      <w:pPr>
        <w:spacing w:line="480" w:lineRule="auto"/>
        <w:ind w:firstLine="720"/>
        <w:rPr>
          <w:b/>
          <w:sz w:val="22"/>
          <w:szCs w:val="22"/>
        </w:rPr>
      </w:pPr>
      <w:r>
        <w:rPr>
          <w:sz w:val="22"/>
          <w:szCs w:val="22"/>
        </w:rPr>
        <w:t xml:space="preserve">This paper presents preliminary findings from an ongoing </w:t>
      </w:r>
      <w:r w:rsidR="00F63432" w:rsidRPr="00296330">
        <w:rPr>
          <w:sz w:val="22"/>
          <w:szCs w:val="22"/>
        </w:rPr>
        <w:t>longitudinal study</w:t>
      </w:r>
      <w:r>
        <w:rPr>
          <w:sz w:val="22"/>
          <w:szCs w:val="22"/>
        </w:rPr>
        <w:t xml:space="preserve"> through which</w:t>
      </w:r>
      <w:r w:rsidR="00F63432" w:rsidRPr="00296330">
        <w:rPr>
          <w:sz w:val="22"/>
          <w:szCs w:val="22"/>
        </w:rPr>
        <w:t xml:space="preserve"> a team of </w:t>
      </w:r>
      <w:r w:rsidR="00A31871" w:rsidRPr="00296330">
        <w:rPr>
          <w:sz w:val="22"/>
          <w:szCs w:val="22"/>
        </w:rPr>
        <w:t>academic researchers, advocates, and policymakers</w:t>
      </w:r>
      <w:r w:rsidR="003A082D" w:rsidRPr="00296330">
        <w:rPr>
          <w:sz w:val="22"/>
          <w:szCs w:val="22"/>
        </w:rPr>
        <w:t xml:space="preserve">, </w:t>
      </w:r>
      <w:r w:rsidR="00F63432" w:rsidRPr="00296330">
        <w:rPr>
          <w:sz w:val="22"/>
          <w:szCs w:val="22"/>
        </w:rPr>
        <w:t xml:space="preserve">sought to better understand the </w:t>
      </w:r>
      <w:r w:rsidR="001222CC" w:rsidRPr="00296330">
        <w:rPr>
          <w:sz w:val="22"/>
          <w:szCs w:val="22"/>
        </w:rPr>
        <w:t>ECCE</w:t>
      </w:r>
      <w:r w:rsidR="006A58CA" w:rsidRPr="00296330">
        <w:rPr>
          <w:sz w:val="22"/>
          <w:szCs w:val="22"/>
        </w:rPr>
        <w:t xml:space="preserve"> expulsion</w:t>
      </w:r>
      <w:r w:rsidR="00F63432" w:rsidRPr="00296330">
        <w:rPr>
          <w:sz w:val="22"/>
          <w:szCs w:val="22"/>
        </w:rPr>
        <w:t xml:space="preserve"> policy</w:t>
      </w:r>
      <w:r w:rsidR="0098182A" w:rsidRPr="00296330">
        <w:rPr>
          <w:sz w:val="22"/>
          <w:szCs w:val="22"/>
        </w:rPr>
        <w:t>, Illinois</w:t>
      </w:r>
      <w:r w:rsidR="000D5606" w:rsidRPr="00296330">
        <w:rPr>
          <w:sz w:val="22"/>
          <w:szCs w:val="22"/>
        </w:rPr>
        <w:t xml:space="preserve"> </w:t>
      </w:r>
      <w:r w:rsidR="0098182A" w:rsidRPr="00296330">
        <w:rPr>
          <w:sz w:val="22"/>
          <w:szCs w:val="22"/>
        </w:rPr>
        <w:t>Public Act 100-0105</w:t>
      </w:r>
      <w:r w:rsidR="005C7A31">
        <w:rPr>
          <w:sz w:val="22"/>
          <w:szCs w:val="22"/>
        </w:rPr>
        <w:t xml:space="preserve"> (IL PA 100-0105).</w:t>
      </w:r>
      <w:r w:rsidR="0098182A" w:rsidRPr="00296330">
        <w:rPr>
          <w:sz w:val="22"/>
          <w:szCs w:val="22"/>
        </w:rPr>
        <w:t xml:space="preserve"> After briefly reviewing the existing literature </w:t>
      </w:r>
      <w:r w:rsidR="008641D3" w:rsidRPr="00296330">
        <w:rPr>
          <w:sz w:val="22"/>
          <w:szCs w:val="22"/>
        </w:rPr>
        <w:t xml:space="preserve">and </w:t>
      </w:r>
      <w:r w:rsidR="0098182A" w:rsidRPr="00296330">
        <w:rPr>
          <w:sz w:val="22"/>
          <w:szCs w:val="22"/>
        </w:rPr>
        <w:t xml:space="preserve">policy landscape, we describe how a </w:t>
      </w:r>
      <w:r w:rsidR="008641D3" w:rsidRPr="00296330">
        <w:rPr>
          <w:sz w:val="22"/>
          <w:szCs w:val="22"/>
        </w:rPr>
        <w:t xml:space="preserve">multidisciplinary </w:t>
      </w:r>
      <w:r w:rsidR="0098182A" w:rsidRPr="00296330">
        <w:rPr>
          <w:sz w:val="22"/>
          <w:szCs w:val="22"/>
        </w:rPr>
        <w:t xml:space="preserve">coalition </w:t>
      </w:r>
      <w:r w:rsidR="005B6383" w:rsidRPr="00296330">
        <w:rPr>
          <w:sz w:val="22"/>
          <w:szCs w:val="22"/>
        </w:rPr>
        <w:t>collaborated</w:t>
      </w:r>
      <w:r w:rsidR="004D51C3" w:rsidRPr="00296330">
        <w:rPr>
          <w:sz w:val="22"/>
          <w:szCs w:val="22"/>
        </w:rPr>
        <w:t xml:space="preserve"> </w:t>
      </w:r>
      <w:r w:rsidR="0098182A" w:rsidRPr="00296330">
        <w:rPr>
          <w:sz w:val="22"/>
          <w:szCs w:val="22"/>
        </w:rPr>
        <w:t xml:space="preserve">to </w:t>
      </w:r>
      <w:r w:rsidR="00224DD5" w:rsidRPr="00296330">
        <w:rPr>
          <w:sz w:val="22"/>
          <w:szCs w:val="22"/>
        </w:rPr>
        <w:t>collect</w:t>
      </w:r>
      <w:r w:rsidR="0098182A" w:rsidRPr="00296330">
        <w:rPr>
          <w:sz w:val="22"/>
          <w:szCs w:val="22"/>
        </w:rPr>
        <w:t>, interpret, disseminate</w:t>
      </w:r>
      <w:r w:rsidR="005A7FA2" w:rsidRPr="00296330">
        <w:rPr>
          <w:sz w:val="22"/>
          <w:szCs w:val="22"/>
        </w:rPr>
        <w:t>, and translate</w:t>
      </w:r>
      <w:r w:rsidR="0098182A" w:rsidRPr="00296330">
        <w:rPr>
          <w:sz w:val="22"/>
          <w:szCs w:val="22"/>
        </w:rPr>
        <w:t xml:space="preserve"> findings from this study. In the </w:t>
      </w:r>
      <w:r w:rsidR="00415345" w:rsidRPr="00296330">
        <w:rPr>
          <w:sz w:val="22"/>
          <w:szCs w:val="22"/>
        </w:rPr>
        <w:t>discussion</w:t>
      </w:r>
      <w:r w:rsidR="0098182A" w:rsidRPr="00296330">
        <w:rPr>
          <w:sz w:val="22"/>
          <w:szCs w:val="22"/>
        </w:rPr>
        <w:t xml:space="preserve">, we </w:t>
      </w:r>
      <w:r w:rsidR="001E784C" w:rsidRPr="00296330">
        <w:rPr>
          <w:sz w:val="22"/>
          <w:szCs w:val="22"/>
        </w:rPr>
        <w:t>explain</w:t>
      </w:r>
      <w:r w:rsidR="0098182A" w:rsidRPr="00296330">
        <w:rPr>
          <w:sz w:val="22"/>
          <w:szCs w:val="22"/>
        </w:rPr>
        <w:t xml:space="preserve"> how initial findings from thi</w:t>
      </w:r>
      <w:r w:rsidR="005A7FA2" w:rsidRPr="00296330">
        <w:rPr>
          <w:sz w:val="22"/>
          <w:szCs w:val="22"/>
        </w:rPr>
        <w:t>s research have already been used to enhance practice and policy</w:t>
      </w:r>
      <w:r w:rsidR="00F52C5F" w:rsidRPr="00296330">
        <w:rPr>
          <w:sz w:val="22"/>
          <w:szCs w:val="22"/>
        </w:rPr>
        <w:t>,</w:t>
      </w:r>
      <w:r w:rsidR="005A7FA2" w:rsidRPr="00296330">
        <w:rPr>
          <w:sz w:val="22"/>
          <w:szCs w:val="22"/>
        </w:rPr>
        <w:t xml:space="preserve"> </w:t>
      </w:r>
      <w:r w:rsidR="00415345" w:rsidRPr="00296330">
        <w:rPr>
          <w:sz w:val="22"/>
          <w:szCs w:val="22"/>
        </w:rPr>
        <w:t xml:space="preserve">while also documenting </w:t>
      </w:r>
      <w:r w:rsidR="005A7FA2" w:rsidRPr="00296330">
        <w:rPr>
          <w:sz w:val="22"/>
          <w:szCs w:val="22"/>
        </w:rPr>
        <w:t xml:space="preserve">barriers and areas where additional evidence is needed. </w:t>
      </w:r>
    </w:p>
    <w:p w14:paraId="41A0F9B6" w14:textId="425ED2B9" w:rsidR="00A733B0" w:rsidRPr="00296330" w:rsidRDefault="004D4D16">
      <w:pPr>
        <w:spacing w:line="480" w:lineRule="auto"/>
        <w:rPr>
          <w:sz w:val="22"/>
          <w:szCs w:val="22"/>
        </w:rPr>
      </w:pPr>
      <w:r w:rsidRPr="00296330">
        <w:rPr>
          <w:b/>
          <w:sz w:val="22"/>
          <w:szCs w:val="22"/>
        </w:rPr>
        <w:t xml:space="preserve">Exclusionary Discipline </w:t>
      </w:r>
      <w:r w:rsidR="00A733B0" w:rsidRPr="00296330">
        <w:rPr>
          <w:b/>
          <w:sz w:val="22"/>
          <w:szCs w:val="22"/>
        </w:rPr>
        <w:t xml:space="preserve">in </w:t>
      </w:r>
      <w:r w:rsidR="001222CC" w:rsidRPr="00296330">
        <w:rPr>
          <w:b/>
          <w:sz w:val="22"/>
          <w:szCs w:val="22"/>
        </w:rPr>
        <w:t>ECCE</w:t>
      </w:r>
      <w:r w:rsidR="00A733B0" w:rsidRPr="00296330">
        <w:rPr>
          <w:b/>
          <w:sz w:val="22"/>
          <w:szCs w:val="22"/>
        </w:rPr>
        <w:t xml:space="preserve"> Settings </w:t>
      </w:r>
    </w:p>
    <w:p w14:paraId="389C1BA6" w14:textId="1FD5064F" w:rsidR="0004079B" w:rsidRPr="00296330" w:rsidRDefault="00A733B0">
      <w:pPr>
        <w:spacing w:line="480" w:lineRule="auto"/>
        <w:rPr>
          <w:sz w:val="22"/>
          <w:szCs w:val="22"/>
        </w:rPr>
      </w:pPr>
      <w:r w:rsidRPr="00296330">
        <w:rPr>
          <w:sz w:val="22"/>
          <w:szCs w:val="22"/>
        </w:rPr>
        <w:tab/>
        <w:t xml:space="preserve">Research has consistently demonstrated that high-quality </w:t>
      </w:r>
      <w:r w:rsidR="001222CC" w:rsidRPr="00296330">
        <w:rPr>
          <w:sz w:val="22"/>
          <w:szCs w:val="22"/>
        </w:rPr>
        <w:t>ECCE</w:t>
      </w:r>
      <w:r w:rsidR="006E3681" w:rsidRPr="00296330">
        <w:rPr>
          <w:sz w:val="22"/>
          <w:szCs w:val="22"/>
        </w:rPr>
        <w:t xml:space="preserve"> </w:t>
      </w:r>
      <w:r w:rsidRPr="00296330">
        <w:rPr>
          <w:sz w:val="22"/>
          <w:szCs w:val="22"/>
        </w:rPr>
        <w:t>significantly improves children’s academic and social-emotional school readiness (</w:t>
      </w:r>
      <w:r w:rsidR="00E83999" w:rsidRPr="00296330">
        <w:rPr>
          <w:sz w:val="22"/>
          <w:szCs w:val="22"/>
        </w:rPr>
        <w:t xml:space="preserve">Barnett, 2011; </w:t>
      </w:r>
      <w:r w:rsidRPr="00296330">
        <w:rPr>
          <w:sz w:val="22"/>
          <w:szCs w:val="22"/>
        </w:rPr>
        <w:t>Child Trends, 2018</w:t>
      </w:r>
      <w:r w:rsidR="002D0879" w:rsidRPr="00296330">
        <w:rPr>
          <w:sz w:val="22"/>
          <w:szCs w:val="22"/>
        </w:rPr>
        <w:t xml:space="preserve">; Hatfield, </w:t>
      </w:r>
      <w:proofErr w:type="spellStart"/>
      <w:r w:rsidR="002D0879" w:rsidRPr="00296330">
        <w:rPr>
          <w:sz w:val="22"/>
          <w:szCs w:val="22"/>
        </w:rPr>
        <w:t>Burchinal</w:t>
      </w:r>
      <w:proofErr w:type="spellEnd"/>
      <w:r w:rsidR="002D0879" w:rsidRPr="00296330">
        <w:rPr>
          <w:sz w:val="22"/>
          <w:szCs w:val="22"/>
        </w:rPr>
        <w:t xml:space="preserve">, </w:t>
      </w:r>
      <w:proofErr w:type="spellStart"/>
      <w:r w:rsidR="002D0879" w:rsidRPr="00296330">
        <w:rPr>
          <w:sz w:val="22"/>
          <w:szCs w:val="22"/>
        </w:rPr>
        <w:t>Pianta</w:t>
      </w:r>
      <w:proofErr w:type="spellEnd"/>
      <w:r w:rsidR="002D0879" w:rsidRPr="00296330">
        <w:rPr>
          <w:sz w:val="22"/>
          <w:szCs w:val="22"/>
        </w:rPr>
        <w:t xml:space="preserve">, </w:t>
      </w:r>
      <w:r w:rsidR="004326FE" w:rsidRPr="00296330">
        <w:rPr>
          <w:sz w:val="22"/>
          <w:szCs w:val="22"/>
        </w:rPr>
        <w:t xml:space="preserve">&amp; </w:t>
      </w:r>
      <w:r w:rsidR="002D0879" w:rsidRPr="00296330">
        <w:rPr>
          <w:sz w:val="22"/>
          <w:szCs w:val="22"/>
        </w:rPr>
        <w:t>Sideris, 2016</w:t>
      </w:r>
      <w:r w:rsidRPr="00296330">
        <w:rPr>
          <w:sz w:val="22"/>
          <w:szCs w:val="22"/>
        </w:rPr>
        <w:t>).</w:t>
      </w:r>
      <w:r w:rsidR="002C1935" w:rsidRPr="00296330">
        <w:rPr>
          <w:sz w:val="22"/>
          <w:szCs w:val="22"/>
        </w:rPr>
        <w:t xml:space="preserve"> When </w:t>
      </w:r>
      <w:r w:rsidR="00397FC5" w:rsidRPr="00296330">
        <w:rPr>
          <w:sz w:val="22"/>
          <w:szCs w:val="22"/>
        </w:rPr>
        <w:t>a child is suspended or expelled, they are deprived of these beneficial social and academic learning opportunities. Unfortunately, expelled c</w:t>
      </w:r>
      <w:r w:rsidRPr="00296330">
        <w:rPr>
          <w:sz w:val="22"/>
          <w:szCs w:val="22"/>
        </w:rPr>
        <w:t xml:space="preserve">hildren </w:t>
      </w:r>
      <w:r w:rsidR="00397FC5" w:rsidRPr="00296330">
        <w:rPr>
          <w:sz w:val="22"/>
          <w:szCs w:val="22"/>
        </w:rPr>
        <w:t xml:space="preserve">tend to be those who struggle emotionally </w:t>
      </w:r>
      <w:r w:rsidRPr="00296330">
        <w:rPr>
          <w:sz w:val="22"/>
          <w:szCs w:val="22"/>
        </w:rPr>
        <w:t xml:space="preserve">(Cutler &amp; </w:t>
      </w:r>
      <w:proofErr w:type="spellStart"/>
      <w:r w:rsidRPr="00296330">
        <w:rPr>
          <w:sz w:val="22"/>
          <w:szCs w:val="22"/>
        </w:rPr>
        <w:t>Gilkerson</w:t>
      </w:r>
      <w:proofErr w:type="spellEnd"/>
      <w:r w:rsidRPr="00296330">
        <w:rPr>
          <w:sz w:val="22"/>
          <w:szCs w:val="22"/>
        </w:rPr>
        <w:t>, 2002)</w:t>
      </w:r>
      <w:r w:rsidR="006B7226" w:rsidRPr="00296330">
        <w:rPr>
          <w:sz w:val="22"/>
          <w:szCs w:val="22"/>
        </w:rPr>
        <w:t xml:space="preserve"> and</w:t>
      </w:r>
      <w:r w:rsidR="004D51C3" w:rsidRPr="00296330">
        <w:rPr>
          <w:sz w:val="22"/>
          <w:szCs w:val="22"/>
        </w:rPr>
        <w:t xml:space="preserve"> </w:t>
      </w:r>
      <w:r w:rsidR="003E2E8F" w:rsidRPr="00296330">
        <w:rPr>
          <w:sz w:val="22"/>
          <w:szCs w:val="22"/>
        </w:rPr>
        <w:t>therefore stand to</w:t>
      </w:r>
      <w:r w:rsidR="00397FC5" w:rsidRPr="00296330">
        <w:rPr>
          <w:sz w:val="22"/>
          <w:szCs w:val="22"/>
        </w:rPr>
        <w:t xml:space="preserve"> </w:t>
      </w:r>
      <w:r w:rsidRPr="00296330">
        <w:rPr>
          <w:sz w:val="22"/>
          <w:szCs w:val="22"/>
        </w:rPr>
        <w:t xml:space="preserve">benefit the most from </w:t>
      </w:r>
      <w:r w:rsidR="00397FC5" w:rsidRPr="00296330">
        <w:rPr>
          <w:sz w:val="22"/>
          <w:szCs w:val="22"/>
        </w:rPr>
        <w:t xml:space="preserve">a supportive </w:t>
      </w:r>
      <w:r w:rsidR="00397FC5" w:rsidRPr="00296330">
        <w:rPr>
          <w:sz w:val="22"/>
          <w:szCs w:val="22"/>
        </w:rPr>
        <w:lastRenderedPageBreak/>
        <w:t xml:space="preserve">early learning program where they can </w:t>
      </w:r>
      <w:r w:rsidRPr="00296330">
        <w:rPr>
          <w:sz w:val="22"/>
          <w:szCs w:val="22"/>
        </w:rPr>
        <w:t xml:space="preserve">practice the social-emotional skills they will need for kindergarten and beyond. </w:t>
      </w:r>
      <w:r w:rsidR="00B555A4" w:rsidRPr="00296330">
        <w:rPr>
          <w:sz w:val="22"/>
          <w:szCs w:val="22"/>
        </w:rPr>
        <w:t xml:space="preserve">As in K-12, the children who are suspended or expelled from </w:t>
      </w:r>
      <w:r w:rsidR="00D8758A" w:rsidRPr="00296330">
        <w:rPr>
          <w:sz w:val="22"/>
          <w:szCs w:val="22"/>
        </w:rPr>
        <w:t xml:space="preserve">ECCE </w:t>
      </w:r>
      <w:r w:rsidR="004A40AA" w:rsidRPr="00296330">
        <w:rPr>
          <w:sz w:val="22"/>
          <w:szCs w:val="22"/>
        </w:rPr>
        <w:t xml:space="preserve">settings </w:t>
      </w:r>
      <w:r w:rsidR="00B555A4" w:rsidRPr="00296330">
        <w:rPr>
          <w:sz w:val="22"/>
          <w:szCs w:val="22"/>
        </w:rPr>
        <w:t xml:space="preserve">are disproportionately boys and children of color. </w:t>
      </w:r>
      <w:r w:rsidR="00994AAD" w:rsidRPr="00296330">
        <w:rPr>
          <w:sz w:val="22"/>
          <w:szCs w:val="22"/>
        </w:rPr>
        <w:t xml:space="preserve">Black children, </w:t>
      </w:r>
      <w:r w:rsidR="003E2E8F" w:rsidRPr="00296330">
        <w:rPr>
          <w:sz w:val="22"/>
          <w:szCs w:val="22"/>
        </w:rPr>
        <w:t xml:space="preserve">specifically </w:t>
      </w:r>
      <w:r w:rsidR="00FD44D0" w:rsidRPr="00296330">
        <w:rPr>
          <w:sz w:val="22"/>
          <w:szCs w:val="22"/>
        </w:rPr>
        <w:t>B</w:t>
      </w:r>
      <w:r w:rsidR="003E2E8F" w:rsidRPr="00296330">
        <w:rPr>
          <w:sz w:val="22"/>
          <w:szCs w:val="22"/>
        </w:rPr>
        <w:t>lack</w:t>
      </w:r>
      <w:r w:rsidR="00994AAD" w:rsidRPr="00296330">
        <w:rPr>
          <w:sz w:val="22"/>
          <w:szCs w:val="22"/>
        </w:rPr>
        <w:t xml:space="preserve"> boys, account for nearly 50% of </w:t>
      </w:r>
      <w:r w:rsidR="00BC2FC7">
        <w:rPr>
          <w:sz w:val="22"/>
          <w:szCs w:val="22"/>
        </w:rPr>
        <w:t>preschoolers</w:t>
      </w:r>
      <w:r w:rsidR="00994AAD" w:rsidRPr="00296330">
        <w:rPr>
          <w:sz w:val="22"/>
          <w:szCs w:val="22"/>
        </w:rPr>
        <w:t xml:space="preserve"> expelled even though nationally</w:t>
      </w:r>
      <w:r w:rsidR="001E784C" w:rsidRPr="00296330">
        <w:rPr>
          <w:sz w:val="22"/>
          <w:szCs w:val="22"/>
        </w:rPr>
        <w:t>,</w:t>
      </w:r>
      <w:r w:rsidR="00994AAD" w:rsidRPr="00296330">
        <w:rPr>
          <w:sz w:val="22"/>
          <w:szCs w:val="22"/>
        </w:rPr>
        <w:t xml:space="preserve"> they represent less than 20% of all children enrolled</w:t>
      </w:r>
      <w:r w:rsidR="00027C15" w:rsidRPr="00296330">
        <w:rPr>
          <w:sz w:val="22"/>
          <w:szCs w:val="22"/>
        </w:rPr>
        <w:t xml:space="preserve"> (</w:t>
      </w:r>
      <w:r w:rsidR="002D3111" w:rsidRPr="00296330">
        <w:rPr>
          <w:sz w:val="22"/>
          <w:szCs w:val="22"/>
        </w:rPr>
        <w:t>U.S. Department of Education, 2016</w:t>
      </w:r>
      <w:r w:rsidR="00027C15" w:rsidRPr="00296330">
        <w:rPr>
          <w:sz w:val="22"/>
          <w:szCs w:val="22"/>
        </w:rPr>
        <w:t>)</w:t>
      </w:r>
      <w:r w:rsidR="00994AAD" w:rsidRPr="00296330">
        <w:rPr>
          <w:sz w:val="22"/>
          <w:szCs w:val="22"/>
        </w:rPr>
        <w:t xml:space="preserve">. </w:t>
      </w:r>
    </w:p>
    <w:p w14:paraId="100808C4" w14:textId="2FD3D614" w:rsidR="00D649DB" w:rsidRDefault="00744C59" w:rsidP="00D649DB">
      <w:pPr>
        <w:spacing w:line="480" w:lineRule="auto"/>
        <w:ind w:firstLine="720"/>
        <w:rPr>
          <w:sz w:val="22"/>
          <w:szCs w:val="22"/>
        </w:rPr>
      </w:pPr>
      <w:r w:rsidRPr="00296330">
        <w:rPr>
          <w:sz w:val="22"/>
          <w:szCs w:val="22"/>
        </w:rPr>
        <w:t xml:space="preserve">Though children’s challenging behaviors </w:t>
      </w:r>
      <w:r w:rsidR="00B55212" w:rsidRPr="00296330">
        <w:rPr>
          <w:sz w:val="22"/>
          <w:szCs w:val="22"/>
        </w:rPr>
        <w:t>(e.g.</w:t>
      </w:r>
      <w:r w:rsidR="00B44579" w:rsidRPr="00296330">
        <w:rPr>
          <w:sz w:val="22"/>
          <w:szCs w:val="22"/>
        </w:rPr>
        <w:t>,</w:t>
      </w:r>
      <w:r w:rsidR="00B55212" w:rsidRPr="00296330">
        <w:rPr>
          <w:sz w:val="22"/>
          <w:szCs w:val="22"/>
        </w:rPr>
        <w:t xml:space="preserve"> biting, throwing toys, excessive crying) </w:t>
      </w:r>
      <w:r w:rsidRPr="00296330">
        <w:rPr>
          <w:sz w:val="22"/>
          <w:szCs w:val="22"/>
        </w:rPr>
        <w:t>tend to precede many exclusionary discipline decisions</w:t>
      </w:r>
      <w:r w:rsidR="00B55212" w:rsidRPr="00296330">
        <w:rPr>
          <w:sz w:val="22"/>
          <w:szCs w:val="22"/>
        </w:rPr>
        <w:t xml:space="preserve"> (Zinsser et al., 2017)</w:t>
      </w:r>
      <w:r w:rsidR="00FA4A59">
        <w:rPr>
          <w:sz w:val="22"/>
          <w:szCs w:val="22"/>
        </w:rPr>
        <w:t>,</w:t>
      </w:r>
      <w:r w:rsidRPr="00296330">
        <w:rPr>
          <w:sz w:val="22"/>
          <w:szCs w:val="22"/>
        </w:rPr>
        <w:t xml:space="preserve"> </w:t>
      </w:r>
      <w:r w:rsidR="004D4D16" w:rsidRPr="00296330">
        <w:rPr>
          <w:sz w:val="22"/>
          <w:szCs w:val="22"/>
        </w:rPr>
        <w:t>r</w:t>
      </w:r>
      <w:r w:rsidR="00B555A4" w:rsidRPr="00296330">
        <w:rPr>
          <w:sz w:val="22"/>
          <w:szCs w:val="22"/>
        </w:rPr>
        <w:t xml:space="preserve">esearch </w:t>
      </w:r>
      <w:r w:rsidR="004D4D16" w:rsidRPr="00296330">
        <w:rPr>
          <w:sz w:val="22"/>
          <w:szCs w:val="22"/>
        </w:rPr>
        <w:t xml:space="preserve">has highlighted the </w:t>
      </w:r>
      <w:r w:rsidR="00B555A4" w:rsidRPr="00296330">
        <w:rPr>
          <w:sz w:val="22"/>
          <w:szCs w:val="22"/>
        </w:rPr>
        <w:t xml:space="preserve">contextual and systemic </w:t>
      </w:r>
      <w:r w:rsidR="0004079B" w:rsidRPr="00296330">
        <w:rPr>
          <w:sz w:val="22"/>
          <w:szCs w:val="22"/>
        </w:rPr>
        <w:t xml:space="preserve">factors </w:t>
      </w:r>
      <w:r w:rsidR="004D4D16" w:rsidRPr="00296330">
        <w:rPr>
          <w:sz w:val="22"/>
          <w:szCs w:val="22"/>
        </w:rPr>
        <w:t xml:space="preserve">associated with </w:t>
      </w:r>
      <w:r w:rsidR="00B55212" w:rsidRPr="00296330">
        <w:rPr>
          <w:sz w:val="22"/>
          <w:szCs w:val="22"/>
        </w:rPr>
        <w:t xml:space="preserve">increased risk for </w:t>
      </w:r>
      <w:r w:rsidR="004D4D16" w:rsidRPr="00296330">
        <w:rPr>
          <w:sz w:val="22"/>
          <w:szCs w:val="22"/>
        </w:rPr>
        <w:t>exclusion</w:t>
      </w:r>
      <w:r w:rsidR="000F0E2F">
        <w:rPr>
          <w:sz w:val="22"/>
          <w:szCs w:val="22"/>
        </w:rPr>
        <w:t xml:space="preserve">. </w:t>
      </w:r>
      <w:r w:rsidR="00776E26">
        <w:rPr>
          <w:sz w:val="22"/>
          <w:szCs w:val="22"/>
        </w:rPr>
        <w:t xml:space="preserve">The concentric circles of influence in Bronfenbrenner’s </w:t>
      </w:r>
      <w:proofErr w:type="spellStart"/>
      <w:r w:rsidR="00776E26">
        <w:rPr>
          <w:sz w:val="22"/>
          <w:szCs w:val="22"/>
        </w:rPr>
        <w:t>bioecological</w:t>
      </w:r>
      <w:proofErr w:type="spellEnd"/>
      <w:r w:rsidR="00776E26">
        <w:rPr>
          <w:sz w:val="22"/>
          <w:szCs w:val="22"/>
        </w:rPr>
        <w:t xml:space="preserve"> </w:t>
      </w:r>
      <w:r w:rsidR="007404B7">
        <w:rPr>
          <w:sz w:val="22"/>
          <w:szCs w:val="22"/>
        </w:rPr>
        <w:t>model</w:t>
      </w:r>
      <w:r w:rsidR="00776E26">
        <w:rPr>
          <w:sz w:val="22"/>
          <w:szCs w:val="22"/>
        </w:rPr>
        <w:t xml:space="preserve"> (Bronfenbrenner &amp; Morris, 2006) make a suitable theoretical basis for our investigations of public policy’s influence on more proximal settings that shape children’s lives. This model simultaneously emphasizes the direct influence of transactions between the micro-system environment</w:t>
      </w:r>
      <w:r w:rsidR="00D649DB">
        <w:rPr>
          <w:sz w:val="22"/>
          <w:szCs w:val="22"/>
        </w:rPr>
        <w:t xml:space="preserve"> (e.g., home and school)</w:t>
      </w:r>
      <w:r w:rsidR="00776E26">
        <w:rPr>
          <w:sz w:val="22"/>
          <w:szCs w:val="22"/>
        </w:rPr>
        <w:t xml:space="preserve"> and the developing child </w:t>
      </w:r>
      <w:r w:rsidR="00D649DB">
        <w:rPr>
          <w:sz w:val="22"/>
          <w:szCs w:val="22"/>
        </w:rPr>
        <w:t xml:space="preserve">as well as the interactions among systems and settings at more distal levels such as </w:t>
      </w:r>
      <w:r w:rsidR="00776E26">
        <w:rPr>
          <w:sz w:val="22"/>
          <w:szCs w:val="22"/>
        </w:rPr>
        <w:t xml:space="preserve">changing cultural values and laws over time. </w:t>
      </w:r>
    </w:p>
    <w:p w14:paraId="4DECBB04" w14:textId="35980489" w:rsidR="00D8758A" w:rsidRPr="003B3616" w:rsidRDefault="000F0E2F" w:rsidP="00D649DB">
      <w:pPr>
        <w:spacing w:line="480" w:lineRule="auto"/>
        <w:ind w:firstLine="720"/>
        <w:rPr>
          <w:sz w:val="22"/>
          <w:szCs w:val="22"/>
        </w:rPr>
      </w:pPr>
      <w:r>
        <w:rPr>
          <w:sz w:val="22"/>
          <w:szCs w:val="22"/>
        </w:rPr>
        <w:t xml:space="preserve">In line with the </w:t>
      </w:r>
      <w:proofErr w:type="spellStart"/>
      <w:r>
        <w:rPr>
          <w:sz w:val="22"/>
          <w:szCs w:val="22"/>
        </w:rPr>
        <w:t>bioecological</w:t>
      </w:r>
      <w:proofErr w:type="spellEnd"/>
      <w:r>
        <w:rPr>
          <w:sz w:val="22"/>
          <w:szCs w:val="22"/>
        </w:rPr>
        <w:t xml:space="preserve"> </w:t>
      </w:r>
      <w:r w:rsidR="004B538D">
        <w:rPr>
          <w:sz w:val="22"/>
          <w:szCs w:val="22"/>
        </w:rPr>
        <w:t>model</w:t>
      </w:r>
      <w:r>
        <w:rPr>
          <w:sz w:val="22"/>
          <w:szCs w:val="22"/>
        </w:rPr>
        <w:t xml:space="preserve"> </w:t>
      </w:r>
      <w:r w:rsidRPr="00FA4A59">
        <w:rPr>
          <w:sz w:val="22"/>
          <w:szCs w:val="22"/>
        </w:rPr>
        <w:t>(Bronfenbrenner</w:t>
      </w:r>
      <w:r w:rsidR="004B538D" w:rsidRPr="00FA4A59">
        <w:rPr>
          <w:sz w:val="22"/>
          <w:szCs w:val="22"/>
        </w:rPr>
        <w:t xml:space="preserve"> &amp; Morris</w:t>
      </w:r>
      <w:r w:rsidRPr="00FA4A59">
        <w:rPr>
          <w:sz w:val="22"/>
          <w:szCs w:val="22"/>
        </w:rPr>
        <w:t xml:space="preserve">, </w:t>
      </w:r>
      <w:r w:rsidR="004B538D" w:rsidRPr="00FA4A59">
        <w:rPr>
          <w:sz w:val="22"/>
          <w:szCs w:val="22"/>
        </w:rPr>
        <w:t>2006</w:t>
      </w:r>
      <w:r w:rsidRPr="00FA4A59">
        <w:rPr>
          <w:sz w:val="22"/>
          <w:szCs w:val="22"/>
        </w:rPr>
        <w:t>)</w:t>
      </w:r>
      <w:r>
        <w:rPr>
          <w:sz w:val="22"/>
          <w:szCs w:val="22"/>
        </w:rPr>
        <w:t xml:space="preserve"> </w:t>
      </w:r>
      <w:r w:rsidR="000336AC">
        <w:rPr>
          <w:sz w:val="22"/>
          <w:szCs w:val="22"/>
        </w:rPr>
        <w:t xml:space="preserve">aspects of the environment most </w:t>
      </w:r>
      <w:r w:rsidR="00D649DB">
        <w:rPr>
          <w:sz w:val="22"/>
          <w:szCs w:val="22"/>
        </w:rPr>
        <w:t xml:space="preserve">proximal to the child, </w:t>
      </w:r>
      <w:r>
        <w:rPr>
          <w:sz w:val="22"/>
          <w:szCs w:val="22"/>
        </w:rPr>
        <w:t xml:space="preserve">such as </w:t>
      </w:r>
      <w:r w:rsidR="00B555A4" w:rsidRPr="00296330">
        <w:rPr>
          <w:sz w:val="22"/>
          <w:szCs w:val="22"/>
        </w:rPr>
        <w:t xml:space="preserve">large class sizes, </w:t>
      </w:r>
      <w:r w:rsidR="000336AC">
        <w:rPr>
          <w:sz w:val="22"/>
          <w:szCs w:val="22"/>
        </w:rPr>
        <w:t xml:space="preserve">have been linked to expulsion </w:t>
      </w:r>
      <w:r w:rsidR="00D649DB">
        <w:rPr>
          <w:sz w:val="22"/>
          <w:szCs w:val="22"/>
        </w:rPr>
        <w:t>(</w:t>
      </w:r>
      <w:r w:rsidR="00D649DB" w:rsidRPr="00296330">
        <w:rPr>
          <w:sz w:val="22"/>
          <w:szCs w:val="22"/>
        </w:rPr>
        <w:t xml:space="preserve">Gilliam, 2005; Gilliam and </w:t>
      </w:r>
      <w:proofErr w:type="spellStart"/>
      <w:r w:rsidR="00D649DB" w:rsidRPr="00296330">
        <w:rPr>
          <w:sz w:val="22"/>
          <w:szCs w:val="22"/>
        </w:rPr>
        <w:t>Shahar</w:t>
      </w:r>
      <w:proofErr w:type="spellEnd"/>
      <w:r w:rsidR="00D649DB" w:rsidRPr="00296330">
        <w:rPr>
          <w:sz w:val="22"/>
          <w:szCs w:val="22"/>
        </w:rPr>
        <w:t>, 2006</w:t>
      </w:r>
      <w:r w:rsidR="00D649DB">
        <w:rPr>
          <w:sz w:val="22"/>
          <w:szCs w:val="22"/>
        </w:rPr>
        <w:t xml:space="preserve">). Additionally, children’s expulsion is associated with </w:t>
      </w:r>
      <w:r w:rsidR="0004079B" w:rsidRPr="00296330">
        <w:rPr>
          <w:sz w:val="22"/>
          <w:szCs w:val="22"/>
        </w:rPr>
        <w:t xml:space="preserve">inadequate training and pay for teachers, </w:t>
      </w:r>
      <w:r w:rsidR="00D649DB">
        <w:rPr>
          <w:sz w:val="22"/>
          <w:szCs w:val="22"/>
        </w:rPr>
        <w:t xml:space="preserve">and </w:t>
      </w:r>
      <w:r w:rsidR="0004079B" w:rsidRPr="00296330">
        <w:rPr>
          <w:sz w:val="22"/>
          <w:szCs w:val="22"/>
        </w:rPr>
        <w:t>high levels of stress and depression across the workforce</w:t>
      </w:r>
      <w:r w:rsidR="00D649DB">
        <w:rPr>
          <w:sz w:val="22"/>
          <w:szCs w:val="22"/>
        </w:rPr>
        <w:t xml:space="preserve"> which are transactions between the environment and </w:t>
      </w:r>
      <w:r w:rsidR="00E55CC8">
        <w:rPr>
          <w:sz w:val="22"/>
          <w:szCs w:val="22"/>
        </w:rPr>
        <w:t xml:space="preserve">the </w:t>
      </w:r>
      <w:r w:rsidR="00D649DB">
        <w:rPr>
          <w:sz w:val="22"/>
          <w:szCs w:val="22"/>
        </w:rPr>
        <w:t xml:space="preserve">teacher that influence a child’s experience (Silver &amp; Zinsser, 2020; </w:t>
      </w:r>
      <w:r w:rsidR="00D649DB" w:rsidRPr="00296330">
        <w:rPr>
          <w:sz w:val="22"/>
          <w:szCs w:val="22"/>
        </w:rPr>
        <w:t>Zinsser et al., 2017</w:t>
      </w:r>
      <w:r w:rsidR="00D649DB">
        <w:rPr>
          <w:sz w:val="22"/>
          <w:szCs w:val="22"/>
        </w:rPr>
        <w:t xml:space="preserve">). Finally, we see that aspects of the broader culture and society, such as implicit biases and the allocation of funding </w:t>
      </w:r>
      <w:r w:rsidR="0004079B" w:rsidRPr="00296330">
        <w:rPr>
          <w:sz w:val="22"/>
          <w:szCs w:val="22"/>
        </w:rPr>
        <w:t xml:space="preserve">for mental health and social-emotional resources </w:t>
      </w:r>
      <w:r>
        <w:rPr>
          <w:sz w:val="22"/>
          <w:szCs w:val="22"/>
        </w:rPr>
        <w:t>have all been linked to children’s experiences of exclusion</w:t>
      </w:r>
      <w:r w:rsidR="00B555A4" w:rsidRPr="00296330">
        <w:rPr>
          <w:sz w:val="22"/>
          <w:szCs w:val="22"/>
        </w:rPr>
        <w:t xml:space="preserve"> (</w:t>
      </w:r>
      <w:r w:rsidR="00D649DB">
        <w:rPr>
          <w:sz w:val="22"/>
          <w:szCs w:val="22"/>
        </w:rPr>
        <w:t xml:space="preserve">Gilliam, 2016; </w:t>
      </w:r>
      <w:r w:rsidR="00B52783" w:rsidRPr="00296330">
        <w:rPr>
          <w:sz w:val="22"/>
          <w:szCs w:val="22"/>
        </w:rPr>
        <w:t xml:space="preserve">Perry, Holland, Darling-Kuria, &amp; </w:t>
      </w:r>
      <w:proofErr w:type="spellStart"/>
      <w:r w:rsidR="00B52783" w:rsidRPr="00296330">
        <w:rPr>
          <w:sz w:val="22"/>
          <w:szCs w:val="22"/>
        </w:rPr>
        <w:t>Nadiv</w:t>
      </w:r>
      <w:proofErr w:type="spellEnd"/>
      <w:r w:rsidR="00B52783" w:rsidRPr="00296330">
        <w:rPr>
          <w:sz w:val="22"/>
          <w:szCs w:val="22"/>
        </w:rPr>
        <w:t>, 2011</w:t>
      </w:r>
      <w:r w:rsidR="00B555A4" w:rsidRPr="00296330">
        <w:rPr>
          <w:sz w:val="22"/>
          <w:szCs w:val="22"/>
        </w:rPr>
        <w:t>)</w:t>
      </w:r>
      <w:r w:rsidR="0004079B" w:rsidRPr="00296330">
        <w:rPr>
          <w:sz w:val="22"/>
          <w:szCs w:val="22"/>
        </w:rPr>
        <w:t xml:space="preserve">. </w:t>
      </w:r>
    </w:p>
    <w:p w14:paraId="301F8CD3" w14:textId="1B54C1B9" w:rsidR="00E55CC8" w:rsidRPr="003B3616" w:rsidRDefault="000F0E2F" w:rsidP="00E55CC8">
      <w:pPr>
        <w:spacing w:line="480" w:lineRule="auto"/>
        <w:ind w:firstLine="720"/>
        <w:rPr>
          <w:sz w:val="22"/>
          <w:szCs w:val="22"/>
        </w:rPr>
      </w:pPr>
      <w:r w:rsidRPr="003B3616">
        <w:rPr>
          <w:sz w:val="22"/>
          <w:szCs w:val="22"/>
        </w:rPr>
        <w:t xml:space="preserve">A </w:t>
      </w:r>
      <w:proofErr w:type="spellStart"/>
      <w:r w:rsidRPr="003B3616">
        <w:rPr>
          <w:sz w:val="22"/>
          <w:szCs w:val="22"/>
        </w:rPr>
        <w:t>bioecological</w:t>
      </w:r>
      <w:proofErr w:type="spellEnd"/>
      <w:r w:rsidRPr="003B3616">
        <w:rPr>
          <w:sz w:val="22"/>
          <w:szCs w:val="22"/>
        </w:rPr>
        <w:t xml:space="preserve"> framing also helps </w:t>
      </w:r>
      <w:r w:rsidR="003B3616" w:rsidRPr="001205A3">
        <w:rPr>
          <w:sz w:val="22"/>
          <w:szCs w:val="22"/>
        </w:rPr>
        <w:t>us anticipate</w:t>
      </w:r>
      <w:r w:rsidRPr="003B3616">
        <w:rPr>
          <w:sz w:val="22"/>
          <w:szCs w:val="22"/>
        </w:rPr>
        <w:t xml:space="preserve"> the negative ripple effects </w:t>
      </w:r>
      <w:r w:rsidR="003B3616" w:rsidRPr="001205A3">
        <w:rPr>
          <w:sz w:val="22"/>
          <w:szCs w:val="22"/>
        </w:rPr>
        <w:t>of a child’s exclusion</w:t>
      </w:r>
      <w:r w:rsidRPr="003B3616">
        <w:rPr>
          <w:sz w:val="22"/>
          <w:szCs w:val="22"/>
        </w:rPr>
        <w:t>. F</w:t>
      </w:r>
      <w:r w:rsidR="009D6E62" w:rsidRPr="003B3616">
        <w:rPr>
          <w:sz w:val="22"/>
          <w:szCs w:val="22"/>
        </w:rPr>
        <w:t>amilies left sudden</w:t>
      </w:r>
      <w:r w:rsidRPr="003B3616">
        <w:rPr>
          <w:sz w:val="22"/>
          <w:szCs w:val="22"/>
        </w:rPr>
        <w:t xml:space="preserve">ly without care </w:t>
      </w:r>
      <w:r w:rsidR="009D6E62" w:rsidRPr="003B3616">
        <w:rPr>
          <w:sz w:val="22"/>
          <w:szCs w:val="22"/>
        </w:rPr>
        <w:t>must quickly</w:t>
      </w:r>
      <w:r w:rsidR="009D6E62">
        <w:rPr>
          <w:sz w:val="22"/>
          <w:szCs w:val="22"/>
        </w:rPr>
        <w:t xml:space="preserve"> </w:t>
      </w:r>
      <w:r w:rsidR="003B3616">
        <w:rPr>
          <w:sz w:val="22"/>
          <w:szCs w:val="22"/>
        </w:rPr>
        <w:t xml:space="preserve">find suitable care or risk missing work. </w:t>
      </w:r>
      <w:r w:rsidR="00BC5C1E" w:rsidRPr="00296330">
        <w:rPr>
          <w:sz w:val="22"/>
          <w:szCs w:val="22"/>
        </w:rPr>
        <w:t xml:space="preserve">More than half of Illinois residents live in regions labeled “childcare deserts” because there is such scarcity </w:t>
      </w:r>
      <w:r w:rsidR="00322316" w:rsidRPr="00296330">
        <w:rPr>
          <w:sz w:val="22"/>
          <w:szCs w:val="22"/>
        </w:rPr>
        <w:t>of</w:t>
      </w:r>
      <w:r w:rsidR="00BC5C1E" w:rsidRPr="00296330">
        <w:rPr>
          <w:sz w:val="22"/>
          <w:szCs w:val="22"/>
        </w:rPr>
        <w:t xml:space="preserve"> licensed programs (Malik et al., 2018). Given </w:t>
      </w:r>
      <w:r w:rsidR="00330205" w:rsidRPr="00296330">
        <w:rPr>
          <w:sz w:val="22"/>
          <w:szCs w:val="22"/>
        </w:rPr>
        <w:t xml:space="preserve">the role of </w:t>
      </w:r>
      <w:r w:rsidR="00322316" w:rsidRPr="00296330">
        <w:rPr>
          <w:sz w:val="22"/>
          <w:szCs w:val="22"/>
        </w:rPr>
        <w:t>ECCE as a work support to parents</w:t>
      </w:r>
      <w:r w:rsidR="00BC5C1E" w:rsidRPr="00296330">
        <w:rPr>
          <w:sz w:val="22"/>
          <w:szCs w:val="22"/>
        </w:rPr>
        <w:t xml:space="preserve">, it is important </w:t>
      </w:r>
      <w:r w:rsidR="00B44579" w:rsidRPr="00296330">
        <w:rPr>
          <w:sz w:val="22"/>
          <w:szCs w:val="22"/>
        </w:rPr>
        <w:t>t</w:t>
      </w:r>
      <w:r w:rsidR="001E03E5" w:rsidRPr="00296330">
        <w:rPr>
          <w:sz w:val="22"/>
          <w:szCs w:val="22"/>
        </w:rPr>
        <w:t>o consider the impact of expulsion</w:t>
      </w:r>
      <w:r w:rsidR="00BC5C1E" w:rsidRPr="00296330">
        <w:rPr>
          <w:sz w:val="22"/>
          <w:szCs w:val="22"/>
        </w:rPr>
        <w:t xml:space="preserve"> on whole family units, including increased stress and financial hardship </w:t>
      </w:r>
      <w:r w:rsidR="00BC5C1E" w:rsidRPr="00296330">
        <w:rPr>
          <w:sz w:val="22"/>
          <w:szCs w:val="22"/>
        </w:rPr>
        <w:lastRenderedPageBreak/>
        <w:t>due to missed or lost work opportunities</w:t>
      </w:r>
      <w:r w:rsidR="00727DE6" w:rsidRPr="00296330">
        <w:rPr>
          <w:sz w:val="22"/>
          <w:szCs w:val="22"/>
        </w:rPr>
        <w:t xml:space="preserve"> (Southward et al., 2006)</w:t>
      </w:r>
      <w:r w:rsidR="00BC5C1E" w:rsidRPr="00296330">
        <w:rPr>
          <w:sz w:val="22"/>
          <w:szCs w:val="22"/>
        </w:rPr>
        <w:t xml:space="preserve">. </w:t>
      </w:r>
      <w:r w:rsidR="0044049F" w:rsidRPr="00296330">
        <w:rPr>
          <w:sz w:val="22"/>
          <w:szCs w:val="22"/>
        </w:rPr>
        <w:t>Lastly</w:t>
      </w:r>
      <w:r w:rsidR="0037500A" w:rsidRPr="00296330">
        <w:rPr>
          <w:sz w:val="22"/>
          <w:szCs w:val="22"/>
        </w:rPr>
        <w:t xml:space="preserve">, </w:t>
      </w:r>
      <w:r w:rsidR="003B3616">
        <w:rPr>
          <w:sz w:val="22"/>
          <w:szCs w:val="22"/>
        </w:rPr>
        <w:t xml:space="preserve">given that there is no evidence that </w:t>
      </w:r>
      <w:r w:rsidR="0037500A" w:rsidRPr="00296330">
        <w:rPr>
          <w:sz w:val="22"/>
          <w:szCs w:val="22"/>
        </w:rPr>
        <w:t>e</w:t>
      </w:r>
      <w:r w:rsidR="007A524F" w:rsidRPr="00296330">
        <w:rPr>
          <w:sz w:val="22"/>
          <w:szCs w:val="22"/>
        </w:rPr>
        <w:t>xpulsion is</w:t>
      </w:r>
      <w:r w:rsidR="003B3616">
        <w:rPr>
          <w:sz w:val="22"/>
          <w:szCs w:val="22"/>
        </w:rPr>
        <w:t xml:space="preserve"> an effective intervention to reduce challenging behavior </w:t>
      </w:r>
      <w:r w:rsidR="003B3616" w:rsidRPr="00A803AF">
        <w:rPr>
          <w:sz w:val="22"/>
          <w:szCs w:val="22"/>
        </w:rPr>
        <w:t xml:space="preserve">(Lamont et al., 2013; </w:t>
      </w:r>
      <w:proofErr w:type="spellStart"/>
      <w:r w:rsidR="003B3616" w:rsidRPr="00A803AF">
        <w:rPr>
          <w:sz w:val="22"/>
          <w:szCs w:val="22"/>
        </w:rPr>
        <w:t>Skiba</w:t>
      </w:r>
      <w:proofErr w:type="spellEnd"/>
      <w:r w:rsidR="003B3616" w:rsidRPr="00A803AF">
        <w:rPr>
          <w:sz w:val="22"/>
          <w:szCs w:val="22"/>
        </w:rPr>
        <w:t xml:space="preserve"> &amp; </w:t>
      </w:r>
      <w:proofErr w:type="spellStart"/>
      <w:r w:rsidR="003B3616" w:rsidRPr="00A803AF">
        <w:rPr>
          <w:sz w:val="22"/>
          <w:szCs w:val="22"/>
        </w:rPr>
        <w:t>Knesting</w:t>
      </w:r>
      <w:proofErr w:type="spellEnd"/>
      <w:r w:rsidR="003B3616" w:rsidRPr="00A803AF">
        <w:rPr>
          <w:sz w:val="22"/>
          <w:szCs w:val="22"/>
        </w:rPr>
        <w:t>, 2002)</w:t>
      </w:r>
      <w:r w:rsidR="003B3616">
        <w:rPr>
          <w:sz w:val="22"/>
          <w:szCs w:val="22"/>
        </w:rPr>
        <w:t>, children’s unmet needs will influence any new care arrangement if no additional supports are provided.</w:t>
      </w:r>
      <w:r w:rsidR="00E55CC8">
        <w:rPr>
          <w:sz w:val="22"/>
          <w:szCs w:val="22"/>
        </w:rPr>
        <w:t xml:space="preserve"> Children who have been expelled are </w:t>
      </w:r>
      <w:r w:rsidR="009F31DD">
        <w:rPr>
          <w:sz w:val="22"/>
          <w:szCs w:val="22"/>
        </w:rPr>
        <w:t xml:space="preserve">therefore </w:t>
      </w:r>
      <w:r w:rsidR="00E55CC8">
        <w:rPr>
          <w:sz w:val="22"/>
          <w:szCs w:val="22"/>
        </w:rPr>
        <w:t xml:space="preserve">more likely to be expelled again in the future and are at greater risk of </w:t>
      </w:r>
      <w:r w:rsidR="00E55CC8" w:rsidRPr="00296330">
        <w:rPr>
          <w:sz w:val="22"/>
          <w:szCs w:val="22"/>
        </w:rPr>
        <w:t xml:space="preserve">school dropout, and involvement in the criminal justice system (Gregory, </w:t>
      </w:r>
      <w:proofErr w:type="spellStart"/>
      <w:r w:rsidR="00E55CC8" w:rsidRPr="00296330">
        <w:rPr>
          <w:sz w:val="22"/>
          <w:szCs w:val="22"/>
        </w:rPr>
        <w:t>Skiba</w:t>
      </w:r>
      <w:proofErr w:type="spellEnd"/>
      <w:r w:rsidR="00E55CC8" w:rsidRPr="00296330">
        <w:rPr>
          <w:sz w:val="22"/>
          <w:szCs w:val="22"/>
        </w:rPr>
        <w:t xml:space="preserve">, &amp; </w:t>
      </w:r>
      <w:proofErr w:type="spellStart"/>
      <w:r w:rsidR="00E55CC8" w:rsidRPr="003B3616">
        <w:rPr>
          <w:sz w:val="22"/>
          <w:szCs w:val="22"/>
        </w:rPr>
        <w:t>Noguera</w:t>
      </w:r>
      <w:proofErr w:type="spellEnd"/>
      <w:r w:rsidR="00E55CC8" w:rsidRPr="003B3616">
        <w:rPr>
          <w:sz w:val="22"/>
          <w:szCs w:val="22"/>
        </w:rPr>
        <w:t xml:space="preserve">, 2010; Raffaele Mendez, 2003). </w:t>
      </w:r>
    </w:p>
    <w:p w14:paraId="28727BD5" w14:textId="77777777" w:rsidR="007A524F" w:rsidRPr="00296330" w:rsidRDefault="007A524F">
      <w:pPr>
        <w:spacing w:line="480" w:lineRule="auto"/>
        <w:rPr>
          <w:sz w:val="22"/>
          <w:szCs w:val="22"/>
        </w:rPr>
      </w:pPr>
      <w:r w:rsidRPr="00296330">
        <w:rPr>
          <w:b/>
          <w:sz w:val="22"/>
          <w:szCs w:val="22"/>
        </w:rPr>
        <w:t xml:space="preserve">Federal Calls for State Action </w:t>
      </w:r>
    </w:p>
    <w:p w14:paraId="4B0570D9" w14:textId="6161C895" w:rsidR="007A524F" w:rsidRPr="00296330" w:rsidRDefault="007A524F">
      <w:pPr>
        <w:spacing w:line="480" w:lineRule="auto"/>
        <w:rPr>
          <w:sz w:val="22"/>
          <w:szCs w:val="22"/>
        </w:rPr>
      </w:pPr>
      <w:r w:rsidRPr="00296330">
        <w:rPr>
          <w:sz w:val="22"/>
          <w:szCs w:val="22"/>
        </w:rPr>
        <w:tab/>
      </w:r>
      <w:r w:rsidR="00E0196A" w:rsidRPr="00296330">
        <w:rPr>
          <w:sz w:val="22"/>
          <w:szCs w:val="22"/>
        </w:rPr>
        <w:t xml:space="preserve">With evidence of the </w:t>
      </w:r>
      <w:r w:rsidR="00D377EF" w:rsidRPr="00296330">
        <w:rPr>
          <w:sz w:val="22"/>
          <w:szCs w:val="22"/>
        </w:rPr>
        <w:t xml:space="preserve">high </w:t>
      </w:r>
      <w:r w:rsidR="00E0196A" w:rsidRPr="00296330">
        <w:rPr>
          <w:sz w:val="22"/>
          <w:szCs w:val="22"/>
        </w:rPr>
        <w:t xml:space="preserve">rates and negative impacts of early childhood exclusion mounting, </w:t>
      </w:r>
      <w:r w:rsidRPr="00296330">
        <w:rPr>
          <w:sz w:val="22"/>
          <w:szCs w:val="22"/>
        </w:rPr>
        <w:t xml:space="preserve">the U.S. Departments of </w:t>
      </w:r>
      <w:r w:rsidR="00BB6446">
        <w:rPr>
          <w:sz w:val="22"/>
          <w:szCs w:val="22"/>
        </w:rPr>
        <w:t>Education (DOE) and Health and Human Services (HHS)</w:t>
      </w:r>
      <w:r w:rsidRPr="00296330">
        <w:rPr>
          <w:sz w:val="22"/>
          <w:szCs w:val="22"/>
        </w:rPr>
        <w:t xml:space="preserve"> issued a joint policy statement in 2014</w:t>
      </w:r>
      <w:r w:rsidR="00E0196A" w:rsidRPr="00296330">
        <w:rPr>
          <w:sz w:val="22"/>
          <w:szCs w:val="22"/>
        </w:rPr>
        <w:t>, r</w:t>
      </w:r>
      <w:r w:rsidR="007400A4" w:rsidRPr="00296330">
        <w:rPr>
          <w:sz w:val="22"/>
          <w:szCs w:val="22"/>
        </w:rPr>
        <w:t>ecommend</w:t>
      </w:r>
      <w:r w:rsidR="00E0196A" w:rsidRPr="00296330">
        <w:rPr>
          <w:sz w:val="22"/>
          <w:szCs w:val="22"/>
        </w:rPr>
        <w:t xml:space="preserve">ing </w:t>
      </w:r>
      <w:r w:rsidR="004D51C3" w:rsidRPr="00296330">
        <w:rPr>
          <w:sz w:val="22"/>
          <w:szCs w:val="22"/>
        </w:rPr>
        <w:t>policy</w:t>
      </w:r>
      <w:r w:rsidR="007400A4" w:rsidRPr="00296330">
        <w:rPr>
          <w:sz w:val="22"/>
          <w:szCs w:val="22"/>
        </w:rPr>
        <w:t xml:space="preserve"> action, social-emotional programming, and unified data systems</w:t>
      </w:r>
      <w:r w:rsidR="006E3681" w:rsidRPr="00296330">
        <w:rPr>
          <w:sz w:val="22"/>
          <w:szCs w:val="22"/>
        </w:rPr>
        <w:t xml:space="preserve"> to sup</w:t>
      </w:r>
      <w:r w:rsidR="00E0196A" w:rsidRPr="00296330">
        <w:rPr>
          <w:sz w:val="22"/>
          <w:szCs w:val="22"/>
        </w:rPr>
        <w:t>port research and accountability</w:t>
      </w:r>
      <w:r w:rsidR="000F0222">
        <w:rPr>
          <w:sz w:val="22"/>
          <w:szCs w:val="22"/>
        </w:rPr>
        <w:t xml:space="preserve">. </w:t>
      </w:r>
      <w:r w:rsidR="007400A4" w:rsidRPr="00296330">
        <w:rPr>
          <w:sz w:val="22"/>
          <w:szCs w:val="22"/>
        </w:rPr>
        <w:t>Th</w:t>
      </w:r>
      <w:r w:rsidR="00E0196A" w:rsidRPr="00296330">
        <w:rPr>
          <w:sz w:val="22"/>
          <w:szCs w:val="22"/>
        </w:rPr>
        <w:t xml:space="preserve">at </w:t>
      </w:r>
      <w:r w:rsidR="007400A4" w:rsidRPr="00296330">
        <w:rPr>
          <w:sz w:val="22"/>
          <w:szCs w:val="22"/>
        </w:rPr>
        <w:t>same year, the Child Care Development Block Grant (CCDBG) Act, a federal</w:t>
      </w:r>
      <w:r w:rsidR="00E0196A" w:rsidRPr="00296330">
        <w:rPr>
          <w:sz w:val="22"/>
          <w:szCs w:val="22"/>
        </w:rPr>
        <w:t xml:space="preserve"> flow-through</w:t>
      </w:r>
      <w:r w:rsidR="007400A4" w:rsidRPr="00296330">
        <w:rPr>
          <w:sz w:val="22"/>
          <w:szCs w:val="22"/>
        </w:rPr>
        <w:t xml:space="preserve"> funding source for state</w:t>
      </w:r>
      <w:r w:rsidR="00E0196A" w:rsidRPr="00296330">
        <w:rPr>
          <w:sz w:val="22"/>
          <w:szCs w:val="22"/>
        </w:rPr>
        <w:t xml:space="preserve"> early childhood systems, </w:t>
      </w:r>
      <w:r w:rsidR="00371E25" w:rsidRPr="00296330">
        <w:rPr>
          <w:sz w:val="22"/>
          <w:szCs w:val="22"/>
        </w:rPr>
        <w:t xml:space="preserve">strongly encouraged </w:t>
      </w:r>
      <w:r w:rsidR="00E0196A" w:rsidRPr="00296330">
        <w:rPr>
          <w:sz w:val="22"/>
          <w:szCs w:val="22"/>
        </w:rPr>
        <w:t>grantees</w:t>
      </w:r>
      <w:r w:rsidR="00371E25" w:rsidRPr="00296330">
        <w:rPr>
          <w:sz w:val="22"/>
          <w:szCs w:val="22"/>
        </w:rPr>
        <w:t xml:space="preserve"> to</w:t>
      </w:r>
      <w:r w:rsidR="00E0196A" w:rsidRPr="00296330">
        <w:rPr>
          <w:sz w:val="22"/>
          <w:szCs w:val="22"/>
        </w:rPr>
        <w:t xml:space="preserve"> </w:t>
      </w:r>
      <w:r w:rsidR="007400A4" w:rsidRPr="00296330">
        <w:rPr>
          <w:sz w:val="22"/>
          <w:szCs w:val="22"/>
        </w:rPr>
        <w:t>address the issue of suspension and expulsion</w:t>
      </w:r>
      <w:r w:rsidR="00724921" w:rsidRPr="00296330">
        <w:rPr>
          <w:sz w:val="22"/>
          <w:szCs w:val="22"/>
        </w:rPr>
        <w:t xml:space="preserve"> through </w:t>
      </w:r>
      <w:r w:rsidR="004C30A2" w:rsidRPr="00296330">
        <w:rPr>
          <w:sz w:val="22"/>
          <w:szCs w:val="22"/>
        </w:rPr>
        <w:t>its guidance on effective state-level practices</w:t>
      </w:r>
      <w:r w:rsidR="00E0196A" w:rsidRPr="00296330">
        <w:rPr>
          <w:sz w:val="22"/>
          <w:szCs w:val="22"/>
        </w:rPr>
        <w:t>. Soon after</w:t>
      </w:r>
      <w:r w:rsidR="007400A4" w:rsidRPr="00296330">
        <w:rPr>
          <w:sz w:val="22"/>
          <w:szCs w:val="22"/>
        </w:rPr>
        <w:t xml:space="preserve">, Head Start, </w:t>
      </w:r>
      <w:r w:rsidR="00E0196A" w:rsidRPr="00296330">
        <w:rPr>
          <w:sz w:val="22"/>
          <w:szCs w:val="22"/>
        </w:rPr>
        <w:t xml:space="preserve">the nation’s largest federally funded early childhood program, </w:t>
      </w:r>
      <w:r w:rsidR="007400A4" w:rsidRPr="00296330">
        <w:rPr>
          <w:sz w:val="22"/>
          <w:szCs w:val="22"/>
        </w:rPr>
        <w:t>clarif</w:t>
      </w:r>
      <w:r w:rsidR="00E0196A" w:rsidRPr="00296330">
        <w:rPr>
          <w:sz w:val="22"/>
          <w:szCs w:val="22"/>
        </w:rPr>
        <w:t xml:space="preserve">ied its </w:t>
      </w:r>
      <w:r w:rsidR="007400A4" w:rsidRPr="00296330">
        <w:rPr>
          <w:sz w:val="22"/>
          <w:szCs w:val="22"/>
        </w:rPr>
        <w:t>firm stance on the issue</w:t>
      </w:r>
      <w:r w:rsidR="004D51C3" w:rsidRPr="00296330">
        <w:rPr>
          <w:sz w:val="22"/>
          <w:szCs w:val="22"/>
        </w:rPr>
        <w:t xml:space="preserve"> in their updated performance standards</w:t>
      </w:r>
      <w:r w:rsidR="007400A4" w:rsidRPr="00296330">
        <w:rPr>
          <w:sz w:val="22"/>
          <w:szCs w:val="22"/>
        </w:rPr>
        <w:t xml:space="preserve"> </w:t>
      </w:r>
      <w:r w:rsidR="005A7B76" w:rsidRPr="00296330">
        <w:rPr>
          <w:sz w:val="22"/>
          <w:szCs w:val="22"/>
        </w:rPr>
        <w:t>to forbid exclusionary discipline</w:t>
      </w:r>
      <w:r w:rsidR="00F32997" w:rsidRPr="00296330">
        <w:rPr>
          <w:sz w:val="22"/>
          <w:szCs w:val="22"/>
        </w:rPr>
        <w:t xml:space="preserve"> </w:t>
      </w:r>
      <w:r w:rsidR="007400A4" w:rsidRPr="00296330">
        <w:rPr>
          <w:sz w:val="22"/>
          <w:szCs w:val="22"/>
        </w:rPr>
        <w:t xml:space="preserve">(U.S. Department of Health and Human Services, 2016). </w:t>
      </w:r>
    </w:p>
    <w:p w14:paraId="2AC6FFD6" w14:textId="3E931C1E" w:rsidR="00B373EE" w:rsidRPr="00296330" w:rsidRDefault="00B373EE">
      <w:pPr>
        <w:spacing w:line="480" w:lineRule="auto"/>
        <w:rPr>
          <w:sz w:val="22"/>
          <w:szCs w:val="22"/>
        </w:rPr>
      </w:pPr>
      <w:r w:rsidRPr="00296330">
        <w:rPr>
          <w:sz w:val="22"/>
          <w:szCs w:val="22"/>
        </w:rPr>
        <w:tab/>
        <w:t>To comply with th</w:t>
      </w:r>
      <w:r w:rsidR="004D51C3" w:rsidRPr="00296330">
        <w:rPr>
          <w:sz w:val="22"/>
          <w:szCs w:val="22"/>
        </w:rPr>
        <w:t>is</w:t>
      </w:r>
      <w:r w:rsidRPr="00296330">
        <w:rPr>
          <w:sz w:val="22"/>
          <w:szCs w:val="22"/>
        </w:rPr>
        <w:t xml:space="preserve"> federal </w:t>
      </w:r>
      <w:r w:rsidR="004D51C3" w:rsidRPr="00296330">
        <w:rPr>
          <w:sz w:val="22"/>
          <w:szCs w:val="22"/>
        </w:rPr>
        <w:t>movement</w:t>
      </w:r>
      <w:r w:rsidRPr="00296330">
        <w:rPr>
          <w:sz w:val="22"/>
          <w:szCs w:val="22"/>
        </w:rPr>
        <w:t xml:space="preserve">, states across the country are </w:t>
      </w:r>
      <w:r w:rsidR="00D377EF" w:rsidRPr="00296330">
        <w:rPr>
          <w:sz w:val="22"/>
          <w:szCs w:val="22"/>
        </w:rPr>
        <w:t xml:space="preserve">trying </w:t>
      </w:r>
      <w:r w:rsidRPr="00296330">
        <w:rPr>
          <w:sz w:val="22"/>
          <w:szCs w:val="22"/>
        </w:rPr>
        <w:t xml:space="preserve">to limit the expulsion of young children from preschool and early learning programs. As of 2018, at least 20 states </w:t>
      </w:r>
      <w:r w:rsidR="00D377EF" w:rsidRPr="00296330">
        <w:rPr>
          <w:sz w:val="22"/>
          <w:szCs w:val="22"/>
        </w:rPr>
        <w:t xml:space="preserve">and </w:t>
      </w:r>
      <w:r w:rsidRPr="00296330">
        <w:rPr>
          <w:sz w:val="22"/>
          <w:szCs w:val="22"/>
        </w:rPr>
        <w:t xml:space="preserve">the District of Columbia </w:t>
      </w:r>
      <w:r w:rsidR="00C8646A" w:rsidRPr="00296330">
        <w:rPr>
          <w:sz w:val="22"/>
          <w:szCs w:val="22"/>
        </w:rPr>
        <w:t xml:space="preserve">had made progress </w:t>
      </w:r>
      <w:r w:rsidR="00727708" w:rsidRPr="00296330">
        <w:rPr>
          <w:sz w:val="22"/>
          <w:szCs w:val="22"/>
        </w:rPr>
        <w:t xml:space="preserve">towards </w:t>
      </w:r>
      <w:r w:rsidR="00527A07" w:rsidRPr="00296330">
        <w:rPr>
          <w:sz w:val="22"/>
          <w:szCs w:val="22"/>
        </w:rPr>
        <w:t>addressing early childhood expulsion</w:t>
      </w:r>
      <w:r w:rsidR="00C8646A" w:rsidRPr="00296330">
        <w:rPr>
          <w:sz w:val="22"/>
          <w:szCs w:val="22"/>
        </w:rPr>
        <w:t xml:space="preserve">, but approaches vary significantly </w:t>
      </w:r>
      <w:r w:rsidRPr="00296330">
        <w:rPr>
          <w:sz w:val="22"/>
          <w:szCs w:val="22"/>
        </w:rPr>
        <w:t>(Grossman-Kahn, Reyes, Maupin, &amp; Gilliam, 2018)</w:t>
      </w:r>
      <w:r w:rsidR="00E0196A" w:rsidRPr="00296330">
        <w:rPr>
          <w:sz w:val="22"/>
          <w:szCs w:val="22"/>
        </w:rPr>
        <w:t>.</w:t>
      </w:r>
      <w:r w:rsidRPr="00296330">
        <w:rPr>
          <w:sz w:val="22"/>
          <w:szCs w:val="22"/>
        </w:rPr>
        <w:t xml:space="preserve"> Some states</w:t>
      </w:r>
      <w:r w:rsidR="001E784C" w:rsidRPr="00296330">
        <w:rPr>
          <w:sz w:val="22"/>
          <w:szCs w:val="22"/>
        </w:rPr>
        <w:t>,</w:t>
      </w:r>
      <w:r w:rsidRPr="00296330">
        <w:rPr>
          <w:sz w:val="22"/>
          <w:szCs w:val="22"/>
        </w:rPr>
        <w:t xml:space="preserve"> such as Colorado and Louisiana, denounc</w:t>
      </w:r>
      <w:r w:rsidR="00E0196A" w:rsidRPr="00296330">
        <w:rPr>
          <w:sz w:val="22"/>
          <w:szCs w:val="22"/>
        </w:rPr>
        <w:t xml:space="preserve">e exclusionary discipline in published administrative guides, reporting standards, and </w:t>
      </w:r>
      <w:r w:rsidRPr="00296330">
        <w:rPr>
          <w:sz w:val="22"/>
          <w:szCs w:val="22"/>
        </w:rPr>
        <w:t xml:space="preserve">reimbursement requirements. </w:t>
      </w:r>
      <w:r w:rsidR="00E0196A" w:rsidRPr="00296330">
        <w:rPr>
          <w:sz w:val="22"/>
          <w:szCs w:val="22"/>
        </w:rPr>
        <w:t xml:space="preserve">Others, like Arkansas, are enacting </w:t>
      </w:r>
      <w:r w:rsidR="00371E25" w:rsidRPr="00296330">
        <w:rPr>
          <w:sz w:val="22"/>
          <w:szCs w:val="22"/>
        </w:rPr>
        <w:t>system</w:t>
      </w:r>
      <w:r w:rsidR="006B2FBC" w:rsidRPr="00296330">
        <w:rPr>
          <w:sz w:val="22"/>
          <w:szCs w:val="22"/>
        </w:rPr>
        <w:t>ic</w:t>
      </w:r>
      <w:r w:rsidR="00371E25" w:rsidRPr="00296330">
        <w:rPr>
          <w:sz w:val="22"/>
          <w:szCs w:val="22"/>
        </w:rPr>
        <w:t xml:space="preserve"> plans</w:t>
      </w:r>
      <w:r w:rsidR="00E0196A" w:rsidRPr="00296330">
        <w:rPr>
          <w:sz w:val="22"/>
          <w:szCs w:val="22"/>
        </w:rPr>
        <w:t xml:space="preserve"> </w:t>
      </w:r>
      <w:r w:rsidR="00371E25" w:rsidRPr="00296330">
        <w:rPr>
          <w:sz w:val="22"/>
          <w:szCs w:val="22"/>
        </w:rPr>
        <w:t xml:space="preserve">in accordance </w:t>
      </w:r>
      <w:r w:rsidR="008D6FD9" w:rsidRPr="00296330">
        <w:rPr>
          <w:sz w:val="22"/>
          <w:szCs w:val="22"/>
        </w:rPr>
        <w:t xml:space="preserve">with the </w:t>
      </w:r>
      <w:r w:rsidRPr="00296330">
        <w:rPr>
          <w:sz w:val="22"/>
          <w:szCs w:val="22"/>
        </w:rPr>
        <w:t xml:space="preserve">2014 </w:t>
      </w:r>
      <w:r w:rsidR="00E0196A" w:rsidRPr="00296330">
        <w:rPr>
          <w:sz w:val="22"/>
          <w:szCs w:val="22"/>
        </w:rPr>
        <w:t xml:space="preserve">joint </w:t>
      </w:r>
      <w:r w:rsidRPr="00296330">
        <w:rPr>
          <w:sz w:val="22"/>
          <w:szCs w:val="22"/>
        </w:rPr>
        <w:t xml:space="preserve">federal policy statement </w:t>
      </w:r>
      <w:r w:rsidR="008D6FD9" w:rsidRPr="00296330">
        <w:rPr>
          <w:sz w:val="22"/>
          <w:szCs w:val="22"/>
        </w:rPr>
        <w:t xml:space="preserve">recommendations </w:t>
      </w:r>
      <w:r w:rsidRPr="00296330">
        <w:rPr>
          <w:sz w:val="22"/>
          <w:szCs w:val="22"/>
        </w:rPr>
        <w:t>(</w:t>
      </w:r>
      <w:proofErr w:type="spellStart"/>
      <w:r w:rsidRPr="00296330">
        <w:rPr>
          <w:sz w:val="22"/>
          <w:szCs w:val="22"/>
        </w:rPr>
        <w:t>Conners</w:t>
      </w:r>
      <w:proofErr w:type="spellEnd"/>
      <w:r w:rsidRPr="00296330">
        <w:rPr>
          <w:sz w:val="22"/>
          <w:szCs w:val="22"/>
        </w:rPr>
        <w:t xml:space="preserve"> Edge, et al., 2018). </w:t>
      </w:r>
      <w:r w:rsidR="00C8646A" w:rsidRPr="00296330">
        <w:rPr>
          <w:sz w:val="22"/>
          <w:szCs w:val="22"/>
        </w:rPr>
        <w:t>At least ten states have successfully passed legislation on the issue (Padilla</w:t>
      </w:r>
      <w:r w:rsidR="003500DA" w:rsidRPr="00296330">
        <w:rPr>
          <w:sz w:val="22"/>
          <w:szCs w:val="22"/>
        </w:rPr>
        <w:t xml:space="preserve">, Loomis, Davis, </w:t>
      </w:r>
      <w:proofErr w:type="spellStart"/>
      <w:r w:rsidR="003500DA" w:rsidRPr="00296330">
        <w:rPr>
          <w:sz w:val="22"/>
          <w:szCs w:val="22"/>
        </w:rPr>
        <w:t>Cruden</w:t>
      </w:r>
      <w:proofErr w:type="spellEnd"/>
      <w:r w:rsidR="003500DA" w:rsidRPr="00296330">
        <w:rPr>
          <w:sz w:val="22"/>
          <w:szCs w:val="22"/>
        </w:rPr>
        <w:t xml:space="preserve"> &amp; </w:t>
      </w:r>
      <w:proofErr w:type="spellStart"/>
      <w:r w:rsidR="003500DA" w:rsidRPr="00296330">
        <w:rPr>
          <w:sz w:val="22"/>
          <w:szCs w:val="22"/>
        </w:rPr>
        <w:t>Drazen</w:t>
      </w:r>
      <w:proofErr w:type="spellEnd"/>
      <w:r w:rsidR="00C8646A" w:rsidRPr="00296330">
        <w:rPr>
          <w:sz w:val="22"/>
          <w:szCs w:val="22"/>
        </w:rPr>
        <w:t xml:space="preserve">, 2020). </w:t>
      </w:r>
      <w:r w:rsidR="00527A07" w:rsidRPr="00296330">
        <w:rPr>
          <w:sz w:val="22"/>
          <w:szCs w:val="22"/>
        </w:rPr>
        <w:t>Yet, s</w:t>
      </w:r>
      <w:r w:rsidR="00C8646A" w:rsidRPr="00296330">
        <w:rPr>
          <w:sz w:val="22"/>
          <w:szCs w:val="22"/>
        </w:rPr>
        <w:t xml:space="preserve">tates vary in the breadth of their efforts, with </w:t>
      </w:r>
      <w:r w:rsidR="00027C15" w:rsidRPr="00296330">
        <w:rPr>
          <w:sz w:val="22"/>
          <w:szCs w:val="22"/>
        </w:rPr>
        <w:t>many policies</w:t>
      </w:r>
      <w:r w:rsidR="00C8646A" w:rsidRPr="00296330">
        <w:rPr>
          <w:sz w:val="22"/>
          <w:szCs w:val="22"/>
        </w:rPr>
        <w:t xml:space="preserve"> applying to only certain age-bands, funding types, or program type</w:t>
      </w:r>
      <w:r w:rsidR="00027C15" w:rsidRPr="00296330">
        <w:rPr>
          <w:sz w:val="22"/>
          <w:szCs w:val="22"/>
        </w:rPr>
        <w:t>s</w:t>
      </w:r>
      <w:r w:rsidR="00C8646A" w:rsidRPr="00296330">
        <w:rPr>
          <w:sz w:val="22"/>
          <w:szCs w:val="22"/>
        </w:rPr>
        <w:t xml:space="preserve"> (e.g., only children enrolled in public school-based Pre-K)</w:t>
      </w:r>
      <w:r w:rsidR="00027C15" w:rsidRPr="00296330">
        <w:rPr>
          <w:sz w:val="22"/>
          <w:szCs w:val="22"/>
        </w:rPr>
        <w:t>.</w:t>
      </w:r>
    </w:p>
    <w:p w14:paraId="2F5187C4" w14:textId="49977CEC" w:rsidR="00B373EE" w:rsidRPr="00296330" w:rsidRDefault="00C63682">
      <w:pPr>
        <w:spacing w:line="480" w:lineRule="auto"/>
        <w:ind w:firstLine="720"/>
        <w:rPr>
          <w:sz w:val="22"/>
          <w:szCs w:val="22"/>
        </w:rPr>
      </w:pPr>
      <w:bookmarkStart w:id="1" w:name="_heading=h.ctvecx55p3t1" w:colFirst="0" w:colLast="0"/>
      <w:bookmarkEnd w:id="1"/>
      <w:r w:rsidRPr="00296330">
        <w:rPr>
          <w:b/>
          <w:i/>
          <w:sz w:val="22"/>
          <w:szCs w:val="22"/>
        </w:rPr>
        <w:lastRenderedPageBreak/>
        <w:t>Illinois</w:t>
      </w:r>
      <w:r w:rsidR="005C7A31">
        <w:rPr>
          <w:b/>
          <w:i/>
          <w:sz w:val="22"/>
          <w:szCs w:val="22"/>
        </w:rPr>
        <w:t>’</w:t>
      </w:r>
      <w:r w:rsidRPr="00296330">
        <w:rPr>
          <w:b/>
          <w:i/>
          <w:sz w:val="22"/>
          <w:szCs w:val="22"/>
        </w:rPr>
        <w:t xml:space="preserve"> </w:t>
      </w:r>
      <w:r w:rsidR="00322316" w:rsidRPr="00296330">
        <w:rPr>
          <w:b/>
          <w:i/>
          <w:sz w:val="22"/>
          <w:szCs w:val="22"/>
        </w:rPr>
        <w:t>E</w:t>
      </w:r>
      <w:r w:rsidRPr="00296330">
        <w:rPr>
          <w:b/>
          <w:i/>
          <w:sz w:val="22"/>
          <w:szCs w:val="22"/>
        </w:rPr>
        <w:t xml:space="preserve">arly </w:t>
      </w:r>
      <w:r w:rsidR="00322316" w:rsidRPr="00296330">
        <w:rPr>
          <w:b/>
          <w:i/>
          <w:sz w:val="22"/>
          <w:szCs w:val="22"/>
        </w:rPr>
        <w:t>C</w:t>
      </w:r>
      <w:r w:rsidRPr="00296330">
        <w:rPr>
          <w:b/>
          <w:i/>
          <w:sz w:val="22"/>
          <w:szCs w:val="22"/>
        </w:rPr>
        <w:t xml:space="preserve">hildhood </w:t>
      </w:r>
      <w:r w:rsidR="00322316" w:rsidRPr="00296330">
        <w:rPr>
          <w:b/>
          <w:i/>
          <w:sz w:val="22"/>
          <w:szCs w:val="22"/>
        </w:rPr>
        <w:t>E</w:t>
      </w:r>
      <w:r w:rsidRPr="00296330">
        <w:rPr>
          <w:b/>
          <w:i/>
          <w:sz w:val="22"/>
          <w:szCs w:val="22"/>
        </w:rPr>
        <w:t xml:space="preserve">xpulsion </w:t>
      </w:r>
      <w:r w:rsidR="00322316" w:rsidRPr="00296330">
        <w:rPr>
          <w:b/>
          <w:i/>
          <w:sz w:val="22"/>
          <w:szCs w:val="22"/>
        </w:rPr>
        <w:t>L</w:t>
      </w:r>
      <w:r w:rsidRPr="00296330">
        <w:rPr>
          <w:b/>
          <w:i/>
          <w:sz w:val="22"/>
          <w:szCs w:val="22"/>
        </w:rPr>
        <w:t xml:space="preserve">aw. </w:t>
      </w:r>
      <w:r w:rsidR="00C8646A" w:rsidRPr="00296330">
        <w:rPr>
          <w:sz w:val="22"/>
          <w:szCs w:val="22"/>
        </w:rPr>
        <w:t xml:space="preserve">To date, IL PA 100-0105 is </w:t>
      </w:r>
      <w:r w:rsidR="00527A07" w:rsidRPr="00296330">
        <w:rPr>
          <w:sz w:val="22"/>
          <w:szCs w:val="22"/>
        </w:rPr>
        <w:t xml:space="preserve">one of </w:t>
      </w:r>
      <w:r w:rsidR="00C8646A" w:rsidRPr="00296330">
        <w:rPr>
          <w:sz w:val="22"/>
          <w:szCs w:val="22"/>
        </w:rPr>
        <w:t>the most expansive</w:t>
      </w:r>
      <w:r w:rsidR="00D377EF" w:rsidRPr="00296330">
        <w:rPr>
          <w:sz w:val="22"/>
          <w:szCs w:val="22"/>
        </w:rPr>
        <w:t xml:space="preserve"> </w:t>
      </w:r>
      <w:r w:rsidR="00527A07" w:rsidRPr="00296330">
        <w:rPr>
          <w:sz w:val="22"/>
          <w:szCs w:val="22"/>
        </w:rPr>
        <w:t xml:space="preserve">pieces of </w:t>
      </w:r>
      <w:r w:rsidR="00D377EF" w:rsidRPr="00296330">
        <w:rPr>
          <w:sz w:val="22"/>
          <w:szCs w:val="22"/>
        </w:rPr>
        <w:t>early childhood expulsion legislation passed</w:t>
      </w:r>
      <w:r w:rsidR="00505397" w:rsidRPr="00296330">
        <w:rPr>
          <w:sz w:val="22"/>
          <w:szCs w:val="22"/>
        </w:rPr>
        <w:t xml:space="preserve"> across the nation</w:t>
      </w:r>
      <w:r w:rsidR="001F3D73" w:rsidRPr="00296330">
        <w:rPr>
          <w:sz w:val="22"/>
          <w:szCs w:val="22"/>
        </w:rPr>
        <w:t xml:space="preserve"> (Meek et al., 2020</w:t>
      </w:r>
      <w:r w:rsidR="00F32997" w:rsidRPr="00296330">
        <w:rPr>
          <w:sz w:val="22"/>
          <w:szCs w:val="22"/>
        </w:rPr>
        <w:t>; Padilla et al., 2020</w:t>
      </w:r>
      <w:r w:rsidR="001F3D73" w:rsidRPr="00296330">
        <w:rPr>
          <w:sz w:val="22"/>
          <w:szCs w:val="22"/>
        </w:rPr>
        <w:t>)</w:t>
      </w:r>
      <w:r w:rsidR="00C8646A" w:rsidRPr="00296330">
        <w:rPr>
          <w:sz w:val="22"/>
          <w:szCs w:val="22"/>
        </w:rPr>
        <w:t>.</w:t>
      </w:r>
      <w:r w:rsidR="005C7A31">
        <w:rPr>
          <w:sz w:val="22"/>
          <w:szCs w:val="22"/>
        </w:rPr>
        <w:t xml:space="preserve"> This law </w:t>
      </w:r>
      <w:r w:rsidR="00C8646A" w:rsidRPr="00296330">
        <w:rPr>
          <w:sz w:val="22"/>
          <w:szCs w:val="22"/>
        </w:rPr>
        <w:t>seeks to limit</w:t>
      </w:r>
      <w:r w:rsidR="004D4D16" w:rsidRPr="00296330">
        <w:rPr>
          <w:sz w:val="22"/>
          <w:szCs w:val="22"/>
        </w:rPr>
        <w:t>,</w:t>
      </w:r>
      <w:r w:rsidR="00C8646A" w:rsidRPr="00296330">
        <w:rPr>
          <w:sz w:val="22"/>
          <w:szCs w:val="22"/>
        </w:rPr>
        <w:t xml:space="preserve"> if not end</w:t>
      </w:r>
      <w:r w:rsidR="004D4D16" w:rsidRPr="00296330">
        <w:rPr>
          <w:sz w:val="22"/>
          <w:szCs w:val="22"/>
        </w:rPr>
        <w:t>,</w:t>
      </w:r>
      <w:r w:rsidR="00C8646A" w:rsidRPr="00296330">
        <w:rPr>
          <w:sz w:val="22"/>
          <w:szCs w:val="22"/>
        </w:rPr>
        <w:t xml:space="preserve"> the use of exclusionary discipline in any public</w:t>
      </w:r>
      <w:r w:rsidR="00027C15" w:rsidRPr="00296330">
        <w:rPr>
          <w:sz w:val="22"/>
          <w:szCs w:val="22"/>
        </w:rPr>
        <w:t>l</w:t>
      </w:r>
      <w:r w:rsidR="00C8646A" w:rsidRPr="00296330">
        <w:rPr>
          <w:sz w:val="22"/>
          <w:szCs w:val="22"/>
        </w:rPr>
        <w:t xml:space="preserve">y funded </w:t>
      </w:r>
      <w:r w:rsidR="004D4D16" w:rsidRPr="00296330">
        <w:rPr>
          <w:sz w:val="22"/>
          <w:szCs w:val="22"/>
        </w:rPr>
        <w:t>or</w:t>
      </w:r>
      <w:r w:rsidR="00C8646A" w:rsidRPr="00296330">
        <w:rPr>
          <w:sz w:val="22"/>
          <w:szCs w:val="22"/>
        </w:rPr>
        <w:t xml:space="preserve"> state</w:t>
      </w:r>
      <w:r w:rsidR="00027C15" w:rsidRPr="00296330">
        <w:rPr>
          <w:sz w:val="22"/>
          <w:szCs w:val="22"/>
        </w:rPr>
        <w:t>-</w:t>
      </w:r>
      <w:r w:rsidR="00C8646A" w:rsidRPr="00296330">
        <w:rPr>
          <w:sz w:val="22"/>
          <w:szCs w:val="22"/>
        </w:rPr>
        <w:t xml:space="preserve">licensed early childhood program serving children </w:t>
      </w:r>
      <w:r w:rsidR="00EB65B4" w:rsidRPr="00296330">
        <w:rPr>
          <w:sz w:val="22"/>
          <w:szCs w:val="22"/>
        </w:rPr>
        <w:t>between the ages of b</w:t>
      </w:r>
      <w:r w:rsidR="00C8646A" w:rsidRPr="00296330">
        <w:rPr>
          <w:sz w:val="22"/>
          <w:szCs w:val="22"/>
        </w:rPr>
        <w:t>irth to five.</w:t>
      </w:r>
      <w:r w:rsidR="00027C15" w:rsidRPr="00296330">
        <w:rPr>
          <w:sz w:val="22"/>
          <w:szCs w:val="22"/>
        </w:rPr>
        <w:t xml:space="preserve"> </w:t>
      </w:r>
      <w:r w:rsidR="00EB65B4" w:rsidRPr="00296330">
        <w:rPr>
          <w:sz w:val="22"/>
          <w:szCs w:val="22"/>
        </w:rPr>
        <w:t xml:space="preserve">Uniquely, the </w:t>
      </w:r>
      <w:r w:rsidR="005C7A31">
        <w:rPr>
          <w:sz w:val="22"/>
          <w:szCs w:val="22"/>
        </w:rPr>
        <w:t>IL PA 100-0105 calls</w:t>
      </w:r>
      <w:r w:rsidR="00EB65B4" w:rsidRPr="00296330">
        <w:rPr>
          <w:sz w:val="22"/>
          <w:szCs w:val="22"/>
        </w:rPr>
        <w:t xml:space="preserve"> for coordination between the two state agencies that oversee nearly all </w:t>
      </w:r>
      <w:r w:rsidR="002B4F76" w:rsidRPr="00296330">
        <w:rPr>
          <w:sz w:val="22"/>
          <w:szCs w:val="22"/>
        </w:rPr>
        <w:t>early childhood</w:t>
      </w:r>
      <w:r w:rsidR="00EB65B4" w:rsidRPr="00296330">
        <w:rPr>
          <w:sz w:val="22"/>
          <w:szCs w:val="22"/>
        </w:rPr>
        <w:t xml:space="preserve"> programming in the state - </w:t>
      </w:r>
      <w:r w:rsidR="00C8646A" w:rsidRPr="00296330">
        <w:rPr>
          <w:sz w:val="22"/>
          <w:szCs w:val="22"/>
        </w:rPr>
        <w:t xml:space="preserve">the </w:t>
      </w:r>
      <w:r w:rsidR="00B373EE" w:rsidRPr="00296330">
        <w:rPr>
          <w:sz w:val="22"/>
          <w:szCs w:val="22"/>
        </w:rPr>
        <w:t>Illinois State Board of Education (ISBE) and the Illinois Department of Children and Family Services (DCFS)</w:t>
      </w:r>
      <w:r w:rsidR="00EB65B4" w:rsidRPr="00296330">
        <w:rPr>
          <w:sz w:val="22"/>
          <w:szCs w:val="22"/>
        </w:rPr>
        <w:t xml:space="preserve">. </w:t>
      </w:r>
      <w:r w:rsidR="003018FF" w:rsidRPr="00296330">
        <w:rPr>
          <w:sz w:val="22"/>
          <w:szCs w:val="22"/>
        </w:rPr>
        <w:t xml:space="preserve">Other components of the law specifically call out best practices in addressing expulsion by referencing </w:t>
      </w:r>
      <w:r w:rsidR="003E0827" w:rsidRPr="00296330">
        <w:rPr>
          <w:sz w:val="22"/>
          <w:szCs w:val="22"/>
        </w:rPr>
        <w:t>professional development for providers</w:t>
      </w:r>
      <w:r w:rsidR="00CC5D6B">
        <w:rPr>
          <w:sz w:val="22"/>
          <w:szCs w:val="22"/>
        </w:rPr>
        <w:t xml:space="preserve"> (including explicit references to implicit bias training)</w:t>
      </w:r>
      <w:r w:rsidR="003018FF" w:rsidRPr="00296330">
        <w:rPr>
          <w:sz w:val="22"/>
          <w:szCs w:val="22"/>
        </w:rPr>
        <w:t>, family engagement, and exhausting available resources (</w:t>
      </w:r>
      <w:r w:rsidR="00EC3DD1" w:rsidRPr="00296330">
        <w:rPr>
          <w:sz w:val="22"/>
          <w:szCs w:val="22"/>
        </w:rPr>
        <w:t>e.g.</w:t>
      </w:r>
      <w:r w:rsidR="00FA479F">
        <w:rPr>
          <w:sz w:val="22"/>
          <w:szCs w:val="22"/>
        </w:rPr>
        <w:t>,</w:t>
      </w:r>
      <w:r w:rsidR="00EC3DD1" w:rsidRPr="00296330">
        <w:rPr>
          <w:sz w:val="22"/>
          <w:szCs w:val="22"/>
        </w:rPr>
        <w:t xml:space="preserve"> </w:t>
      </w:r>
      <w:r w:rsidR="003A3193" w:rsidRPr="00296330">
        <w:rPr>
          <w:sz w:val="22"/>
          <w:szCs w:val="22"/>
        </w:rPr>
        <w:t>Infant and Early Childhood Mental Health Consultation (</w:t>
      </w:r>
      <w:r w:rsidR="003018FF" w:rsidRPr="00296330">
        <w:rPr>
          <w:sz w:val="22"/>
          <w:szCs w:val="22"/>
        </w:rPr>
        <w:t>I/ECMHC</w:t>
      </w:r>
      <w:r w:rsidR="003A3193" w:rsidRPr="00296330">
        <w:rPr>
          <w:sz w:val="22"/>
          <w:szCs w:val="22"/>
        </w:rPr>
        <w:t>)</w:t>
      </w:r>
      <w:r w:rsidR="003018FF" w:rsidRPr="00296330">
        <w:rPr>
          <w:sz w:val="22"/>
          <w:szCs w:val="22"/>
        </w:rPr>
        <w:t>, referrals to Early Intervention and Early Childhood Special Education, and the child’s primary health care provider</w:t>
      </w:r>
      <w:r w:rsidR="00EC3DD1" w:rsidRPr="00296330">
        <w:rPr>
          <w:sz w:val="22"/>
          <w:szCs w:val="22"/>
        </w:rPr>
        <w:t>)</w:t>
      </w:r>
      <w:r w:rsidR="003018FF" w:rsidRPr="00296330">
        <w:rPr>
          <w:sz w:val="22"/>
          <w:szCs w:val="22"/>
        </w:rPr>
        <w:t xml:space="preserve">. </w:t>
      </w:r>
      <w:r w:rsidR="005C7A31">
        <w:rPr>
          <w:sz w:val="22"/>
          <w:szCs w:val="22"/>
        </w:rPr>
        <w:t>When IL PA 100-0105</w:t>
      </w:r>
      <w:r w:rsidR="00D377EF" w:rsidRPr="00296330">
        <w:rPr>
          <w:sz w:val="22"/>
          <w:szCs w:val="22"/>
        </w:rPr>
        <w:t xml:space="preserve"> went into effect in January 2018, </w:t>
      </w:r>
      <w:r w:rsidR="003E0827" w:rsidRPr="00296330">
        <w:rPr>
          <w:sz w:val="22"/>
          <w:szCs w:val="22"/>
        </w:rPr>
        <w:t>ISBE and DCFS</w:t>
      </w:r>
      <w:r w:rsidR="00EB65B4" w:rsidRPr="00296330">
        <w:rPr>
          <w:sz w:val="22"/>
          <w:szCs w:val="22"/>
        </w:rPr>
        <w:t xml:space="preserve"> were charged with</w:t>
      </w:r>
      <w:r w:rsidR="00BD7323" w:rsidRPr="00296330">
        <w:rPr>
          <w:sz w:val="22"/>
          <w:szCs w:val="22"/>
        </w:rPr>
        <w:t xml:space="preserve"> collaborating to write aligned administrative rules,</w:t>
      </w:r>
      <w:r w:rsidR="000E04B1" w:rsidRPr="00296330">
        <w:rPr>
          <w:sz w:val="22"/>
          <w:szCs w:val="22"/>
        </w:rPr>
        <w:t xml:space="preserve"> </w:t>
      </w:r>
      <w:r w:rsidR="005C7397" w:rsidRPr="00296330">
        <w:rPr>
          <w:sz w:val="22"/>
          <w:szCs w:val="22"/>
        </w:rPr>
        <w:t>in consultation with the</w:t>
      </w:r>
      <w:r w:rsidR="00BD7323" w:rsidRPr="00296330">
        <w:rPr>
          <w:sz w:val="22"/>
          <w:szCs w:val="22"/>
        </w:rPr>
        <w:t xml:space="preserve"> Illinois</w:t>
      </w:r>
      <w:r w:rsidR="005C7397" w:rsidRPr="00296330">
        <w:rPr>
          <w:sz w:val="22"/>
          <w:szCs w:val="22"/>
        </w:rPr>
        <w:t xml:space="preserve"> Governor’s Office of Early Childhood Development</w:t>
      </w:r>
      <w:r w:rsidR="000E04B1" w:rsidRPr="00296330">
        <w:rPr>
          <w:sz w:val="22"/>
          <w:szCs w:val="22"/>
        </w:rPr>
        <w:t xml:space="preserve"> (GOECD)</w:t>
      </w:r>
      <w:r w:rsidR="00EB65B4" w:rsidRPr="00296330">
        <w:rPr>
          <w:sz w:val="22"/>
          <w:szCs w:val="22"/>
        </w:rPr>
        <w:t xml:space="preserve">. </w:t>
      </w:r>
    </w:p>
    <w:p w14:paraId="3AA47D99" w14:textId="710D9625" w:rsidR="00224DD5" w:rsidRPr="00296330" w:rsidRDefault="00EB65B4">
      <w:pPr>
        <w:spacing w:line="480" w:lineRule="auto"/>
        <w:ind w:firstLine="720"/>
        <w:rPr>
          <w:sz w:val="22"/>
          <w:szCs w:val="22"/>
        </w:rPr>
      </w:pPr>
      <w:r w:rsidRPr="00296330">
        <w:rPr>
          <w:sz w:val="22"/>
          <w:szCs w:val="22"/>
        </w:rPr>
        <w:t xml:space="preserve">In order to work across multiple types of programs, </w:t>
      </w:r>
      <w:r w:rsidR="005C7A31">
        <w:rPr>
          <w:sz w:val="22"/>
          <w:szCs w:val="22"/>
        </w:rPr>
        <w:t xml:space="preserve">IL PA 100-0105 </w:t>
      </w:r>
      <w:r w:rsidR="00BD7323" w:rsidRPr="00296330">
        <w:rPr>
          <w:sz w:val="22"/>
          <w:szCs w:val="22"/>
        </w:rPr>
        <w:t>was written in broad language, with the intention that specific guidance would be developed in coordinated agency administrative rules, where the majority of</w:t>
      </w:r>
      <w:r w:rsidR="001657EC" w:rsidRPr="00296330">
        <w:rPr>
          <w:sz w:val="22"/>
          <w:szCs w:val="22"/>
        </w:rPr>
        <w:t xml:space="preserve"> </w:t>
      </w:r>
      <w:r w:rsidR="009A62EF" w:rsidRPr="00296330">
        <w:rPr>
          <w:sz w:val="22"/>
          <w:szCs w:val="22"/>
        </w:rPr>
        <w:t xml:space="preserve">ECCE </w:t>
      </w:r>
      <w:r w:rsidR="00BD7323" w:rsidRPr="00296330">
        <w:rPr>
          <w:sz w:val="22"/>
          <w:szCs w:val="22"/>
        </w:rPr>
        <w:t xml:space="preserve">regulations live. </w:t>
      </w:r>
      <w:r w:rsidR="000E04B1" w:rsidRPr="00296330">
        <w:rPr>
          <w:sz w:val="22"/>
          <w:szCs w:val="22"/>
        </w:rPr>
        <w:t>Given that the legislation passed during a state budget impasse, t</w:t>
      </w:r>
      <w:r w:rsidRPr="00296330">
        <w:rPr>
          <w:sz w:val="22"/>
          <w:szCs w:val="22"/>
        </w:rPr>
        <w:t>here was also no funding allocated to increase supports to programs, support the implementation of the law, or evaluate the impact of the law. The state also currently has no coordinated data system that would allow policymakers to estimate expulsion rates or compliance across delivery systems (although</w:t>
      </w:r>
      <w:r w:rsidR="007B179C" w:rsidRPr="00296330">
        <w:rPr>
          <w:sz w:val="22"/>
          <w:szCs w:val="22"/>
        </w:rPr>
        <w:t xml:space="preserve"> joint</w:t>
      </w:r>
      <w:r w:rsidRPr="00296330">
        <w:rPr>
          <w:sz w:val="22"/>
          <w:szCs w:val="22"/>
        </w:rPr>
        <w:t xml:space="preserve"> </w:t>
      </w:r>
      <w:r w:rsidR="007B179C" w:rsidRPr="00296330">
        <w:rPr>
          <w:sz w:val="22"/>
          <w:szCs w:val="22"/>
        </w:rPr>
        <w:t xml:space="preserve">planning efforts between </w:t>
      </w:r>
      <w:r w:rsidR="000E04B1" w:rsidRPr="00296330">
        <w:rPr>
          <w:sz w:val="22"/>
          <w:szCs w:val="22"/>
        </w:rPr>
        <w:t>DCFS</w:t>
      </w:r>
      <w:r w:rsidR="007B179C" w:rsidRPr="00296330">
        <w:rPr>
          <w:sz w:val="22"/>
          <w:szCs w:val="22"/>
        </w:rPr>
        <w:t xml:space="preserve"> and ISBE </w:t>
      </w:r>
      <w:r w:rsidR="005C7397" w:rsidRPr="00296330">
        <w:rPr>
          <w:sz w:val="22"/>
          <w:szCs w:val="22"/>
        </w:rPr>
        <w:t xml:space="preserve">are occurring, </w:t>
      </w:r>
      <w:r w:rsidR="000E04B1" w:rsidRPr="00296330">
        <w:rPr>
          <w:sz w:val="22"/>
          <w:szCs w:val="22"/>
        </w:rPr>
        <w:t>under the guidance of GOECD).</w:t>
      </w:r>
      <w:r w:rsidR="007B179C" w:rsidRPr="00296330">
        <w:rPr>
          <w:sz w:val="22"/>
          <w:szCs w:val="22"/>
        </w:rPr>
        <w:t xml:space="preserve"> </w:t>
      </w:r>
      <w:r w:rsidR="005B4E75" w:rsidRPr="00296330">
        <w:rPr>
          <w:sz w:val="22"/>
          <w:szCs w:val="22"/>
        </w:rPr>
        <w:t xml:space="preserve">Early childhood advocates, including </w:t>
      </w:r>
      <w:r w:rsidR="00DA6038" w:rsidRPr="00296330">
        <w:rPr>
          <w:sz w:val="22"/>
          <w:szCs w:val="22"/>
        </w:rPr>
        <w:t>this paper’s co-authors</w:t>
      </w:r>
      <w:r w:rsidR="005B4E75" w:rsidRPr="00296330">
        <w:rPr>
          <w:sz w:val="22"/>
          <w:szCs w:val="22"/>
        </w:rPr>
        <w:t xml:space="preserve"> at </w:t>
      </w:r>
      <w:r w:rsidR="001E68F6" w:rsidRPr="00296330">
        <w:rPr>
          <w:sz w:val="22"/>
          <w:szCs w:val="22"/>
        </w:rPr>
        <w:t>the</w:t>
      </w:r>
      <w:r w:rsidR="005B4E75" w:rsidRPr="00296330">
        <w:rPr>
          <w:sz w:val="22"/>
          <w:szCs w:val="22"/>
        </w:rPr>
        <w:t xml:space="preserve"> Ounce of Prevention</w:t>
      </w:r>
      <w:r w:rsidR="001E68F6" w:rsidRPr="00296330">
        <w:rPr>
          <w:sz w:val="22"/>
          <w:szCs w:val="22"/>
        </w:rPr>
        <w:t>,</w:t>
      </w:r>
      <w:r w:rsidR="002B4F76" w:rsidRPr="00296330">
        <w:rPr>
          <w:sz w:val="22"/>
          <w:szCs w:val="22"/>
        </w:rPr>
        <w:t xml:space="preserve"> </w:t>
      </w:r>
      <w:r w:rsidR="005306FD" w:rsidRPr="00296330">
        <w:rPr>
          <w:sz w:val="22"/>
          <w:szCs w:val="22"/>
        </w:rPr>
        <w:t xml:space="preserve">GOECD, </w:t>
      </w:r>
      <w:r w:rsidR="002B4F76" w:rsidRPr="00296330">
        <w:rPr>
          <w:sz w:val="22"/>
          <w:szCs w:val="22"/>
        </w:rPr>
        <w:t>and</w:t>
      </w:r>
      <w:r w:rsidR="005B4E75" w:rsidRPr="00296330">
        <w:rPr>
          <w:sz w:val="22"/>
          <w:szCs w:val="22"/>
        </w:rPr>
        <w:t xml:space="preserve"> Illinois Action for Children</w:t>
      </w:r>
      <w:r w:rsidR="00155B94" w:rsidRPr="00296330">
        <w:rPr>
          <w:sz w:val="22"/>
          <w:szCs w:val="22"/>
        </w:rPr>
        <w:t xml:space="preserve"> (in addition to experts at</w:t>
      </w:r>
      <w:r w:rsidR="00DA6038" w:rsidRPr="00296330">
        <w:rPr>
          <w:sz w:val="22"/>
          <w:szCs w:val="22"/>
        </w:rPr>
        <w:t xml:space="preserve"> The Shriver Center</w:t>
      </w:r>
      <w:r w:rsidR="00301842" w:rsidRPr="00296330">
        <w:rPr>
          <w:sz w:val="22"/>
          <w:szCs w:val="22"/>
        </w:rPr>
        <w:t xml:space="preserve"> on Poverty Law</w:t>
      </w:r>
      <w:r w:rsidR="00DA6038" w:rsidRPr="00296330">
        <w:rPr>
          <w:sz w:val="22"/>
          <w:szCs w:val="22"/>
        </w:rPr>
        <w:t>, Fight Crime IL, Erikson Institute, Latino Policy Forum, Ready Nation, and Voices for IL Children)</w:t>
      </w:r>
      <w:r w:rsidR="005B4E75" w:rsidRPr="00296330">
        <w:rPr>
          <w:sz w:val="22"/>
          <w:szCs w:val="22"/>
        </w:rPr>
        <w:t xml:space="preserve">, contributed to the drafting of the law’s </w:t>
      </w:r>
      <w:r w:rsidR="002B4F76" w:rsidRPr="00296330">
        <w:rPr>
          <w:sz w:val="22"/>
          <w:szCs w:val="22"/>
        </w:rPr>
        <w:t>language and content</w:t>
      </w:r>
      <w:r w:rsidR="00DA6038" w:rsidRPr="00296330">
        <w:rPr>
          <w:sz w:val="22"/>
          <w:szCs w:val="22"/>
        </w:rPr>
        <w:t>, through a lengthy process of vetting potential language with various stakeholders</w:t>
      </w:r>
      <w:r w:rsidR="00301842" w:rsidRPr="00296330">
        <w:rPr>
          <w:sz w:val="22"/>
          <w:szCs w:val="22"/>
        </w:rPr>
        <w:t xml:space="preserve">, including families, early childhood programs, </w:t>
      </w:r>
      <w:r w:rsidR="00F64A32">
        <w:rPr>
          <w:sz w:val="22"/>
          <w:szCs w:val="22"/>
        </w:rPr>
        <w:lastRenderedPageBreak/>
        <w:t xml:space="preserve">infant/early childhood </w:t>
      </w:r>
      <w:r w:rsidR="00301842" w:rsidRPr="00296330">
        <w:rPr>
          <w:sz w:val="22"/>
          <w:szCs w:val="22"/>
        </w:rPr>
        <w:t>mental health consultants, school districts, unions, institutes of Higher Education, and legislators.</w:t>
      </w:r>
    </w:p>
    <w:p w14:paraId="3ADDA370" w14:textId="58AC7E68" w:rsidR="00EB65B4" w:rsidRPr="00296330" w:rsidRDefault="005B4E75">
      <w:pPr>
        <w:spacing w:line="480" w:lineRule="auto"/>
        <w:ind w:firstLine="720"/>
        <w:rPr>
          <w:sz w:val="22"/>
          <w:szCs w:val="22"/>
        </w:rPr>
      </w:pPr>
      <w:r w:rsidRPr="00296330">
        <w:rPr>
          <w:sz w:val="22"/>
          <w:szCs w:val="22"/>
        </w:rPr>
        <w:t>Ultimately, the law stipulate</w:t>
      </w:r>
      <w:r w:rsidR="002B4F76" w:rsidRPr="00296330">
        <w:rPr>
          <w:sz w:val="22"/>
          <w:szCs w:val="22"/>
        </w:rPr>
        <w:t>s</w:t>
      </w:r>
      <w:r w:rsidRPr="00296330">
        <w:rPr>
          <w:sz w:val="22"/>
          <w:szCs w:val="22"/>
        </w:rPr>
        <w:t xml:space="preserve"> that: </w:t>
      </w:r>
      <w:r w:rsidR="00191401" w:rsidRPr="00296330">
        <w:rPr>
          <w:sz w:val="22"/>
          <w:szCs w:val="22"/>
        </w:rPr>
        <w:t xml:space="preserve">1) </w:t>
      </w:r>
      <w:r w:rsidR="002B4F76" w:rsidRPr="00296330">
        <w:rPr>
          <w:sz w:val="22"/>
          <w:szCs w:val="22"/>
        </w:rPr>
        <w:t>P</w:t>
      </w:r>
      <w:r w:rsidR="00191401" w:rsidRPr="00296330">
        <w:rPr>
          <w:sz w:val="22"/>
          <w:szCs w:val="22"/>
        </w:rPr>
        <w:t>rograms are prohibited from expelling children from their program because of a child’s behavior; 2) Programs must exhaust all possible resources and supports to retain a child; 3) Programs must document all steps they</w:t>
      </w:r>
      <w:r w:rsidR="002B4F76" w:rsidRPr="00296330">
        <w:rPr>
          <w:sz w:val="22"/>
          <w:szCs w:val="22"/>
        </w:rPr>
        <w:t xml:space="preserve"> have</w:t>
      </w:r>
      <w:r w:rsidR="00191401" w:rsidRPr="00296330">
        <w:rPr>
          <w:sz w:val="22"/>
          <w:szCs w:val="22"/>
        </w:rPr>
        <w:t xml:space="preserve"> taken to address the child’s behavioral needs a</w:t>
      </w:r>
      <w:r w:rsidR="00047D6C" w:rsidRPr="00296330">
        <w:rPr>
          <w:sz w:val="22"/>
          <w:szCs w:val="22"/>
        </w:rPr>
        <w:t xml:space="preserve">nd to retain the child in care; </w:t>
      </w:r>
      <w:r w:rsidR="00243001" w:rsidRPr="00296330">
        <w:rPr>
          <w:sz w:val="22"/>
          <w:szCs w:val="22"/>
        </w:rPr>
        <w:t xml:space="preserve">4) If </w:t>
      </w:r>
      <w:r w:rsidR="00191401" w:rsidRPr="00296330">
        <w:rPr>
          <w:sz w:val="22"/>
          <w:szCs w:val="22"/>
        </w:rPr>
        <w:t xml:space="preserve">the program </w:t>
      </w:r>
      <w:r w:rsidR="00243001" w:rsidRPr="00296330">
        <w:rPr>
          <w:sz w:val="22"/>
          <w:szCs w:val="22"/>
        </w:rPr>
        <w:t xml:space="preserve">ultimately </w:t>
      </w:r>
      <w:r w:rsidR="00191401" w:rsidRPr="00296330">
        <w:rPr>
          <w:sz w:val="22"/>
          <w:szCs w:val="22"/>
        </w:rPr>
        <w:t xml:space="preserve">cannot meet the behavioral needs of a child, </w:t>
      </w:r>
      <w:r w:rsidR="00243001" w:rsidRPr="00296330">
        <w:rPr>
          <w:sz w:val="22"/>
          <w:szCs w:val="22"/>
        </w:rPr>
        <w:t xml:space="preserve">providers must work with the family to identify and transition the child into </w:t>
      </w:r>
      <w:r w:rsidR="00191401" w:rsidRPr="00296330">
        <w:rPr>
          <w:sz w:val="22"/>
          <w:szCs w:val="22"/>
        </w:rPr>
        <w:t xml:space="preserve">an </w:t>
      </w:r>
      <w:r w:rsidR="00243001" w:rsidRPr="00296330">
        <w:rPr>
          <w:sz w:val="22"/>
          <w:szCs w:val="22"/>
        </w:rPr>
        <w:t xml:space="preserve">alternative and </w:t>
      </w:r>
      <w:r w:rsidR="00191401" w:rsidRPr="00296330">
        <w:rPr>
          <w:sz w:val="22"/>
          <w:szCs w:val="22"/>
        </w:rPr>
        <w:t>appropriate care setting, such that there is no</w:t>
      </w:r>
      <w:r w:rsidR="00047D6C" w:rsidRPr="00296330">
        <w:rPr>
          <w:sz w:val="22"/>
          <w:szCs w:val="22"/>
        </w:rPr>
        <w:t xml:space="preserve"> loss of services to the child; and 5) Programs must collect and report data on children transitioning out of their program. </w:t>
      </w:r>
    </w:p>
    <w:p w14:paraId="6C7A341F" w14:textId="1448F1E0" w:rsidR="00031226" w:rsidRPr="001205A3" w:rsidRDefault="00031226">
      <w:pPr>
        <w:spacing w:line="480" w:lineRule="auto"/>
        <w:ind w:firstLine="720"/>
        <w:rPr>
          <w:b/>
          <w:sz w:val="22"/>
          <w:szCs w:val="22"/>
        </w:rPr>
      </w:pPr>
      <w:r w:rsidRPr="001205A3">
        <w:rPr>
          <w:b/>
          <w:sz w:val="22"/>
          <w:szCs w:val="22"/>
        </w:rPr>
        <w:t xml:space="preserve">The Present Study </w:t>
      </w:r>
    </w:p>
    <w:p w14:paraId="52A142F8" w14:textId="6B9E10BB" w:rsidR="005710EB" w:rsidRPr="00296330" w:rsidRDefault="00224DD5" w:rsidP="001205A3">
      <w:pPr>
        <w:pBdr>
          <w:top w:val="nil"/>
          <w:left w:val="nil"/>
          <w:bottom w:val="nil"/>
          <w:right w:val="nil"/>
          <w:between w:val="nil"/>
        </w:pBdr>
        <w:spacing w:line="480" w:lineRule="auto"/>
        <w:ind w:firstLine="720"/>
        <w:rPr>
          <w:sz w:val="22"/>
          <w:szCs w:val="22"/>
        </w:rPr>
      </w:pPr>
      <w:r w:rsidRPr="00296330">
        <w:rPr>
          <w:sz w:val="22"/>
          <w:szCs w:val="22"/>
          <w:highlight w:val="white"/>
        </w:rPr>
        <w:t xml:space="preserve">At present, Illinois is aggressively pursuing </w:t>
      </w:r>
      <w:r w:rsidR="002C543F" w:rsidRPr="00296330">
        <w:rPr>
          <w:sz w:val="22"/>
          <w:szCs w:val="22"/>
          <w:highlight w:val="white"/>
        </w:rPr>
        <w:t xml:space="preserve">the </w:t>
      </w:r>
      <w:r w:rsidRPr="00296330">
        <w:rPr>
          <w:sz w:val="22"/>
          <w:szCs w:val="22"/>
          <w:highlight w:val="white"/>
        </w:rPr>
        <w:t xml:space="preserve">goal of </w:t>
      </w:r>
      <w:r w:rsidR="00E94E81" w:rsidRPr="00296330">
        <w:rPr>
          <w:sz w:val="22"/>
          <w:szCs w:val="22"/>
          <w:highlight w:val="white"/>
        </w:rPr>
        <w:t>becoming</w:t>
      </w:r>
      <w:r w:rsidR="005661F5" w:rsidRPr="00296330">
        <w:rPr>
          <w:sz w:val="22"/>
          <w:szCs w:val="22"/>
          <w:highlight w:val="white"/>
        </w:rPr>
        <w:t xml:space="preserve"> </w:t>
      </w:r>
      <w:r w:rsidR="006D21A8" w:rsidRPr="00296330">
        <w:rPr>
          <w:sz w:val="22"/>
          <w:szCs w:val="22"/>
          <w:highlight w:val="white"/>
        </w:rPr>
        <w:t xml:space="preserve">the </w:t>
      </w:r>
      <w:r w:rsidRPr="00296330">
        <w:rPr>
          <w:sz w:val="22"/>
          <w:szCs w:val="22"/>
          <w:highlight w:val="white"/>
        </w:rPr>
        <w:t xml:space="preserve">“best state </w:t>
      </w:r>
      <w:r w:rsidR="005661F5" w:rsidRPr="00296330">
        <w:rPr>
          <w:sz w:val="22"/>
          <w:szCs w:val="22"/>
          <w:highlight w:val="white"/>
        </w:rPr>
        <w:t xml:space="preserve">in </w:t>
      </w:r>
      <w:r w:rsidR="006D21A8" w:rsidRPr="00296330">
        <w:rPr>
          <w:sz w:val="22"/>
          <w:szCs w:val="22"/>
          <w:highlight w:val="white"/>
        </w:rPr>
        <w:t>the nation for families raising young children</w:t>
      </w:r>
      <w:r w:rsidR="002C543F" w:rsidRPr="00296330">
        <w:rPr>
          <w:sz w:val="22"/>
          <w:szCs w:val="22"/>
          <w:highlight w:val="white"/>
        </w:rPr>
        <w:t>”</w:t>
      </w:r>
      <w:r w:rsidR="005661F5" w:rsidRPr="00296330">
        <w:rPr>
          <w:sz w:val="22"/>
          <w:szCs w:val="22"/>
          <w:highlight w:val="white"/>
        </w:rPr>
        <w:t xml:space="preserve"> </w:t>
      </w:r>
      <w:r w:rsidR="002C543F" w:rsidRPr="00296330">
        <w:rPr>
          <w:sz w:val="22"/>
          <w:szCs w:val="22"/>
          <w:highlight w:val="white"/>
        </w:rPr>
        <w:t>(</w:t>
      </w:r>
      <w:proofErr w:type="spellStart"/>
      <w:r w:rsidR="00E94E81" w:rsidRPr="00296330">
        <w:rPr>
          <w:sz w:val="22"/>
          <w:szCs w:val="22"/>
          <w:highlight w:val="white"/>
        </w:rPr>
        <w:t>Issa</w:t>
      </w:r>
      <w:proofErr w:type="spellEnd"/>
      <w:r w:rsidR="00E94E81" w:rsidRPr="00296330">
        <w:rPr>
          <w:sz w:val="22"/>
          <w:szCs w:val="22"/>
          <w:highlight w:val="white"/>
        </w:rPr>
        <w:t>, 2019</w:t>
      </w:r>
      <w:r w:rsidR="002C543F" w:rsidRPr="00296330">
        <w:rPr>
          <w:sz w:val="22"/>
          <w:szCs w:val="22"/>
          <w:highlight w:val="white"/>
        </w:rPr>
        <w:t xml:space="preserve">) </w:t>
      </w:r>
      <w:r w:rsidR="005661F5" w:rsidRPr="00296330">
        <w:rPr>
          <w:sz w:val="22"/>
          <w:szCs w:val="22"/>
          <w:highlight w:val="white"/>
        </w:rPr>
        <w:t xml:space="preserve">by enacting sweeping reform of early childhood systems and policies. In many ways, the successful implementation of </w:t>
      </w:r>
      <w:r w:rsidR="003A3193" w:rsidRPr="00296330">
        <w:rPr>
          <w:sz w:val="22"/>
          <w:szCs w:val="22"/>
          <w:highlight w:val="white"/>
        </w:rPr>
        <w:t xml:space="preserve">IL </w:t>
      </w:r>
      <w:r w:rsidR="005661F5" w:rsidRPr="00296330">
        <w:rPr>
          <w:sz w:val="22"/>
          <w:szCs w:val="22"/>
          <w:highlight w:val="white"/>
        </w:rPr>
        <w:t xml:space="preserve">PA 100-0105 is one of the first efforts along this path. </w:t>
      </w:r>
      <w:r w:rsidR="005B4E75" w:rsidRPr="00296330">
        <w:rPr>
          <w:sz w:val="22"/>
          <w:szCs w:val="22"/>
          <w:highlight w:val="white"/>
        </w:rPr>
        <w:t>G</w:t>
      </w:r>
      <w:r w:rsidR="003A21F3" w:rsidRPr="00296330">
        <w:rPr>
          <w:sz w:val="22"/>
          <w:szCs w:val="22"/>
          <w:highlight w:val="white"/>
        </w:rPr>
        <w:t xml:space="preserve">iven the groundbreaking nature of this legislation and the limited existing research on related policy efforts at the national level, </w:t>
      </w:r>
      <w:r w:rsidR="007F0E20" w:rsidRPr="00296330">
        <w:rPr>
          <w:sz w:val="22"/>
          <w:szCs w:val="22"/>
        </w:rPr>
        <w:t>it was i</w:t>
      </w:r>
      <w:r w:rsidR="003A21F3" w:rsidRPr="00296330">
        <w:rPr>
          <w:sz w:val="22"/>
          <w:szCs w:val="22"/>
        </w:rPr>
        <w:t xml:space="preserve">mperative that we study the implementation of </w:t>
      </w:r>
      <w:r w:rsidR="003A3193" w:rsidRPr="00296330">
        <w:rPr>
          <w:sz w:val="22"/>
          <w:szCs w:val="22"/>
        </w:rPr>
        <w:t xml:space="preserve">IL </w:t>
      </w:r>
      <w:r w:rsidR="003A21F3" w:rsidRPr="00296330">
        <w:rPr>
          <w:sz w:val="22"/>
          <w:szCs w:val="22"/>
        </w:rPr>
        <w:t>PA 100-0105 closely</w:t>
      </w:r>
      <w:r w:rsidR="00B2277E" w:rsidRPr="00296330">
        <w:rPr>
          <w:sz w:val="22"/>
          <w:szCs w:val="22"/>
        </w:rPr>
        <w:t xml:space="preserve"> and over an extended period of time</w:t>
      </w:r>
      <w:r w:rsidR="005F08C2" w:rsidRPr="00296330">
        <w:rPr>
          <w:sz w:val="22"/>
          <w:szCs w:val="22"/>
        </w:rPr>
        <w:t xml:space="preserve">. </w:t>
      </w:r>
      <w:r w:rsidR="00031226" w:rsidRPr="00296330">
        <w:rPr>
          <w:sz w:val="22"/>
          <w:szCs w:val="22"/>
        </w:rPr>
        <w:t>In conceiving this implementation study</w:t>
      </w:r>
      <w:r w:rsidR="00CC5D6B">
        <w:rPr>
          <w:sz w:val="22"/>
          <w:szCs w:val="22"/>
        </w:rPr>
        <w:t xml:space="preserve"> and in accordance with the principles of community psychology</w:t>
      </w:r>
      <w:r w:rsidR="00031226" w:rsidRPr="00296330">
        <w:rPr>
          <w:sz w:val="22"/>
          <w:szCs w:val="22"/>
        </w:rPr>
        <w:t xml:space="preserve">, the </w:t>
      </w:r>
      <w:r w:rsidR="00F15FF5" w:rsidRPr="00296330">
        <w:rPr>
          <w:sz w:val="22"/>
          <w:szCs w:val="22"/>
        </w:rPr>
        <w:t>principal investigator (the</w:t>
      </w:r>
      <w:r w:rsidR="006C5784" w:rsidRPr="00296330">
        <w:rPr>
          <w:sz w:val="22"/>
          <w:szCs w:val="22"/>
        </w:rPr>
        <w:t xml:space="preserve"> second </w:t>
      </w:r>
      <w:r w:rsidR="00F15FF5" w:rsidRPr="00296330">
        <w:rPr>
          <w:sz w:val="22"/>
          <w:szCs w:val="22"/>
        </w:rPr>
        <w:t xml:space="preserve">and corresponding author) derived research questions guiding this study in response to the expressed needs and concerns of the early childhood community. </w:t>
      </w:r>
      <w:r w:rsidR="00CC5D6B">
        <w:rPr>
          <w:sz w:val="22"/>
          <w:szCs w:val="22"/>
        </w:rPr>
        <w:t xml:space="preserve">Specifically, </w:t>
      </w:r>
      <w:r w:rsidR="005710EB" w:rsidRPr="00296330">
        <w:rPr>
          <w:sz w:val="22"/>
          <w:szCs w:val="22"/>
        </w:rPr>
        <w:t>advocates and policymakers</w:t>
      </w:r>
      <w:r w:rsidR="00CC5D6B">
        <w:rPr>
          <w:sz w:val="22"/>
          <w:szCs w:val="22"/>
        </w:rPr>
        <w:t xml:space="preserve"> were concerned that without a baseline understanding of expulsion rates, there was no way to assess the effects of the law. Additionally, there were concerns that </w:t>
      </w:r>
      <w:r w:rsidR="005710EB" w:rsidRPr="00296330">
        <w:rPr>
          <w:sz w:val="22"/>
          <w:szCs w:val="22"/>
        </w:rPr>
        <w:t>providers were ill</w:t>
      </w:r>
      <w:r w:rsidR="002B4F76" w:rsidRPr="00296330">
        <w:rPr>
          <w:sz w:val="22"/>
          <w:szCs w:val="22"/>
        </w:rPr>
        <w:t>-</w:t>
      </w:r>
      <w:r w:rsidR="005710EB" w:rsidRPr="00296330">
        <w:rPr>
          <w:sz w:val="22"/>
          <w:szCs w:val="22"/>
        </w:rPr>
        <w:t>informed and unprepared to comply with the law</w:t>
      </w:r>
      <w:r w:rsidR="00CC5D6B">
        <w:rPr>
          <w:sz w:val="22"/>
          <w:szCs w:val="22"/>
        </w:rPr>
        <w:t xml:space="preserve"> which could lead to </w:t>
      </w:r>
      <w:r w:rsidR="005710EB" w:rsidRPr="00296330">
        <w:rPr>
          <w:sz w:val="22"/>
          <w:szCs w:val="22"/>
        </w:rPr>
        <w:t>significant unintended consequences.</w:t>
      </w:r>
    </w:p>
    <w:p w14:paraId="3C42D0A2" w14:textId="153EC050" w:rsidR="0027015F" w:rsidRPr="00296330" w:rsidRDefault="00031226" w:rsidP="001205A3">
      <w:pPr>
        <w:spacing w:line="480" w:lineRule="auto"/>
        <w:rPr>
          <w:sz w:val="22"/>
          <w:szCs w:val="22"/>
        </w:rPr>
      </w:pPr>
      <w:r w:rsidRPr="00296330">
        <w:rPr>
          <w:sz w:val="22"/>
          <w:szCs w:val="22"/>
        </w:rPr>
        <w:tab/>
      </w:r>
      <w:r w:rsidR="00D26C7F" w:rsidRPr="00296330">
        <w:rPr>
          <w:sz w:val="22"/>
          <w:szCs w:val="22"/>
        </w:rPr>
        <w:t xml:space="preserve">To ensure that the findings of </w:t>
      </w:r>
      <w:r w:rsidR="00C07CE2" w:rsidRPr="00296330">
        <w:rPr>
          <w:sz w:val="22"/>
          <w:szCs w:val="22"/>
        </w:rPr>
        <w:t>this</w:t>
      </w:r>
      <w:r w:rsidR="00D26C7F" w:rsidRPr="00296330">
        <w:rPr>
          <w:sz w:val="22"/>
          <w:szCs w:val="22"/>
        </w:rPr>
        <w:t xml:space="preserve"> study were meaningful to t</w:t>
      </w:r>
      <w:r w:rsidR="00C07CE2" w:rsidRPr="00296330">
        <w:rPr>
          <w:sz w:val="22"/>
          <w:szCs w:val="22"/>
        </w:rPr>
        <w:t>hose</w:t>
      </w:r>
      <w:r w:rsidR="00D26C7F" w:rsidRPr="00296330">
        <w:rPr>
          <w:sz w:val="22"/>
          <w:szCs w:val="22"/>
        </w:rPr>
        <w:t xml:space="preserve"> most likely to utilize </w:t>
      </w:r>
      <w:r w:rsidR="00243001" w:rsidRPr="00296330">
        <w:rPr>
          <w:sz w:val="22"/>
          <w:szCs w:val="22"/>
        </w:rPr>
        <w:t>them</w:t>
      </w:r>
      <w:r w:rsidR="00D26C7F" w:rsidRPr="00296330">
        <w:rPr>
          <w:sz w:val="22"/>
          <w:szCs w:val="22"/>
        </w:rPr>
        <w:t xml:space="preserve">, </w:t>
      </w:r>
      <w:r w:rsidR="002B4F76" w:rsidRPr="00296330">
        <w:rPr>
          <w:sz w:val="22"/>
          <w:szCs w:val="22"/>
        </w:rPr>
        <w:t>a coalition was convened</w:t>
      </w:r>
      <w:r w:rsidR="00F15FF5" w:rsidRPr="00296330">
        <w:rPr>
          <w:sz w:val="22"/>
          <w:szCs w:val="22"/>
        </w:rPr>
        <w:t xml:space="preserve"> of early childhood community stakeholders</w:t>
      </w:r>
      <w:r w:rsidR="00D26C7F" w:rsidRPr="00296330">
        <w:rPr>
          <w:sz w:val="22"/>
          <w:szCs w:val="22"/>
        </w:rPr>
        <w:t xml:space="preserve"> to </w:t>
      </w:r>
      <w:r w:rsidRPr="00296330">
        <w:rPr>
          <w:sz w:val="22"/>
          <w:szCs w:val="22"/>
        </w:rPr>
        <w:t xml:space="preserve">devise research questions, provide feedback instrumentation, </w:t>
      </w:r>
      <w:r w:rsidR="00D26C7F" w:rsidRPr="00296330">
        <w:rPr>
          <w:sz w:val="22"/>
          <w:szCs w:val="22"/>
        </w:rPr>
        <w:t xml:space="preserve">assist with the </w:t>
      </w:r>
      <w:r w:rsidR="00243001" w:rsidRPr="00296330">
        <w:rPr>
          <w:sz w:val="22"/>
          <w:szCs w:val="22"/>
        </w:rPr>
        <w:t xml:space="preserve">study design, analysis, and </w:t>
      </w:r>
      <w:r w:rsidR="00D26C7F" w:rsidRPr="00296330">
        <w:rPr>
          <w:sz w:val="22"/>
          <w:szCs w:val="22"/>
        </w:rPr>
        <w:t>interpretation of results</w:t>
      </w:r>
      <w:r w:rsidR="00F15FF5" w:rsidRPr="00296330">
        <w:rPr>
          <w:sz w:val="22"/>
          <w:szCs w:val="22"/>
        </w:rPr>
        <w:t xml:space="preserve">. This coalition included staff from the </w:t>
      </w:r>
      <w:r w:rsidR="002826BF" w:rsidRPr="00296330">
        <w:rPr>
          <w:sz w:val="22"/>
          <w:szCs w:val="22"/>
        </w:rPr>
        <w:t>GOECD</w:t>
      </w:r>
      <w:r w:rsidR="00F15FF5" w:rsidRPr="00296330">
        <w:rPr>
          <w:sz w:val="22"/>
          <w:szCs w:val="22"/>
        </w:rPr>
        <w:t xml:space="preserve">, the Illinois Head Start Association, the Ounce of Prevention </w:t>
      </w:r>
      <w:r w:rsidR="00F15FF5" w:rsidRPr="00296330">
        <w:rPr>
          <w:sz w:val="22"/>
          <w:szCs w:val="22"/>
        </w:rPr>
        <w:lastRenderedPageBreak/>
        <w:t>Fund, and Illinois Action for Children, as well as faculty</w:t>
      </w:r>
      <w:r w:rsidR="00030584" w:rsidRPr="00296330">
        <w:rPr>
          <w:sz w:val="22"/>
          <w:szCs w:val="22"/>
        </w:rPr>
        <w:t xml:space="preserve"> from </w:t>
      </w:r>
      <w:r w:rsidR="001222CC" w:rsidRPr="00296330">
        <w:rPr>
          <w:sz w:val="22"/>
          <w:szCs w:val="22"/>
        </w:rPr>
        <w:t>ECCE</w:t>
      </w:r>
      <w:r w:rsidR="00030584" w:rsidRPr="00296330">
        <w:rPr>
          <w:sz w:val="22"/>
          <w:szCs w:val="22"/>
        </w:rPr>
        <w:t xml:space="preserve"> training programs</w:t>
      </w:r>
      <w:r w:rsidR="00F15FF5" w:rsidRPr="00296330">
        <w:rPr>
          <w:sz w:val="22"/>
          <w:szCs w:val="22"/>
        </w:rPr>
        <w:t xml:space="preserve">, master practitioners, and </w:t>
      </w:r>
      <w:r w:rsidR="002826BF" w:rsidRPr="00296330">
        <w:rPr>
          <w:sz w:val="22"/>
          <w:szCs w:val="22"/>
        </w:rPr>
        <w:t xml:space="preserve">early childhood program </w:t>
      </w:r>
      <w:r w:rsidR="00F15FF5" w:rsidRPr="00296330">
        <w:rPr>
          <w:sz w:val="22"/>
          <w:szCs w:val="22"/>
        </w:rPr>
        <w:t xml:space="preserve">administrators. </w:t>
      </w:r>
      <w:r w:rsidRPr="00296330">
        <w:rPr>
          <w:sz w:val="22"/>
          <w:szCs w:val="22"/>
        </w:rPr>
        <w:t xml:space="preserve">Feedback was sought iteratively throughout each study wave and coalition members identified outlets for and assisting in disseminating results to additional stakeholders. </w:t>
      </w:r>
    </w:p>
    <w:p w14:paraId="2510B619" w14:textId="122454F8" w:rsidR="00E65427" w:rsidRPr="00296330" w:rsidRDefault="00E65427">
      <w:pPr>
        <w:spacing w:line="480" w:lineRule="auto"/>
        <w:ind w:firstLine="720"/>
        <w:rPr>
          <w:sz w:val="22"/>
          <w:szCs w:val="22"/>
        </w:rPr>
      </w:pPr>
      <w:r w:rsidRPr="00296330">
        <w:rPr>
          <w:sz w:val="22"/>
          <w:szCs w:val="22"/>
        </w:rPr>
        <w:t>In the present study, we focus on findings from this collaborative, longitudinal, mixed-method study that have or will translate into practice and policy changes. Specifically, we present here a brief overview of the larger study’s methods by study year and highlight findings related to the coalition’s priority questions: 1) How many children are being excluded from Illinois early childhood programs and how do exclusion rates differ across child and program characteristics? 2) How knowledgeable are administrators of the new law? 3) What barriers do programs face in accessing resources stipulated in the legislation? and 4) How have exclusion rates changed</w:t>
      </w:r>
      <w:r w:rsidR="00BC5F08" w:rsidRPr="00296330">
        <w:rPr>
          <w:sz w:val="22"/>
          <w:szCs w:val="22"/>
        </w:rPr>
        <w:t xml:space="preserve"> over time since the passing of PA 100-0105?</w:t>
      </w:r>
    </w:p>
    <w:p w14:paraId="023A2292" w14:textId="09D9F6B0" w:rsidR="006E6F6A" w:rsidRPr="00296330" w:rsidRDefault="0027015F">
      <w:pPr>
        <w:spacing w:line="480" w:lineRule="auto"/>
        <w:ind w:firstLine="720"/>
        <w:rPr>
          <w:sz w:val="22"/>
          <w:szCs w:val="22"/>
        </w:rPr>
      </w:pPr>
      <w:r w:rsidRPr="00296330">
        <w:rPr>
          <w:sz w:val="22"/>
          <w:szCs w:val="22"/>
        </w:rPr>
        <w:t xml:space="preserve">In this initial paper focused on the translation of findings into practice and policy changes, we will share preliminary results from the ongoing study, with an eye towards areas of concern, confusion, and inequity. The aim of this paper is to inform the development of collaborative partnerships in the study of similar policies in other jurisdictions. To that end, we present </w:t>
      </w:r>
      <w:r w:rsidR="00A86191" w:rsidRPr="00296330">
        <w:rPr>
          <w:sz w:val="22"/>
          <w:szCs w:val="22"/>
        </w:rPr>
        <w:t>a brief</w:t>
      </w:r>
      <w:r w:rsidRPr="00296330">
        <w:rPr>
          <w:sz w:val="22"/>
          <w:szCs w:val="22"/>
        </w:rPr>
        <w:t xml:space="preserve"> overview </w:t>
      </w:r>
      <w:r w:rsidR="00296756">
        <w:rPr>
          <w:sz w:val="22"/>
          <w:szCs w:val="22"/>
        </w:rPr>
        <w:t xml:space="preserve">of </w:t>
      </w:r>
      <w:r w:rsidRPr="00296330">
        <w:rPr>
          <w:sz w:val="22"/>
          <w:szCs w:val="22"/>
        </w:rPr>
        <w:t xml:space="preserve">our methodology, highlight key findings, and </w:t>
      </w:r>
      <w:r w:rsidR="00866C82" w:rsidRPr="00296330">
        <w:rPr>
          <w:sz w:val="22"/>
          <w:szCs w:val="22"/>
        </w:rPr>
        <w:t>discuss</w:t>
      </w:r>
      <w:r w:rsidRPr="00296330">
        <w:rPr>
          <w:sz w:val="22"/>
          <w:szCs w:val="22"/>
        </w:rPr>
        <w:t xml:space="preserve"> how this collaborative research is already transforming practice and policy in Illinois and beyond.</w:t>
      </w:r>
    </w:p>
    <w:p w14:paraId="1A851106" w14:textId="7EA726B6" w:rsidR="00814C14" w:rsidRPr="00296330" w:rsidRDefault="00E512C1">
      <w:pPr>
        <w:spacing w:line="480" w:lineRule="auto"/>
        <w:jc w:val="center"/>
        <w:rPr>
          <w:b/>
          <w:bCs/>
          <w:sz w:val="22"/>
          <w:szCs w:val="22"/>
        </w:rPr>
      </w:pPr>
      <w:r w:rsidRPr="00296330">
        <w:rPr>
          <w:b/>
          <w:bCs/>
          <w:sz w:val="22"/>
          <w:szCs w:val="22"/>
        </w:rPr>
        <w:t>Methods</w:t>
      </w:r>
    </w:p>
    <w:p w14:paraId="040D50C8" w14:textId="77777777" w:rsidR="0074141F" w:rsidRDefault="00814C14">
      <w:pPr>
        <w:spacing w:line="480" w:lineRule="auto"/>
        <w:rPr>
          <w:b/>
          <w:bCs/>
          <w:sz w:val="22"/>
          <w:szCs w:val="22"/>
        </w:rPr>
      </w:pPr>
      <w:r w:rsidRPr="00296330">
        <w:rPr>
          <w:b/>
          <w:bCs/>
          <w:sz w:val="22"/>
          <w:szCs w:val="22"/>
        </w:rPr>
        <w:t>Procedures</w:t>
      </w:r>
      <w:r w:rsidR="00CA24E3" w:rsidRPr="00296330">
        <w:rPr>
          <w:b/>
          <w:bCs/>
          <w:sz w:val="22"/>
          <w:szCs w:val="22"/>
        </w:rPr>
        <w:t xml:space="preserve"> &amp; Participants</w:t>
      </w:r>
      <w:r w:rsidR="0074141F">
        <w:rPr>
          <w:b/>
          <w:bCs/>
          <w:sz w:val="22"/>
          <w:szCs w:val="22"/>
        </w:rPr>
        <w:t xml:space="preserve">. </w:t>
      </w:r>
    </w:p>
    <w:p w14:paraId="7D51EAEE" w14:textId="689867E5" w:rsidR="000C0203" w:rsidRPr="00296330" w:rsidRDefault="0074141F">
      <w:pPr>
        <w:spacing w:line="480" w:lineRule="auto"/>
        <w:ind w:firstLine="720"/>
        <w:rPr>
          <w:sz w:val="22"/>
          <w:szCs w:val="22"/>
        </w:rPr>
      </w:pPr>
      <w:r w:rsidRPr="004B538D">
        <w:rPr>
          <w:b/>
          <w:bCs/>
          <w:i/>
          <w:sz w:val="22"/>
          <w:szCs w:val="22"/>
        </w:rPr>
        <w:t>Year 1 (2017-2018).</w:t>
      </w:r>
      <w:r>
        <w:rPr>
          <w:sz w:val="22"/>
          <w:szCs w:val="22"/>
        </w:rPr>
        <w:t xml:space="preserve"> </w:t>
      </w:r>
      <w:r w:rsidR="00FD2D4C" w:rsidRPr="00296330">
        <w:rPr>
          <w:sz w:val="22"/>
          <w:szCs w:val="22"/>
        </w:rPr>
        <w:t xml:space="preserve">Over the summer of </w:t>
      </w:r>
      <w:r w:rsidR="003A21F3" w:rsidRPr="00296330">
        <w:rPr>
          <w:sz w:val="22"/>
          <w:szCs w:val="22"/>
        </w:rPr>
        <w:t>2018</w:t>
      </w:r>
      <w:r w:rsidR="00FC55DE" w:rsidRPr="00296330">
        <w:rPr>
          <w:sz w:val="22"/>
          <w:szCs w:val="22"/>
        </w:rPr>
        <w:t xml:space="preserve">, an online </w:t>
      </w:r>
      <w:r w:rsidR="003A21F3" w:rsidRPr="00296330">
        <w:rPr>
          <w:sz w:val="22"/>
          <w:szCs w:val="22"/>
        </w:rPr>
        <w:t xml:space="preserve">survey was disseminated via regional and state-wide child care and early childhood provider </w:t>
      </w:r>
      <w:proofErr w:type="spellStart"/>
      <w:r w:rsidR="003A21F3" w:rsidRPr="00296330">
        <w:rPr>
          <w:sz w:val="22"/>
          <w:szCs w:val="22"/>
        </w:rPr>
        <w:t>listservs</w:t>
      </w:r>
      <w:proofErr w:type="spellEnd"/>
      <w:r w:rsidR="003A21F3" w:rsidRPr="00296330">
        <w:rPr>
          <w:sz w:val="22"/>
          <w:szCs w:val="22"/>
        </w:rPr>
        <w:t xml:space="preserve"> made available through the coalition and existing partnerships. </w:t>
      </w:r>
      <w:r w:rsidR="00F23593" w:rsidRPr="00296330">
        <w:rPr>
          <w:sz w:val="22"/>
          <w:szCs w:val="22"/>
        </w:rPr>
        <w:t xml:space="preserve">To participate, respondents had to serve </w:t>
      </w:r>
      <w:r w:rsidR="003A21F3" w:rsidRPr="00296330">
        <w:rPr>
          <w:sz w:val="22"/>
          <w:szCs w:val="22"/>
        </w:rPr>
        <w:t>in an administrative role in an Illinois early childhood program servi</w:t>
      </w:r>
      <w:r w:rsidR="00F47EE4" w:rsidRPr="00296330">
        <w:rPr>
          <w:sz w:val="22"/>
          <w:szCs w:val="22"/>
        </w:rPr>
        <w:t xml:space="preserve">ng children between birth and five </w:t>
      </w:r>
      <w:r w:rsidR="003A21F3" w:rsidRPr="00296330">
        <w:rPr>
          <w:sz w:val="22"/>
          <w:szCs w:val="22"/>
        </w:rPr>
        <w:t>years of age.</w:t>
      </w:r>
      <w:r w:rsidR="00821A8C" w:rsidRPr="00296330">
        <w:rPr>
          <w:sz w:val="22"/>
          <w:szCs w:val="22"/>
        </w:rPr>
        <w:t xml:space="preserve"> Administrators from 154 early childhood programs throughout the state participated in</w:t>
      </w:r>
      <w:r w:rsidR="00EE1E73" w:rsidRPr="00296330">
        <w:rPr>
          <w:sz w:val="22"/>
          <w:szCs w:val="22"/>
        </w:rPr>
        <w:t xml:space="preserve"> the Year 1 online survey</w:t>
      </w:r>
      <w:r w:rsidR="00664619" w:rsidRPr="00296330">
        <w:rPr>
          <w:sz w:val="22"/>
          <w:szCs w:val="22"/>
        </w:rPr>
        <w:t>. Most were center</w:t>
      </w:r>
      <w:r w:rsidR="00165ED3">
        <w:rPr>
          <w:sz w:val="22"/>
          <w:szCs w:val="22"/>
        </w:rPr>
        <w:t>-</w:t>
      </w:r>
      <w:r w:rsidR="00664619" w:rsidRPr="00296330">
        <w:rPr>
          <w:sz w:val="22"/>
          <w:szCs w:val="22"/>
        </w:rPr>
        <w:t>based, partially privately funded, and in urban areas</w:t>
      </w:r>
      <w:r w:rsidR="00AE7162" w:rsidRPr="00296330">
        <w:rPr>
          <w:sz w:val="22"/>
          <w:szCs w:val="22"/>
        </w:rPr>
        <w:t>.</w:t>
      </w:r>
      <w:r w:rsidR="00CA24E3" w:rsidRPr="00296330">
        <w:rPr>
          <w:sz w:val="22"/>
          <w:szCs w:val="22"/>
        </w:rPr>
        <w:t xml:space="preserve"> </w:t>
      </w:r>
      <w:r w:rsidR="007E3523">
        <w:rPr>
          <w:sz w:val="22"/>
          <w:szCs w:val="22"/>
        </w:rPr>
        <w:t xml:space="preserve">Given the novelty of both our overarching research topic and the legislation within Illinois, our research team felt that a mixed-method approach would be the </w:t>
      </w:r>
      <w:r w:rsidR="007E3523">
        <w:rPr>
          <w:sz w:val="22"/>
          <w:szCs w:val="22"/>
        </w:rPr>
        <w:lastRenderedPageBreak/>
        <w:t xml:space="preserve">best methodological approach to understand providers’ expulsion legislation experiences. A subsample of survey participants willing to be </w:t>
      </w:r>
      <w:r w:rsidR="00664619" w:rsidRPr="00296330">
        <w:rPr>
          <w:sz w:val="22"/>
          <w:szCs w:val="22"/>
        </w:rPr>
        <w:t>re-contacted</w:t>
      </w:r>
      <w:r w:rsidR="005E2311" w:rsidRPr="00296330">
        <w:rPr>
          <w:sz w:val="22"/>
          <w:szCs w:val="22"/>
        </w:rPr>
        <w:t xml:space="preserve"> </w:t>
      </w:r>
      <w:r w:rsidR="00E62D43" w:rsidRPr="00296330">
        <w:rPr>
          <w:sz w:val="22"/>
          <w:szCs w:val="22"/>
        </w:rPr>
        <w:t>(</w:t>
      </w:r>
      <w:r w:rsidR="00E62D43" w:rsidRPr="00296330">
        <w:rPr>
          <w:i/>
          <w:sz w:val="22"/>
          <w:szCs w:val="22"/>
        </w:rPr>
        <w:t>N</w:t>
      </w:r>
      <w:r w:rsidR="00E62D43" w:rsidRPr="00296330">
        <w:rPr>
          <w:sz w:val="22"/>
          <w:szCs w:val="22"/>
        </w:rPr>
        <w:t>=105</w:t>
      </w:r>
      <w:r w:rsidR="007E3523">
        <w:rPr>
          <w:sz w:val="22"/>
          <w:szCs w:val="22"/>
        </w:rPr>
        <w:t xml:space="preserve">) were </w:t>
      </w:r>
      <w:r w:rsidR="005C7A31">
        <w:rPr>
          <w:sz w:val="22"/>
          <w:szCs w:val="22"/>
        </w:rPr>
        <w:t xml:space="preserve">intentionally </w:t>
      </w:r>
      <w:r w:rsidR="007E3523">
        <w:rPr>
          <w:sz w:val="22"/>
          <w:szCs w:val="22"/>
        </w:rPr>
        <w:t>recruited</w:t>
      </w:r>
      <w:r w:rsidR="005C7A31">
        <w:rPr>
          <w:sz w:val="22"/>
          <w:szCs w:val="22"/>
        </w:rPr>
        <w:t xml:space="preserve"> to maximize variation across two key variables of interest to the coalition: knowledge of the law and center location, </w:t>
      </w:r>
      <w:r w:rsidR="007E3523">
        <w:rPr>
          <w:sz w:val="22"/>
          <w:szCs w:val="22"/>
        </w:rPr>
        <w:t>for a total of</w:t>
      </w:r>
      <w:r w:rsidR="005E2311" w:rsidRPr="00296330">
        <w:rPr>
          <w:sz w:val="22"/>
          <w:szCs w:val="22"/>
        </w:rPr>
        <w:t xml:space="preserve"> </w:t>
      </w:r>
      <w:r w:rsidR="00C05892" w:rsidRPr="00296330">
        <w:rPr>
          <w:sz w:val="22"/>
          <w:szCs w:val="22"/>
        </w:rPr>
        <w:t xml:space="preserve">25 </w:t>
      </w:r>
      <w:r w:rsidR="00664619" w:rsidRPr="00296330">
        <w:rPr>
          <w:sz w:val="22"/>
          <w:szCs w:val="22"/>
        </w:rPr>
        <w:t>administrato</w:t>
      </w:r>
      <w:r w:rsidR="007E3523">
        <w:rPr>
          <w:sz w:val="22"/>
          <w:szCs w:val="22"/>
        </w:rPr>
        <w:t xml:space="preserve">r interviews. </w:t>
      </w:r>
    </w:p>
    <w:p w14:paraId="48E07C32" w14:textId="67623C00" w:rsidR="0074141F" w:rsidRPr="0016442C" w:rsidRDefault="0074141F" w:rsidP="0074141F">
      <w:pPr>
        <w:spacing w:line="480" w:lineRule="auto"/>
        <w:ind w:firstLine="720"/>
        <w:rPr>
          <w:sz w:val="22"/>
          <w:szCs w:val="22"/>
        </w:rPr>
      </w:pPr>
      <w:r w:rsidRPr="004B538D">
        <w:rPr>
          <w:b/>
          <w:i/>
          <w:sz w:val="22"/>
          <w:szCs w:val="22"/>
        </w:rPr>
        <w:t>Year 2 (2018-2019)</w:t>
      </w:r>
      <w:r>
        <w:rPr>
          <w:sz w:val="22"/>
          <w:szCs w:val="22"/>
        </w:rPr>
        <w:t xml:space="preserve">. </w:t>
      </w:r>
      <w:r w:rsidRPr="0016442C">
        <w:rPr>
          <w:sz w:val="22"/>
          <w:szCs w:val="22"/>
        </w:rPr>
        <w:t xml:space="preserve">In September of 2019 we emailed the Year 2 survey link directly to administrators who had agreed to be contacted about future studies. Thirty-six (34% of those contacted) completed the entirety of the second survey. In addition, the survey link was also disseminated on the same </w:t>
      </w:r>
      <w:proofErr w:type="spellStart"/>
      <w:r w:rsidRPr="0016442C">
        <w:rPr>
          <w:sz w:val="22"/>
          <w:szCs w:val="22"/>
        </w:rPr>
        <w:t>listservs</w:t>
      </w:r>
      <w:proofErr w:type="spellEnd"/>
      <w:r w:rsidRPr="0016442C">
        <w:rPr>
          <w:sz w:val="22"/>
          <w:szCs w:val="22"/>
        </w:rPr>
        <w:t xml:space="preserve"> and networks from Year 1 and 58 additional administrators provided data (</w:t>
      </w:r>
      <w:r>
        <w:rPr>
          <w:sz w:val="22"/>
          <w:szCs w:val="22"/>
        </w:rPr>
        <w:t xml:space="preserve">Year 2 </w:t>
      </w:r>
      <w:proofErr w:type="spellStart"/>
      <w:r w:rsidRPr="0016442C">
        <w:rPr>
          <w:i/>
          <w:sz w:val="22"/>
          <w:szCs w:val="22"/>
        </w:rPr>
        <w:t>N</w:t>
      </w:r>
      <w:r w:rsidRPr="0016442C">
        <w:rPr>
          <w:sz w:val="22"/>
          <w:szCs w:val="22"/>
          <w:vertAlign w:val="subscript"/>
        </w:rPr>
        <w:t>total</w:t>
      </w:r>
      <w:proofErr w:type="spellEnd"/>
      <w:r w:rsidRPr="0016442C">
        <w:rPr>
          <w:sz w:val="22"/>
          <w:szCs w:val="22"/>
        </w:rPr>
        <w:t xml:space="preserve"> = 94). Details about the repeat participants and </w:t>
      </w:r>
      <w:r w:rsidR="003D65EB">
        <w:rPr>
          <w:sz w:val="22"/>
          <w:szCs w:val="22"/>
        </w:rPr>
        <w:t xml:space="preserve">the </w:t>
      </w:r>
      <w:r w:rsidRPr="0016442C">
        <w:rPr>
          <w:sz w:val="22"/>
          <w:szCs w:val="22"/>
        </w:rPr>
        <w:t xml:space="preserve">full Year 2 sample can be found in Table 1. </w:t>
      </w:r>
      <w:r w:rsidR="003D65EB">
        <w:rPr>
          <w:sz w:val="22"/>
          <w:szCs w:val="22"/>
        </w:rPr>
        <w:t>A notable difference in Year 2</w:t>
      </w:r>
      <w:r w:rsidRPr="0016442C">
        <w:rPr>
          <w:sz w:val="22"/>
          <w:szCs w:val="22"/>
        </w:rPr>
        <w:t xml:space="preserve"> is the increased participation by Home-Based providers</w:t>
      </w:r>
      <w:r w:rsidR="003D65EB">
        <w:rPr>
          <w:sz w:val="22"/>
          <w:szCs w:val="22"/>
        </w:rPr>
        <w:t>,</w:t>
      </w:r>
      <w:r w:rsidRPr="0016442C">
        <w:rPr>
          <w:sz w:val="22"/>
          <w:szCs w:val="22"/>
        </w:rPr>
        <w:t xml:space="preserve"> both in the Year 2 full sample and the repeat participants. Additionally, a smaller proportion of programs that participated in both years accepted any private tuition payments (i.e., more were fully </w:t>
      </w:r>
      <w:r w:rsidR="00E141A0" w:rsidRPr="0016442C">
        <w:rPr>
          <w:sz w:val="22"/>
          <w:szCs w:val="22"/>
        </w:rPr>
        <w:t>publicly</w:t>
      </w:r>
      <w:r w:rsidR="00E141A0">
        <w:rPr>
          <w:sz w:val="22"/>
          <w:szCs w:val="22"/>
        </w:rPr>
        <w:t>-</w:t>
      </w:r>
      <w:r w:rsidRPr="0016442C">
        <w:rPr>
          <w:sz w:val="22"/>
          <w:szCs w:val="22"/>
        </w:rPr>
        <w:t>funded)</w:t>
      </w:r>
      <w:r w:rsidR="00165ED3">
        <w:rPr>
          <w:sz w:val="22"/>
          <w:szCs w:val="22"/>
        </w:rPr>
        <w:t>.</w:t>
      </w:r>
      <w:r w:rsidRPr="0016442C">
        <w:rPr>
          <w:sz w:val="22"/>
          <w:szCs w:val="22"/>
        </w:rPr>
        <w:t xml:space="preserve"> </w:t>
      </w:r>
    </w:p>
    <w:p w14:paraId="05244A90" w14:textId="53086C06" w:rsidR="00C05892" w:rsidRPr="00296330" w:rsidRDefault="00C05892">
      <w:pPr>
        <w:spacing w:line="480" w:lineRule="auto"/>
        <w:rPr>
          <w:sz w:val="22"/>
          <w:szCs w:val="22"/>
        </w:rPr>
      </w:pPr>
      <w:r w:rsidRPr="00296330">
        <w:rPr>
          <w:b/>
          <w:bCs/>
          <w:sz w:val="22"/>
          <w:szCs w:val="22"/>
        </w:rPr>
        <w:t xml:space="preserve">Measures </w:t>
      </w:r>
    </w:p>
    <w:p w14:paraId="0BC87701" w14:textId="7173D23C" w:rsidR="00D26C7F" w:rsidRPr="00296330" w:rsidRDefault="0074141F" w:rsidP="004B538D">
      <w:pPr>
        <w:spacing w:line="480" w:lineRule="auto"/>
        <w:ind w:firstLine="720"/>
        <w:rPr>
          <w:b/>
          <w:sz w:val="22"/>
          <w:szCs w:val="22"/>
        </w:rPr>
      </w:pPr>
      <w:r>
        <w:rPr>
          <w:b/>
          <w:bCs/>
          <w:i/>
          <w:iCs/>
          <w:sz w:val="22"/>
          <w:szCs w:val="22"/>
        </w:rPr>
        <w:t xml:space="preserve">Year 1 (2017-2018) </w:t>
      </w:r>
      <w:r w:rsidR="00E141A0">
        <w:rPr>
          <w:b/>
          <w:bCs/>
          <w:i/>
          <w:iCs/>
          <w:sz w:val="22"/>
          <w:szCs w:val="22"/>
        </w:rPr>
        <w:t xml:space="preserve">Online </w:t>
      </w:r>
      <w:r w:rsidR="00C05892" w:rsidRPr="00296330">
        <w:rPr>
          <w:b/>
          <w:bCs/>
          <w:i/>
          <w:iCs/>
          <w:sz w:val="22"/>
          <w:szCs w:val="22"/>
        </w:rPr>
        <w:t>Survey.</w:t>
      </w:r>
      <w:r w:rsidR="00C05892" w:rsidRPr="00296330">
        <w:rPr>
          <w:b/>
          <w:bCs/>
          <w:sz w:val="22"/>
          <w:szCs w:val="22"/>
        </w:rPr>
        <w:t xml:space="preserve"> </w:t>
      </w:r>
      <w:r w:rsidR="00636A2C" w:rsidRPr="00296330">
        <w:rPr>
          <w:sz w:val="22"/>
          <w:szCs w:val="22"/>
        </w:rPr>
        <w:t>A</w:t>
      </w:r>
      <w:r w:rsidR="00807488" w:rsidRPr="00296330">
        <w:rPr>
          <w:sz w:val="22"/>
          <w:szCs w:val="22"/>
        </w:rPr>
        <w:t>dministrators</w:t>
      </w:r>
      <w:r w:rsidR="002826BF" w:rsidRPr="00296330">
        <w:rPr>
          <w:sz w:val="22"/>
          <w:szCs w:val="22"/>
        </w:rPr>
        <w:t xml:space="preserve"> were asked to report on program characteristics, such as program type (e.g.</w:t>
      </w:r>
      <w:r w:rsidR="001E784C" w:rsidRPr="00296330">
        <w:rPr>
          <w:sz w:val="22"/>
          <w:szCs w:val="22"/>
        </w:rPr>
        <w:t>,</w:t>
      </w:r>
      <w:r w:rsidR="002826BF" w:rsidRPr="00296330">
        <w:rPr>
          <w:sz w:val="22"/>
          <w:szCs w:val="22"/>
        </w:rPr>
        <w:t xml:space="preserve"> center</w:t>
      </w:r>
      <w:r w:rsidR="00E141A0">
        <w:rPr>
          <w:sz w:val="22"/>
          <w:szCs w:val="22"/>
        </w:rPr>
        <w:t>-, school-, home-</w:t>
      </w:r>
      <w:r w:rsidR="002826BF" w:rsidRPr="00296330">
        <w:rPr>
          <w:sz w:val="22"/>
          <w:szCs w:val="22"/>
        </w:rPr>
        <w:t xml:space="preserve">based, etc.), </w:t>
      </w:r>
      <w:r w:rsidR="00FD2D4C" w:rsidRPr="00296330">
        <w:rPr>
          <w:sz w:val="22"/>
          <w:szCs w:val="22"/>
        </w:rPr>
        <w:t>funding streams (tuition-based, publicly</w:t>
      </w:r>
      <w:r w:rsidR="00E141A0">
        <w:rPr>
          <w:sz w:val="22"/>
          <w:szCs w:val="22"/>
        </w:rPr>
        <w:t>-</w:t>
      </w:r>
      <w:r w:rsidR="00FD2D4C" w:rsidRPr="00296330">
        <w:rPr>
          <w:sz w:val="22"/>
          <w:szCs w:val="22"/>
        </w:rPr>
        <w:t>funded, or blended funding)</w:t>
      </w:r>
      <w:r w:rsidR="00E141A0">
        <w:rPr>
          <w:sz w:val="22"/>
          <w:szCs w:val="22"/>
        </w:rPr>
        <w:t>,</w:t>
      </w:r>
      <w:r w:rsidR="00FD2D4C" w:rsidRPr="00296330">
        <w:rPr>
          <w:sz w:val="22"/>
          <w:szCs w:val="22"/>
        </w:rPr>
        <w:t xml:space="preserve"> </w:t>
      </w:r>
      <w:r w:rsidR="002826BF" w:rsidRPr="00296330">
        <w:rPr>
          <w:sz w:val="22"/>
          <w:szCs w:val="22"/>
        </w:rPr>
        <w:t xml:space="preserve">their </w:t>
      </w:r>
      <w:proofErr w:type="spellStart"/>
      <w:r w:rsidR="002826BF" w:rsidRPr="00296330">
        <w:rPr>
          <w:sz w:val="22"/>
          <w:szCs w:val="22"/>
        </w:rPr>
        <w:t>ExceleRate</w:t>
      </w:r>
      <w:proofErr w:type="spellEnd"/>
      <w:r w:rsidR="002826BF" w:rsidRPr="00296330">
        <w:rPr>
          <w:sz w:val="22"/>
          <w:szCs w:val="22"/>
        </w:rPr>
        <w:t xml:space="preserve"> rating (Illinois’ </w:t>
      </w:r>
      <w:r w:rsidR="00E141A0">
        <w:rPr>
          <w:sz w:val="22"/>
          <w:szCs w:val="22"/>
        </w:rPr>
        <w:t>Q</w:t>
      </w:r>
      <w:r w:rsidR="002826BF" w:rsidRPr="00296330">
        <w:rPr>
          <w:sz w:val="22"/>
          <w:szCs w:val="22"/>
        </w:rPr>
        <w:t xml:space="preserve">uality </w:t>
      </w:r>
      <w:r w:rsidR="00E141A0">
        <w:rPr>
          <w:sz w:val="22"/>
          <w:szCs w:val="22"/>
        </w:rPr>
        <w:t>R</w:t>
      </w:r>
      <w:r w:rsidR="002826BF" w:rsidRPr="00296330">
        <w:rPr>
          <w:sz w:val="22"/>
          <w:szCs w:val="22"/>
        </w:rPr>
        <w:t xml:space="preserve">ating </w:t>
      </w:r>
      <w:r w:rsidR="00E141A0">
        <w:rPr>
          <w:sz w:val="22"/>
          <w:szCs w:val="22"/>
        </w:rPr>
        <w:t>I</w:t>
      </w:r>
      <w:r w:rsidR="002826BF" w:rsidRPr="00296330">
        <w:rPr>
          <w:sz w:val="22"/>
          <w:szCs w:val="22"/>
        </w:rPr>
        <w:t xml:space="preserve">mprovement </w:t>
      </w:r>
      <w:r w:rsidR="00E141A0">
        <w:rPr>
          <w:sz w:val="22"/>
          <w:szCs w:val="22"/>
        </w:rPr>
        <w:t>S</w:t>
      </w:r>
      <w:r w:rsidR="002826BF" w:rsidRPr="00296330">
        <w:rPr>
          <w:sz w:val="22"/>
          <w:szCs w:val="22"/>
        </w:rPr>
        <w:t xml:space="preserve">ystem), and their program’s ZIP code, from which </w:t>
      </w:r>
      <w:proofErr w:type="spellStart"/>
      <w:r w:rsidR="007230F9" w:rsidRPr="00296330">
        <w:rPr>
          <w:sz w:val="22"/>
          <w:szCs w:val="22"/>
        </w:rPr>
        <w:t>urbanicity</w:t>
      </w:r>
      <w:proofErr w:type="spellEnd"/>
      <w:r w:rsidR="007230F9" w:rsidRPr="00296330">
        <w:rPr>
          <w:sz w:val="22"/>
          <w:szCs w:val="22"/>
        </w:rPr>
        <w:t xml:space="preserve"> </w:t>
      </w:r>
      <w:r w:rsidR="002826BF" w:rsidRPr="00296330">
        <w:rPr>
          <w:sz w:val="22"/>
          <w:szCs w:val="22"/>
        </w:rPr>
        <w:t>was dichotomously coded</w:t>
      </w:r>
      <w:r w:rsidR="00FA479F">
        <w:rPr>
          <w:sz w:val="22"/>
          <w:szCs w:val="22"/>
        </w:rPr>
        <w:t xml:space="preserve"> (urban vs. non-urban)</w:t>
      </w:r>
      <w:r w:rsidR="002826BF" w:rsidRPr="00296330">
        <w:rPr>
          <w:sz w:val="22"/>
          <w:szCs w:val="22"/>
        </w:rPr>
        <w:t xml:space="preserve"> using 2013 Census track definitions. </w:t>
      </w:r>
      <w:r w:rsidR="00807488" w:rsidRPr="00296330">
        <w:rPr>
          <w:sz w:val="22"/>
          <w:szCs w:val="22"/>
        </w:rPr>
        <w:t xml:space="preserve">Additional </w:t>
      </w:r>
      <w:r w:rsidR="002826BF" w:rsidRPr="00296330">
        <w:rPr>
          <w:sz w:val="22"/>
          <w:szCs w:val="22"/>
        </w:rPr>
        <w:t xml:space="preserve">survey items </w:t>
      </w:r>
      <w:r w:rsidR="00F33E18" w:rsidRPr="00296330">
        <w:rPr>
          <w:sz w:val="22"/>
          <w:szCs w:val="22"/>
        </w:rPr>
        <w:t>captured staff and child demographic</w:t>
      </w:r>
      <w:r w:rsidR="00E141A0">
        <w:rPr>
          <w:sz w:val="22"/>
          <w:szCs w:val="22"/>
        </w:rPr>
        <w:t>s</w:t>
      </w:r>
      <w:r w:rsidR="00FD2D4C" w:rsidRPr="00296330">
        <w:rPr>
          <w:sz w:val="22"/>
          <w:szCs w:val="22"/>
        </w:rPr>
        <w:t xml:space="preserve">. </w:t>
      </w:r>
    </w:p>
    <w:p w14:paraId="67DA508C" w14:textId="1C14DCAB" w:rsidR="00693B3A" w:rsidRPr="00296330" w:rsidRDefault="002826BF">
      <w:pPr>
        <w:spacing w:line="480" w:lineRule="auto"/>
        <w:ind w:firstLine="720"/>
        <w:rPr>
          <w:sz w:val="22"/>
          <w:szCs w:val="22"/>
        </w:rPr>
      </w:pPr>
      <w:r w:rsidRPr="00296330">
        <w:rPr>
          <w:sz w:val="22"/>
          <w:szCs w:val="22"/>
        </w:rPr>
        <w:t>To understand rates of exclusionary discipline, administrators were asked to report how many times in the past 12 months</w:t>
      </w:r>
      <w:r w:rsidR="00D048F2" w:rsidRPr="00296330">
        <w:rPr>
          <w:sz w:val="22"/>
          <w:szCs w:val="22"/>
        </w:rPr>
        <w:t xml:space="preserve"> the following occurred as a result of behavioral concerns</w:t>
      </w:r>
      <w:r w:rsidRPr="00296330">
        <w:rPr>
          <w:sz w:val="22"/>
          <w:szCs w:val="22"/>
        </w:rPr>
        <w:t xml:space="preserve">: 1) a parent was asked to pick up their child early from school (early pick-ups), 2) a parent was asked to </w:t>
      </w:r>
      <w:r w:rsidR="00B44579" w:rsidRPr="00296330">
        <w:rPr>
          <w:sz w:val="22"/>
          <w:szCs w:val="22"/>
        </w:rPr>
        <w:t>keep their child at home (suspensions) temporarily</w:t>
      </w:r>
      <w:r w:rsidRPr="00296330">
        <w:rPr>
          <w:sz w:val="22"/>
          <w:szCs w:val="22"/>
        </w:rPr>
        <w:t xml:space="preserve">, or 3) a child was asked to permanently leave the program (expulsions). </w:t>
      </w:r>
      <w:r w:rsidR="00636A2C" w:rsidRPr="00296330">
        <w:rPr>
          <w:sz w:val="22"/>
          <w:szCs w:val="22"/>
        </w:rPr>
        <w:t>Administrators also reported on how knowledgeable they were about the new law</w:t>
      </w:r>
      <w:r w:rsidR="00E42BC4" w:rsidRPr="00296330">
        <w:rPr>
          <w:sz w:val="22"/>
          <w:szCs w:val="22"/>
        </w:rPr>
        <w:t xml:space="preserve"> (on a 5-point Likert scale)</w:t>
      </w:r>
      <w:r w:rsidR="00636A2C" w:rsidRPr="00296330">
        <w:rPr>
          <w:sz w:val="22"/>
          <w:szCs w:val="22"/>
        </w:rPr>
        <w:t xml:space="preserve">, their program’s prior experience with </w:t>
      </w:r>
      <w:r w:rsidR="003E0827" w:rsidRPr="00296330">
        <w:rPr>
          <w:sz w:val="22"/>
          <w:szCs w:val="22"/>
        </w:rPr>
        <w:t>I/ECMHC</w:t>
      </w:r>
      <w:r w:rsidR="001E784C" w:rsidRPr="00296330">
        <w:rPr>
          <w:sz w:val="22"/>
          <w:szCs w:val="22"/>
        </w:rPr>
        <w:t>,</w:t>
      </w:r>
      <w:r w:rsidR="00636A2C" w:rsidRPr="00296330">
        <w:rPr>
          <w:sz w:val="22"/>
          <w:szCs w:val="22"/>
        </w:rPr>
        <w:t xml:space="preserve"> and </w:t>
      </w:r>
      <w:r w:rsidR="00762956" w:rsidRPr="00296330">
        <w:rPr>
          <w:sz w:val="22"/>
          <w:szCs w:val="22"/>
        </w:rPr>
        <w:t>their</w:t>
      </w:r>
      <w:r w:rsidR="00636A2C" w:rsidRPr="00296330">
        <w:rPr>
          <w:sz w:val="22"/>
          <w:szCs w:val="22"/>
        </w:rPr>
        <w:t xml:space="preserve"> </w:t>
      </w:r>
      <w:r w:rsidR="00762956" w:rsidRPr="00296330">
        <w:rPr>
          <w:sz w:val="22"/>
          <w:szCs w:val="22"/>
        </w:rPr>
        <w:t>anticipated changes to practice</w:t>
      </w:r>
      <w:r w:rsidR="00636A2C" w:rsidRPr="00296330">
        <w:rPr>
          <w:sz w:val="22"/>
          <w:szCs w:val="22"/>
        </w:rPr>
        <w:t xml:space="preserve"> in response to the law. </w:t>
      </w:r>
      <w:r w:rsidR="00A225EE" w:rsidRPr="00296330">
        <w:rPr>
          <w:sz w:val="22"/>
          <w:szCs w:val="22"/>
        </w:rPr>
        <w:t>To ascertain disproportionality of exclusion, a</w:t>
      </w:r>
      <w:r w:rsidR="00CA24E3" w:rsidRPr="00296330">
        <w:rPr>
          <w:sz w:val="22"/>
          <w:szCs w:val="22"/>
        </w:rPr>
        <w:t xml:space="preserve">dministrators were also asked to </w:t>
      </w:r>
      <w:r w:rsidR="00CA24E3" w:rsidRPr="00296330">
        <w:rPr>
          <w:sz w:val="22"/>
          <w:szCs w:val="22"/>
        </w:rPr>
        <w:lastRenderedPageBreak/>
        <w:t xml:space="preserve">provide </w:t>
      </w:r>
      <w:r w:rsidR="00A225EE" w:rsidRPr="00296330">
        <w:rPr>
          <w:sz w:val="22"/>
          <w:szCs w:val="22"/>
        </w:rPr>
        <w:t xml:space="preserve">the gender, age, and race of </w:t>
      </w:r>
      <w:r w:rsidR="00D2335C" w:rsidRPr="00296330">
        <w:rPr>
          <w:sz w:val="22"/>
          <w:szCs w:val="22"/>
        </w:rPr>
        <w:t>expelled children</w:t>
      </w:r>
      <w:r w:rsidR="00A225EE" w:rsidRPr="00296330">
        <w:rPr>
          <w:sz w:val="22"/>
          <w:szCs w:val="22"/>
        </w:rPr>
        <w:t xml:space="preserve"> using </w:t>
      </w:r>
      <w:r w:rsidR="00D2335C" w:rsidRPr="00296330">
        <w:rPr>
          <w:sz w:val="22"/>
          <w:szCs w:val="22"/>
        </w:rPr>
        <w:t>a</w:t>
      </w:r>
      <w:r w:rsidR="00A225EE" w:rsidRPr="00296330">
        <w:rPr>
          <w:sz w:val="22"/>
          <w:szCs w:val="22"/>
        </w:rPr>
        <w:t xml:space="preserve"> series of</w:t>
      </w:r>
      <w:r w:rsidR="00D2335C" w:rsidRPr="00296330">
        <w:rPr>
          <w:sz w:val="22"/>
          <w:szCs w:val="22"/>
        </w:rPr>
        <w:t xml:space="preserve"> Likert scale</w:t>
      </w:r>
      <w:r w:rsidR="00A225EE" w:rsidRPr="00296330">
        <w:rPr>
          <w:sz w:val="22"/>
          <w:szCs w:val="22"/>
        </w:rPr>
        <w:t>s</w:t>
      </w:r>
      <w:r w:rsidR="00D2335C" w:rsidRPr="00296330">
        <w:rPr>
          <w:sz w:val="22"/>
          <w:szCs w:val="22"/>
        </w:rPr>
        <w:t xml:space="preserve"> (i.e., “What proportion of the children asked to leave your program permanently were…. Female” 0= “None”; 5= “All or Almost All”). </w:t>
      </w:r>
      <w:r w:rsidR="00A225EE" w:rsidRPr="00296330">
        <w:rPr>
          <w:sz w:val="22"/>
          <w:szCs w:val="22"/>
        </w:rPr>
        <w:t xml:space="preserve">Unfortunately, a high number of administrators </w:t>
      </w:r>
      <w:r w:rsidR="0086483B" w:rsidRPr="00296330">
        <w:rPr>
          <w:sz w:val="22"/>
          <w:szCs w:val="22"/>
        </w:rPr>
        <w:t xml:space="preserve">skipped the enrollment (20%) and/or excluded child demographic (15%) questions. </w:t>
      </w:r>
      <w:r w:rsidR="00A225EE" w:rsidRPr="00296330">
        <w:rPr>
          <w:sz w:val="22"/>
          <w:szCs w:val="22"/>
        </w:rPr>
        <w:t xml:space="preserve">Further, when </w:t>
      </w:r>
      <w:r w:rsidR="0086483B" w:rsidRPr="00296330">
        <w:rPr>
          <w:sz w:val="22"/>
          <w:szCs w:val="22"/>
        </w:rPr>
        <w:t xml:space="preserve">these </w:t>
      </w:r>
      <w:r w:rsidR="00A225EE" w:rsidRPr="00296330">
        <w:rPr>
          <w:sz w:val="22"/>
          <w:szCs w:val="22"/>
        </w:rPr>
        <w:t xml:space="preserve">items were completed, many </w:t>
      </w:r>
      <w:r w:rsidR="0086483B" w:rsidRPr="00296330">
        <w:rPr>
          <w:sz w:val="22"/>
          <w:szCs w:val="22"/>
        </w:rPr>
        <w:t xml:space="preserve">responses were illogical </w:t>
      </w:r>
      <w:r w:rsidR="00A225EE" w:rsidRPr="00296330">
        <w:rPr>
          <w:sz w:val="22"/>
          <w:szCs w:val="22"/>
        </w:rPr>
        <w:t xml:space="preserve">(e.g., reporting that </w:t>
      </w:r>
      <w:r w:rsidR="0086483B" w:rsidRPr="00296330">
        <w:rPr>
          <w:sz w:val="22"/>
          <w:szCs w:val="22"/>
        </w:rPr>
        <w:t xml:space="preserve">a single </w:t>
      </w:r>
      <w:r w:rsidR="00A225EE" w:rsidRPr="00296330">
        <w:rPr>
          <w:sz w:val="22"/>
          <w:szCs w:val="22"/>
        </w:rPr>
        <w:t>child was expelled, but that “half” of expelled children were boys)</w:t>
      </w:r>
      <w:r w:rsidR="0086483B" w:rsidRPr="00296330">
        <w:rPr>
          <w:sz w:val="22"/>
          <w:szCs w:val="22"/>
        </w:rPr>
        <w:t>. For these reasons, we dropped planned child characteristics analyses from Year 1 and revised our methodology for Year 2 as is discussed below.</w:t>
      </w:r>
    </w:p>
    <w:p w14:paraId="23BF751D" w14:textId="2C8C43E1" w:rsidR="0074141F" w:rsidRDefault="00A225EE" w:rsidP="004B538D">
      <w:pPr>
        <w:spacing w:line="480" w:lineRule="auto"/>
        <w:rPr>
          <w:sz w:val="22"/>
          <w:szCs w:val="22"/>
        </w:rPr>
      </w:pPr>
      <w:r w:rsidRPr="00296330">
        <w:rPr>
          <w:b/>
          <w:bCs/>
          <w:i/>
          <w:iCs/>
          <w:sz w:val="22"/>
          <w:szCs w:val="22"/>
        </w:rPr>
        <w:tab/>
      </w:r>
      <w:r w:rsidR="0074141F">
        <w:rPr>
          <w:b/>
          <w:bCs/>
          <w:i/>
          <w:iCs/>
          <w:sz w:val="22"/>
          <w:szCs w:val="22"/>
        </w:rPr>
        <w:t>Year 1</w:t>
      </w:r>
      <w:r w:rsidR="00E141A0">
        <w:rPr>
          <w:b/>
          <w:bCs/>
          <w:i/>
          <w:iCs/>
          <w:sz w:val="22"/>
          <w:szCs w:val="22"/>
        </w:rPr>
        <w:t xml:space="preserve"> (2017-2018)</w:t>
      </w:r>
      <w:r w:rsidR="0074141F">
        <w:rPr>
          <w:b/>
          <w:bCs/>
          <w:i/>
          <w:iCs/>
          <w:sz w:val="22"/>
          <w:szCs w:val="22"/>
        </w:rPr>
        <w:t xml:space="preserve"> </w:t>
      </w:r>
      <w:r w:rsidR="00C05892" w:rsidRPr="00296330">
        <w:rPr>
          <w:b/>
          <w:bCs/>
          <w:i/>
          <w:iCs/>
          <w:sz w:val="22"/>
          <w:szCs w:val="22"/>
        </w:rPr>
        <w:t xml:space="preserve">Phone </w:t>
      </w:r>
      <w:r w:rsidR="00E141A0">
        <w:rPr>
          <w:b/>
          <w:bCs/>
          <w:i/>
          <w:iCs/>
          <w:sz w:val="22"/>
          <w:szCs w:val="22"/>
        </w:rPr>
        <w:t>I</w:t>
      </w:r>
      <w:r w:rsidR="00C05892" w:rsidRPr="00296330">
        <w:rPr>
          <w:b/>
          <w:bCs/>
          <w:i/>
          <w:iCs/>
          <w:sz w:val="22"/>
          <w:szCs w:val="22"/>
        </w:rPr>
        <w:t>nterviews.</w:t>
      </w:r>
      <w:r w:rsidR="00C05892" w:rsidRPr="00296330">
        <w:rPr>
          <w:b/>
          <w:bCs/>
          <w:sz w:val="22"/>
          <w:szCs w:val="22"/>
        </w:rPr>
        <w:t xml:space="preserve"> </w:t>
      </w:r>
      <w:r w:rsidR="000C0203" w:rsidRPr="00296330">
        <w:rPr>
          <w:sz w:val="22"/>
          <w:szCs w:val="22"/>
        </w:rPr>
        <w:t>Semi-structured telephone interviews lasted between 45 and 90 minutes</w:t>
      </w:r>
      <w:r w:rsidR="00CA24E3" w:rsidRPr="00296330">
        <w:rPr>
          <w:sz w:val="22"/>
          <w:szCs w:val="22"/>
        </w:rPr>
        <w:t xml:space="preserve"> depending on the expansiveness of participants’ responses. </w:t>
      </w:r>
      <w:r w:rsidR="00832F95" w:rsidRPr="0016442C">
        <w:rPr>
          <w:sz w:val="22"/>
          <w:szCs w:val="22"/>
        </w:rPr>
        <w:t>All interviews were professionally transcribed</w:t>
      </w:r>
      <w:r w:rsidR="00832F95">
        <w:rPr>
          <w:sz w:val="22"/>
          <w:szCs w:val="22"/>
        </w:rPr>
        <w:t>.</w:t>
      </w:r>
      <w:r w:rsidR="00832F95" w:rsidRPr="0016442C">
        <w:rPr>
          <w:sz w:val="22"/>
          <w:szCs w:val="22"/>
        </w:rPr>
        <w:t xml:space="preserve"> </w:t>
      </w:r>
      <w:r w:rsidR="00101CF7">
        <w:rPr>
          <w:sz w:val="22"/>
          <w:szCs w:val="22"/>
        </w:rPr>
        <w:t xml:space="preserve">Analyses presented here focus narrowly on three interview questions pertaining to anticipated changes to policies and transition practices to comply with the legislation as well as experiences with mental health consultation services. </w:t>
      </w:r>
      <w:r w:rsidR="00BB4566">
        <w:rPr>
          <w:sz w:val="22"/>
          <w:szCs w:val="22"/>
        </w:rPr>
        <w:t xml:space="preserve">These questions were prioritized by coalition members and </w:t>
      </w:r>
      <w:r w:rsidR="00BB4566" w:rsidRPr="0016442C">
        <w:rPr>
          <w:i/>
          <w:sz w:val="22"/>
          <w:szCs w:val="22"/>
        </w:rPr>
        <w:t>a priori</w:t>
      </w:r>
      <w:r w:rsidR="00BB4566" w:rsidRPr="0016442C">
        <w:rPr>
          <w:sz w:val="22"/>
          <w:szCs w:val="22"/>
        </w:rPr>
        <w:t xml:space="preserve"> codes</w:t>
      </w:r>
      <w:r w:rsidR="00BB4566">
        <w:rPr>
          <w:sz w:val="22"/>
          <w:szCs w:val="22"/>
        </w:rPr>
        <w:t xml:space="preserve"> were developed</w:t>
      </w:r>
      <w:r w:rsidR="00BB4566" w:rsidRPr="0016442C">
        <w:rPr>
          <w:sz w:val="22"/>
          <w:szCs w:val="22"/>
        </w:rPr>
        <w:t xml:space="preserve"> </w:t>
      </w:r>
      <w:r w:rsidR="00BB4566">
        <w:rPr>
          <w:sz w:val="22"/>
          <w:szCs w:val="22"/>
        </w:rPr>
        <w:t xml:space="preserve">in collaboration with coalition members and based on preliminary analyses of survey data. For example, codes were applied to responses to a question about whether and how their management of children’s challenging behavior has changed in response to the law as follows ‘no changes planned’, ‘changes planned but not yet implemented’, or ‘changes already made’. For the latter two codes, </w:t>
      </w:r>
      <w:r w:rsidR="00832F95">
        <w:rPr>
          <w:sz w:val="22"/>
          <w:szCs w:val="22"/>
        </w:rPr>
        <w:t xml:space="preserve">five </w:t>
      </w:r>
      <w:r w:rsidR="00BB4566">
        <w:rPr>
          <w:sz w:val="22"/>
          <w:szCs w:val="22"/>
        </w:rPr>
        <w:t xml:space="preserve">sub-codes </w:t>
      </w:r>
      <w:r w:rsidR="00832F95">
        <w:rPr>
          <w:sz w:val="22"/>
          <w:szCs w:val="22"/>
        </w:rPr>
        <w:t xml:space="preserve">based on legislation language </w:t>
      </w:r>
      <w:r w:rsidR="00BB4566">
        <w:rPr>
          <w:sz w:val="22"/>
          <w:szCs w:val="22"/>
        </w:rPr>
        <w:t xml:space="preserve">were </w:t>
      </w:r>
      <w:r w:rsidR="00832F95">
        <w:rPr>
          <w:sz w:val="22"/>
          <w:szCs w:val="22"/>
        </w:rPr>
        <w:t xml:space="preserve">then </w:t>
      </w:r>
      <w:r w:rsidR="00BB4566">
        <w:rPr>
          <w:sz w:val="22"/>
          <w:szCs w:val="22"/>
        </w:rPr>
        <w:t xml:space="preserve">applied to describe the type of change (e.g., </w:t>
      </w:r>
      <w:r w:rsidR="00832F95">
        <w:rPr>
          <w:sz w:val="22"/>
          <w:szCs w:val="22"/>
        </w:rPr>
        <w:t>increase teacher training). A random sample of 25% of transcripts was selected for dual-coding</w:t>
      </w:r>
      <w:r w:rsidR="002C5650">
        <w:rPr>
          <w:sz w:val="22"/>
          <w:szCs w:val="22"/>
        </w:rPr>
        <w:t xml:space="preserve"> by the </w:t>
      </w:r>
      <w:r w:rsidR="00832F95">
        <w:rPr>
          <w:sz w:val="22"/>
          <w:szCs w:val="22"/>
        </w:rPr>
        <w:t xml:space="preserve">two lead authors’ </w:t>
      </w:r>
      <w:r w:rsidR="002C5650">
        <w:rPr>
          <w:sz w:val="22"/>
          <w:szCs w:val="22"/>
        </w:rPr>
        <w:t xml:space="preserve">and </w:t>
      </w:r>
      <w:r w:rsidR="00CA24E3" w:rsidRPr="00296330">
        <w:rPr>
          <w:sz w:val="22"/>
          <w:szCs w:val="22"/>
        </w:rPr>
        <w:t xml:space="preserve">agreement </w:t>
      </w:r>
      <w:r w:rsidR="002C5650">
        <w:rPr>
          <w:sz w:val="22"/>
          <w:szCs w:val="22"/>
        </w:rPr>
        <w:t xml:space="preserve">for codes </w:t>
      </w:r>
      <w:r w:rsidR="00832F95">
        <w:rPr>
          <w:sz w:val="22"/>
          <w:szCs w:val="22"/>
        </w:rPr>
        <w:t xml:space="preserve">across </w:t>
      </w:r>
      <w:r w:rsidR="002C5650">
        <w:rPr>
          <w:sz w:val="22"/>
          <w:szCs w:val="22"/>
        </w:rPr>
        <w:t xml:space="preserve">these three questions was high, </w:t>
      </w:r>
      <w:r w:rsidR="002C5650" w:rsidRPr="0016442C">
        <w:rPr>
          <w:sz w:val="22"/>
          <w:szCs w:val="22"/>
        </w:rPr>
        <w:t>(</w:t>
      </w:r>
      <w:r w:rsidR="002C5650" w:rsidRPr="0016442C">
        <w:rPr>
          <w:i/>
          <w:iCs/>
          <w:sz w:val="22"/>
          <w:szCs w:val="22"/>
        </w:rPr>
        <w:t>P</w:t>
      </w:r>
      <w:r w:rsidR="002C5650" w:rsidRPr="0016442C">
        <w:rPr>
          <w:i/>
          <w:iCs/>
          <w:sz w:val="22"/>
          <w:szCs w:val="22"/>
          <w:vertAlign w:val="subscript"/>
        </w:rPr>
        <w:t>A</w:t>
      </w:r>
      <w:r w:rsidR="002C5650">
        <w:rPr>
          <w:sz w:val="22"/>
          <w:szCs w:val="22"/>
        </w:rPr>
        <w:t xml:space="preserve"> = 93%</w:t>
      </w:r>
      <w:r w:rsidR="005F3D4A">
        <w:rPr>
          <w:sz w:val="22"/>
          <w:szCs w:val="22"/>
        </w:rPr>
        <w:t xml:space="preserve">; Mean </w:t>
      </w:r>
      <w:r w:rsidR="005F3D4A">
        <w:rPr>
          <w:sz w:val="22"/>
          <w:szCs w:val="22"/>
        </w:rPr>
        <w:sym w:font="Symbol" w:char="F06B"/>
      </w:r>
      <w:r w:rsidR="005F3D4A">
        <w:rPr>
          <w:sz w:val="22"/>
          <w:szCs w:val="22"/>
        </w:rPr>
        <w:t xml:space="preserve"> = 0.87</w:t>
      </w:r>
      <w:r w:rsidR="00BA1E68">
        <w:rPr>
          <w:sz w:val="22"/>
          <w:szCs w:val="22"/>
        </w:rPr>
        <w:t xml:space="preserve"> (range 0.74 – 1.00)</w:t>
      </w:r>
      <w:r w:rsidR="002C5650">
        <w:rPr>
          <w:sz w:val="22"/>
          <w:szCs w:val="22"/>
        </w:rPr>
        <w:t xml:space="preserve">; </w:t>
      </w:r>
      <w:r w:rsidR="00CA24E3" w:rsidRPr="00296330">
        <w:rPr>
          <w:sz w:val="22"/>
          <w:szCs w:val="22"/>
        </w:rPr>
        <w:t>Syed &amp; Nelson, 2015)</w:t>
      </w:r>
      <w:r w:rsidR="002C5650">
        <w:rPr>
          <w:sz w:val="22"/>
          <w:szCs w:val="22"/>
        </w:rPr>
        <w:t xml:space="preserve">. Nevertheless, </w:t>
      </w:r>
      <w:r w:rsidR="00CA24E3" w:rsidRPr="00296330">
        <w:rPr>
          <w:sz w:val="22"/>
          <w:szCs w:val="22"/>
        </w:rPr>
        <w:t xml:space="preserve">coders </w:t>
      </w:r>
      <w:r w:rsidR="002C5650">
        <w:rPr>
          <w:sz w:val="22"/>
          <w:szCs w:val="22"/>
        </w:rPr>
        <w:t xml:space="preserve">held regular consensus meetings to </w:t>
      </w:r>
      <w:r w:rsidR="00CA24E3" w:rsidRPr="00296330">
        <w:rPr>
          <w:sz w:val="22"/>
          <w:szCs w:val="22"/>
        </w:rPr>
        <w:t>discuss</w:t>
      </w:r>
      <w:r w:rsidR="002C5650">
        <w:rPr>
          <w:sz w:val="22"/>
          <w:szCs w:val="22"/>
        </w:rPr>
        <w:t xml:space="preserve"> any</w:t>
      </w:r>
      <w:r w:rsidR="00CA24E3" w:rsidRPr="00296330">
        <w:rPr>
          <w:sz w:val="22"/>
          <w:szCs w:val="22"/>
        </w:rPr>
        <w:t xml:space="preserve"> </w:t>
      </w:r>
      <w:r w:rsidR="002C5650">
        <w:rPr>
          <w:sz w:val="22"/>
          <w:szCs w:val="22"/>
        </w:rPr>
        <w:t>points of uncertainty.</w:t>
      </w:r>
    </w:p>
    <w:p w14:paraId="736B4EA2" w14:textId="58307301" w:rsidR="004C62A4" w:rsidRDefault="0074141F">
      <w:pPr>
        <w:spacing w:line="480" w:lineRule="auto"/>
        <w:ind w:firstLine="720"/>
        <w:rPr>
          <w:sz w:val="22"/>
          <w:szCs w:val="22"/>
        </w:rPr>
      </w:pPr>
      <w:r w:rsidRPr="004B538D">
        <w:rPr>
          <w:b/>
          <w:bCs/>
          <w:i/>
          <w:sz w:val="22"/>
          <w:szCs w:val="22"/>
        </w:rPr>
        <w:t>Year 2 (2018-2019) Online Survey</w:t>
      </w:r>
      <w:r>
        <w:rPr>
          <w:b/>
          <w:bCs/>
          <w:i/>
          <w:sz w:val="22"/>
          <w:szCs w:val="22"/>
        </w:rPr>
        <w:t xml:space="preserve">. </w:t>
      </w:r>
      <w:r w:rsidRPr="0016442C">
        <w:rPr>
          <w:sz w:val="22"/>
          <w:szCs w:val="22"/>
        </w:rPr>
        <w:t>Shortly after the release of the report of Year 1 findings, members of the coalition advised the research team on the content and scope of a follow-up study. Th</w:t>
      </w:r>
      <w:r>
        <w:rPr>
          <w:sz w:val="22"/>
          <w:szCs w:val="22"/>
        </w:rPr>
        <w:t xml:space="preserve">e new </w:t>
      </w:r>
      <w:r w:rsidRPr="0016442C">
        <w:rPr>
          <w:sz w:val="22"/>
          <w:szCs w:val="22"/>
        </w:rPr>
        <w:t xml:space="preserve">survey </w:t>
      </w:r>
      <w:r>
        <w:rPr>
          <w:sz w:val="22"/>
          <w:szCs w:val="22"/>
        </w:rPr>
        <w:t xml:space="preserve">asked administrators to report on practices and experiences during the 2018-2019 school year. The survey </w:t>
      </w:r>
      <w:r w:rsidRPr="0016442C">
        <w:rPr>
          <w:sz w:val="22"/>
          <w:szCs w:val="22"/>
        </w:rPr>
        <w:t xml:space="preserve">repeated many questions from the Year 1 survey, but per stakeholder’s requests, we expanded the questions on expulsion to better capture mechanisms for excluding a child. In Year 2, administrators </w:t>
      </w:r>
      <w:r w:rsidRPr="0016442C">
        <w:rPr>
          <w:sz w:val="22"/>
          <w:szCs w:val="22"/>
        </w:rPr>
        <w:lastRenderedPageBreak/>
        <w:t xml:space="preserve">specifically reported on the number of children displaying challenging behaviors who were non-voluntary dis-enrolled (i.e., expelled); had a planned transition into another program; and whose family voluntarily withdrew them (a proxy variable for a soft expulsion or being encouraged to leave). We additionally included more structured scenario-based assessments of administrators’ knowledge of key components of </w:t>
      </w:r>
      <w:r w:rsidR="005C7A31">
        <w:rPr>
          <w:sz w:val="22"/>
          <w:szCs w:val="22"/>
        </w:rPr>
        <w:t>IL PA 100-0105,</w:t>
      </w:r>
      <w:r w:rsidRPr="0016442C">
        <w:rPr>
          <w:sz w:val="22"/>
          <w:szCs w:val="22"/>
        </w:rPr>
        <w:t xml:space="preserve"> including questions about what types of programs must comply with stipulations, what practices were allowed and disallowed, and planned reporting requirements. </w:t>
      </w:r>
    </w:p>
    <w:p w14:paraId="72B3F0B5" w14:textId="5BAF6966" w:rsidR="0074141F" w:rsidRPr="0016442C" w:rsidRDefault="0074141F">
      <w:pPr>
        <w:spacing w:line="480" w:lineRule="auto"/>
        <w:ind w:firstLine="720"/>
        <w:rPr>
          <w:sz w:val="22"/>
          <w:szCs w:val="22"/>
        </w:rPr>
      </w:pPr>
      <w:r w:rsidRPr="0016442C">
        <w:rPr>
          <w:sz w:val="22"/>
          <w:szCs w:val="22"/>
        </w:rPr>
        <w:t>An additional significant difference between the Year 1 and Year 2 surveys was in our collection of child-level demographic data. Specifically</w:t>
      </w:r>
      <w:r>
        <w:rPr>
          <w:sz w:val="22"/>
          <w:szCs w:val="22"/>
        </w:rPr>
        <w:t>,</w:t>
      </w:r>
      <w:r w:rsidRPr="0016442C">
        <w:rPr>
          <w:sz w:val="22"/>
          <w:szCs w:val="22"/>
        </w:rPr>
        <w:t xml:space="preserve"> in the Year 2 survey administrators completed demographic questions for each child who was permanently excluded.  Although analysis of these data is ongoing, we report below some preliminary results of the most pressing coalition questions pertaining to change over time, the mechanisms of exclusion, and the characteristics of excluded children. </w:t>
      </w:r>
    </w:p>
    <w:p w14:paraId="004079F8" w14:textId="34CA3BAF" w:rsidR="007633E3" w:rsidRPr="00296330" w:rsidRDefault="00C05892">
      <w:pPr>
        <w:spacing w:line="480" w:lineRule="auto"/>
        <w:jc w:val="center"/>
        <w:rPr>
          <w:sz w:val="22"/>
          <w:szCs w:val="22"/>
        </w:rPr>
      </w:pPr>
      <w:r w:rsidRPr="00296330">
        <w:rPr>
          <w:b/>
          <w:bCs/>
          <w:sz w:val="22"/>
          <w:szCs w:val="22"/>
        </w:rPr>
        <w:t>Results</w:t>
      </w:r>
    </w:p>
    <w:p w14:paraId="39F6A08E" w14:textId="63F345C2" w:rsidR="005A7FA2" w:rsidRPr="00296330" w:rsidRDefault="009B2EA4">
      <w:pPr>
        <w:spacing w:line="480" w:lineRule="auto"/>
        <w:rPr>
          <w:b/>
          <w:sz w:val="22"/>
          <w:szCs w:val="22"/>
        </w:rPr>
      </w:pPr>
      <w:bookmarkStart w:id="2" w:name="_Hlk31195207"/>
      <w:r w:rsidRPr="00296330">
        <w:rPr>
          <w:b/>
          <w:sz w:val="22"/>
          <w:szCs w:val="22"/>
        </w:rPr>
        <w:t>Baseline Rates of Exclusionary Discipline and Systematic Variance by Program Characteristics</w:t>
      </w:r>
    </w:p>
    <w:p w14:paraId="5103A253" w14:textId="03553186" w:rsidR="00A0705D" w:rsidRPr="00296330" w:rsidRDefault="00A0705D">
      <w:pPr>
        <w:spacing w:line="480" w:lineRule="auto"/>
        <w:ind w:firstLine="720"/>
        <w:rPr>
          <w:sz w:val="22"/>
          <w:szCs w:val="22"/>
        </w:rPr>
      </w:pPr>
      <w:r w:rsidRPr="00296330">
        <w:rPr>
          <w:sz w:val="22"/>
          <w:szCs w:val="22"/>
        </w:rPr>
        <w:t xml:space="preserve">Based on the stated needs of coalition members, the first priority analysis </w:t>
      </w:r>
      <w:r w:rsidR="004C62A4">
        <w:rPr>
          <w:sz w:val="22"/>
          <w:szCs w:val="22"/>
        </w:rPr>
        <w:t xml:space="preserve">using Year 1 survey data </w:t>
      </w:r>
      <w:r w:rsidRPr="00296330">
        <w:rPr>
          <w:sz w:val="22"/>
          <w:szCs w:val="22"/>
        </w:rPr>
        <w:t xml:space="preserve">was to determine how pervasive expulsion was and whether there were any patterns in </w:t>
      </w:r>
      <w:r w:rsidR="003A7A90" w:rsidRPr="00296330">
        <w:rPr>
          <w:sz w:val="22"/>
          <w:szCs w:val="22"/>
        </w:rPr>
        <w:t>which</w:t>
      </w:r>
      <w:r w:rsidRPr="00296330">
        <w:rPr>
          <w:sz w:val="22"/>
          <w:szCs w:val="22"/>
        </w:rPr>
        <w:t xml:space="preserve"> expulsion was most likely. </w:t>
      </w:r>
      <w:r w:rsidR="004345CA" w:rsidRPr="00296330">
        <w:rPr>
          <w:sz w:val="22"/>
          <w:szCs w:val="22"/>
        </w:rPr>
        <w:t xml:space="preserve">All </w:t>
      </w:r>
      <w:r w:rsidRPr="00296330">
        <w:rPr>
          <w:sz w:val="22"/>
          <w:szCs w:val="22"/>
        </w:rPr>
        <w:t xml:space="preserve">three types of </w:t>
      </w:r>
      <w:r w:rsidR="00D048F2" w:rsidRPr="00296330">
        <w:rPr>
          <w:sz w:val="22"/>
          <w:szCs w:val="22"/>
        </w:rPr>
        <w:t>exclusion</w:t>
      </w:r>
      <w:r w:rsidRPr="00296330">
        <w:rPr>
          <w:sz w:val="22"/>
          <w:szCs w:val="22"/>
        </w:rPr>
        <w:t xml:space="preserve"> (</w:t>
      </w:r>
      <w:r w:rsidR="00D048F2" w:rsidRPr="00296330">
        <w:rPr>
          <w:sz w:val="22"/>
          <w:szCs w:val="22"/>
        </w:rPr>
        <w:t>e.g.</w:t>
      </w:r>
      <w:r w:rsidR="00FA479F">
        <w:rPr>
          <w:sz w:val="22"/>
          <w:szCs w:val="22"/>
        </w:rPr>
        <w:t>,</w:t>
      </w:r>
      <w:r w:rsidR="00D048F2" w:rsidRPr="00296330">
        <w:rPr>
          <w:sz w:val="22"/>
          <w:szCs w:val="22"/>
        </w:rPr>
        <w:t xml:space="preserve"> </w:t>
      </w:r>
      <w:r w:rsidRPr="00296330">
        <w:rPr>
          <w:sz w:val="22"/>
          <w:szCs w:val="22"/>
        </w:rPr>
        <w:t xml:space="preserve">early pick-ups, suspensions, and expulsions) were fairly common during the 2017-2018 school year. </w:t>
      </w:r>
      <w:r w:rsidR="00B4136D" w:rsidRPr="00296330">
        <w:rPr>
          <w:sz w:val="22"/>
          <w:szCs w:val="22"/>
        </w:rPr>
        <w:t>Nearly half (48%) of programs had sent at least one child home early, and a third had suspended</w:t>
      </w:r>
      <w:r w:rsidR="004345CA" w:rsidRPr="00296330">
        <w:rPr>
          <w:sz w:val="22"/>
          <w:szCs w:val="22"/>
        </w:rPr>
        <w:t xml:space="preserve"> (32%)</w:t>
      </w:r>
      <w:r w:rsidR="00B4136D" w:rsidRPr="00296330">
        <w:rPr>
          <w:sz w:val="22"/>
          <w:szCs w:val="22"/>
        </w:rPr>
        <w:t xml:space="preserve"> </w:t>
      </w:r>
      <w:r w:rsidR="004345CA" w:rsidRPr="00296330">
        <w:rPr>
          <w:sz w:val="22"/>
          <w:szCs w:val="22"/>
        </w:rPr>
        <w:t xml:space="preserve">or expelled </w:t>
      </w:r>
      <w:r w:rsidR="00B4136D" w:rsidRPr="00296330">
        <w:rPr>
          <w:sz w:val="22"/>
          <w:szCs w:val="22"/>
        </w:rPr>
        <w:t>at least one child (3</w:t>
      </w:r>
      <w:r w:rsidR="004345CA" w:rsidRPr="00296330">
        <w:rPr>
          <w:sz w:val="22"/>
          <w:szCs w:val="22"/>
        </w:rPr>
        <w:t>5</w:t>
      </w:r>
      <w:r w:rsidR="00B4136D" w:rsidRPr="00296330">
        <w:rPr>
          <w:sz w:val="22"/>
          <w:szCs w:val="22"/>
        </w:rPr>
        <w:t xml:space="preserve">%). </w:t>
      </w:r>
      <w:r w:rsidR="009B2EA4" w:rsidRPr="00296330">
        <w:rPr>
          <w:sz w:val="22"/>
          <w:szCs w:val="22"/>
        </w:rPr>
        <w:t>Across all participating programs, administrators reported that 93 of the 9</w:t>
      </w:r>
      <w:r w:rsidR="003A7A90" w:rsidRPr="00296330">
        <w:rPr>
          <w:sz w:val="22"/>
          <w:szCs w:val="22"/>
        </w:rPr>
        <w:t>,040 children under the age of six</w:t>
      </w:r>
      <w:r w:rsidR="009B2EA4" w:rsidRPr="00296330">
        <w:rPr>
          <w:sz w:val="22"/>
          <w:szCs w:val="22"/>
        </w:rPr>
        <w:t xml:space="preserve"> in their care (or 10.29 per 1,000 children</w:t>
      </w:r>
      <w:r w:rsidR="00B4136D" w:rsidRPr="00296330">
        <w:rPr>
          <w:sz w:val="22"/>
          <w:szCs w:val="22"/>
        </w:rPr>
        <w:t xml:space="preserve"> enrolled</w:t>
      </w:r>
      <w:r w:rsidR="009B2EA4" w:rsidRPr="00296330">
        <w:rPr>
          <w:sz w:val="22"/>
          <w:szCs w:val="22"/>
        </w:rPr>
        <w:t xml:space="preserve">) had been permanently </w:t>
      </w:r>
      <w:r w:rsidR="00D93310" w:rsidRPr="00296330">
        <w:rPr>
          <w:sz w:val="22"/>
          <w:szCs w:val="22"/>
        </w:rPr>
        <w:t xml:space="preserve">excluded </w:t>
      </w:r>
      <w:r w:rsidR="009B2EA4" w:rsidRPr="00296330">
        <w:rPr>
          <w:sz w:val="22"/>
          <w:szCs w:val="22"/>
        </w:rPr>
        <w:t xml:space="preserve">from their programs due to challenging behaviors. </w:t>
      </w:r>
      <w:r w:rsidR="00B4136D" w:rsidRPr="00296330">
        <w:rPr>
          <w:sz w:val="22"/>
          <w:szCs w:val="22"/>
        </w:rPr>
        <w:t>On average</w:t>
      </w:r>
      <w:r w:rsidR="001E784C" w:rsidRPr="00296330">
        <w:rPr>
          <w:sz w:val="22"/>
          <w:szCs w:val="22"/>
        </w:rPr>
        <w:t>,</w:t>
      </w:r>
      <w:r w:rsidR="00B4136D" w:rsidRPr="00296330">
        <w:rPr>
          <w:sz w:val="22"/>
          <w:szCs w:val="22"/>
        </w:rPr>
        <w:t xml:space="preserve"> this represented nearly 2% of each program’s total enrollment.</w:t>
      </w:r>
    </w:p>
    <w:p w14:paraId="5413E671" w14:textId="60D28C04" w:rsidR="004F7A27" w:rsidRPr="00296330" w:rsidRDefault="00A0705D">
      <w:pPr>
        <w:spacing w:line="480" w:lineRule="auto"/>
        <w:ind w:firstLine="720"/>
        <w:rPr>
          <w:sz w:val="22"/>
          <w:szCs w:val="22"/>
        </w:rPr>
      </w:pPr>
      <w:r w:rsidRPr="00296330">
        <w:rPr>
          <w:sz w:val="22"/>
          <w:szCs w:val="22"/>
        </w:rPr>
        <w:t xml:space="preserve">Year 1 data also revealed several systematic variations in </w:t>
      </w:r>
      <w:r w:rsidR="00B44579" w:rsidRPr="00296330">
        <w:rPr>
          <w:sz w:val="22"/>
          <w:szCs w:val="22"/>
        </w:rPr>
        <w:t xml:space="preserve">the </w:t>
      </w:r>
      <w:r w:rsidRPr="00296330">
        <w:rPr>
          <w:sz w:val="22"/>
          <w:szCs w:val="22"/>
        </w:rPr>
        <w:t xml:space="preserve">exclusionary discipline by program characteristics. </w:t>
      </w:r>
      <w:r w:rsidR="00CE1C5E" w:rsidRPr="00296330">
        <w:rPr>
          <w:sz w:val="22"/>
          <w:szCs w:val="22"/>
        </w:rPr>
        <w:t xml:space="preserve">As </w:t>
      </w:r>
      <w:r w:rsidR="00422700">
        <w:rPr>
          <w:sz w:val="22"/>
          <w:szCs w:val="22"/>
        </w:rPr>
        <w:t xml:space="preserve">ANOVA results in </w:t>
      </w:r>
      <w:r w:rsidR="00CE1C5E" w:rsidRPr="00296330">
        <w:rPr>
          <w:sz w:val="22"/>
          <w:szCs w:val="22"/>
        </w:rPr>
        <w:t xml:space="preserve">Table </w:t>
      </w:r>
      <w:r w:rsidR="003D056B">
        <w:rPr>
          <w:sz w:val="22"/>
          <w:szCs w:val="22"/>
        </w:rPr>
        <w:t>3</w:t>
      </w:r>
      <w:r w:rsidR="003D056B" w:rsidRPr="00296330">
        <w:rPr>
          <w:sz w:val="22"/>
          <w:szCs w:val="22"/>
        </w:rPr>
        <w:t xml:space="preserve"> </w:t>
      </w:r>
      <w:r w:rsidR="00CE1C5E" w:rsidRPr="00296330">
        <w:rPr>
          <w:sz w:val="22"/>
          <w:szCs w:val="22"/>
        </w:rPr>
        <w:t xml:space="preserve">depict, center-based and </w:t>
      </w:r>
      <w:r w:rsidRPr="00296330">
        <w:rPr>
          <w:sz w:val="22"/>
          <w:szCs w:val="22"/>
        </w:rPr>
        <w:t xml:space="preserve">publicly funded programs </w:t>
      </w:r>
      <w:r w:rsidR="00CE1C5E" w:rsidRPr="00296330">
        <w:rPr>
          <w:sz w:val="22"/>
          <w:szCs w:val="22"/>
        </w:rPr>
        <w:t>on average expelled significantly more children. Comparisons using the proportion of enrollment expelled showed similar results.</w:t>
      </w:r>
      <w:r w:rsidRPr="00296330">
        <w:rPr>
          <w:sz w:val="22"/>
          <w:szCs w:val="22"/>
        </w:rPr>
        <w:t xml:space="preserve"> </w:t>
      </w:r>
      <w:r w:rsidR="00CE1C5E" w:rsidRPr="00296330">
        <w:rPr>
          <w:sz w:val="22"/>
          <w:szCs w:val="22"/>
        </w:rPr>
        <w:t xml:space="preserve">There were no differences in expulsion rates by </w:t>
      </w:r>
      <w:proofErr w:type="spellStart"/>
      <w:r w:rsidR="00CE1C5E" w:rsidRPr="00296330">
        <w:rPr>
          <w:sz w:val="22"/>
          <w:szCs w:val="22"/>
        </w:rPr>
        <w:t>urbanicity</w:t>
      </w:r>
      <w:proofErr w:type="spellEnd"/>
      <w:r w:rsidR="00CE1C5E" w:rsidRPr="00296330">
        <w:rPr>
          <w:sz w:val="22"/>
          <w:szCs w:val="22"/>
        </w:rPr>
        <w:t xml:space="preserve">. Expulsion rates also differed by the demographic characteristics of children enrolled. </w:t>
      </w:r>
      <w:r w:rsidRPr="00296330">
        <w:rPr>
          <w:sz w:val="22"/>
          <w:szCs w:val="22"/>
        </w:rPr>
        <w:t xml:space="preserve">Heterogeneous programs with no </w:t>
      </w:r>
      <w:r w:rsidRPr="00296330">
        <w:rPr>
          <w:sz w:val="22"/>
          <w:szCs w:val="22"/>
        </w:rPr>
        <w:lastRenderedPageBreak/>
        <w:t>racial/ethnic majority expel</w:t>
      </w:r>
      <w:r w:rsidR="00CE1C5E" w:rsidRPr="00296330">
        <w:rPr>
          <w:sz w:val="22"/>
          <w:szCs w:val="22"/>
        </w:rPr>
        <w:t>led on average</w:t>
      </w:r>
      <w:r w:rsidRPr="00296330">
        <w:rPr>
          <w:sz w:val="22"/>
          <w:szCs w:val="22"/>
        </w:rPr>
        <w:t xml:space="preserve"> more children as compared to programs serving a dominant racial/ethnic group</w:t>
      </w:r>
      <w:r w:rsidR="001E784C" w:rsidRPr="00296330">
        <w:rPr>
          <w:sz w:val="22"/>
          <w:szCs w:val="22"/>
        </w:rPr>
        <w:t>, a</w:t>
      </w:r>
      <w:r w:rsidR="00CE1C5E" w:rsidRPr="00296330">
        <w:rPr>
          <w:sz w:val="22"/>
          <w:szCs w:val="22"/>
        </w:rPr>
        <w:t xml:space="preserve">lthough it should be noted that this analysis excluded the 26 programs </w:t>
      </w:r>
      <w:r w:rsidR="003D056B">
        <w:rPr>
          <w:sz w:val="22"/>
          <w:szCs w:val="22"/>
        </w:rPr>
        <w:t>(1</w:t>
      </w:r>
      <w:r w:rsidR="003D65EB">
        <w:rPr>
          <w:sz w:val="22"/>
          <w:szCs w:val="22"/>
        </w:rPr>
        <w:t>7</w:t>
      </w:r>
      <w:r w:rsidR="003D056B">
        <w:rPr>
          <w:sz w:val="22"/>
          <w:szCs w:val="22"/>
        </w:rPr>
        <w:t xml:space="preserve">% of sample) </w:t>
      </w:r>
      <w:r w:rsidR="00CE1C5E" w:rsidRPr="00296330">
        <w:rPr>
          <w:sz w:val="22"/>
          <w:szCs w:val="22"/>
        </w:rPr>
        <w:t>that failed to provide demographic data for at least 80% of their enrolled students.</w:t>
      </w:r>
      <w:r w:rsidR="002342C1" w:rsidRPr="00296330">
        <w:rPr>
          <w:sz w:val="22"/>
          <w:szCs w:val="22"/>
        </w:rPr>
        <w:t xml:space="preserve"> </w:t>
      </w:r>
    </w:p>
    <w:p w14:paraId="5866BE04" w14:textId="3C8102E1" w:rsidR="005A7FA2" w:rsidRPr="00296330" w:rsidRDefault="00FD0860">
      <w:pPr>
        <w:spacing w:line="480" w:lineRule="auto"/>
        <w:rPr>
          <w:b/>
          <w:sz w:val="22"/>
          <w:szCs w:val="22"/>
        </w:rPr>
      </w:pPr>
      <w:r w:rsidRPr="00296330">
        <w:rPr>
          <w:b/>
          <w:sz w:val="22"/>
          <w:szCs w:val="22"/>
        </w:rPr>
        <w:t xml:space="preserve">Dissemination of Information, </w:t>
      </w:r>
      <w:r w:rsidR="005A7FA2" w:rsidRPr="00296330">
        <w:rPr>
          <w:b/>
          <w:sz w:val="22"/>
          <w:szCs w:val="22"/>
        </w:rPr>
        <w:t>Gaps in Knowledge</w:t>
      </w:r>
      <w:r w:rsidRPr="00296330">
        <w:rPr>
          <w:b/>
          <w:sz w:val="22"/>
          <w:szCs w:val="22"/>
        </w:rPr>
        <w:t>,</w:t>
      </w:r>
      <w:r w:rsidR="005A7FA2" w:rsidRPr="00296330">
        <w:rPr>
          <w:b/>
          <w:sz w:val="22"/>
          <w:szCs w:val="22"/>
        </w:rPr>
        <w:t xml:space="preserve"> and </w:t>
      </w:r>
      <w:r w:rsidRPr="00296330">
        <w:rPr>
          <w:b/>
          <w:sz w:val="22"/>
          <w:szCs w:val="22"/>
        </w:rPr>
        <w:t xml:space="preserve">Planned </w:t>
      </w:r>
      <w:r w:rsidR="005A7FA2" w:rsidRPr="00296330">
        <w:rPr>
          <w:b/>
          <w:sz w:val="22"/>
          <w:szCs w:val="22"/>
        </w:rPr>
        <w:t>Preparation</w:t>
      </w:r>
    </w:p>
    <w:p w14:paraId="30021A54" w14:textId="6B8BCD47" w:rsidR="005A7FA2" w:rsidRPr="00296330" w:rsidRDefault="003D42E9">
      <w:pPr>
        <w:spacing w:line="480" w:lineRule="auto"/>
        <w:ind w:firstLine="720"/>
        <w:rPr>
          <w:sz w:val="22"/>
          <w:szCs w:val="22"/>
        </w:rPr>
      </w:pPr>
      <w:r>
        <w:rPr>
          <w:sz w:val="22"/>
          <w:szCs w:val="22"/>
        </w:rPr>
        <w:t xml:space="preserve">Although on average administrators reported moderate levels of knowledge </w:t>
      </w:r>
      <w:r w:rsidR="005C7A31">
        <w:rPr>
          <w:sz w:val="22"/>
          <w:szCs w:val="22"/>
        </w:rPr>
        <w:t>of IL PA 100-0105</w:t>
      </w:r>
      <w:r>
        <w:rPr>
          <w:sz w:val="22"/>
          <w:szCs w:val="22"/>
        </w:rPr>
        <w:t xml:space="preserve">, there were </w:t>
      </w:r>
      <w:r w:rsidR="003D056B">
        <w:rPr>
          <w:sz w:val="22"/>
          <w:szCs w:val="22"/>
        </w:rPr>
        <w:t>significant differences in levels of knowledge based on program characteristics</w:t>
      </w:r>
      <w:r w:rsidR="00F61A69" w:rsidRPr="00296330">
        <w:rPr>
          <w:sz w:val="22"/>
          <w:szCs w:val="22"/>
        </w:rPr>
        <w:t>. Administrators with greater self-reported knowledge were more likely to be from programs that received at least some public funding</w:t>
      </w:r>
      <w:r w:rsidR="00B56EDD" w:rsidRPr="00296330">
        <w:rPr>
          <w:sz w:val="22"/>
          <w:szCs w:val="22"/>
        </w:rPr>
        <w:t>,</w:t>
      </w:r>
      <w:r w:rsidR="00F61A69" w:rsidRPr="00296330">
        <w:rPr>
          <w:sz w:val="22"/>
          <w:szCs w:val="22"/>
        </w:rPr>
        <w:t xml:space="preserve"> as compared to programs with no public funding (</w:t>
      </w:r>
      <w:r w:rsidR="00F61A69" w:rsidRPr="00296330">
        <w:rPr>
          <w:i/>
          <w:iCs/>
          <w:sz w:val="22"/>
          <w:szCs w:val="22"/>
        </w:rPr>
        <w:t>F</w:t>
      </w:r>
      <w:r w:rsidR="00F61A69" w:rsidRPr="00296330">
        <w:rPr>
          <w:sz w:val="22"/>
          <w:szCs w:val="22"/>
        </w:rPr>
        <w:t>(2,139)</w:t>
      </w:r>
      <w:r w:rsidR="000D5606" w:rsidRPr="00296330">
        <w:rPr>
          <w:sz w:val="22"/>
          <w:szCs w:val="22"/>
        </w:rPr>
        <w:t xml:space="preserve"> </w:t>
      </w:r>
      <w:r w:rsidR="00F61A69" w:rsidRPr="00296330">
        <w:rPr>
          <w:sz w:val="22"/>
          <w:szCs w:val="22"/>
        </w:rPr>
        <w:t>=</w:t>
      </w:r>
      <w:r w:rsidR="000D5606" w:rsidRPr="00296330">
        <w:rPr>
          <w:sz w:val="22"/>
          <w:szCs w:val="22"/>
        </w:rPr>
        <w:t xml:space="preserve"> </w:t>
      </w:r>
      <w:r w:rsidR="00F61A69" w:rsidRPr="00296330">
        <w:rPr>
          <w:sz w:val="22"/>
          <w:szCs w:val="22"/>
        </w:rPr>
        <w:t xml:space="preserve">6.42, </w:t>
      </w:r>
      <w:r w:rsidR="000D5606" w:rsidRPr="00296330">
        <w:rPr>
          <w:i/>
          <w:sz w:val="22"/>
          <w:szCs w:val="22"/>
        </w:rPr>
        <w:t xml:space="preserve">p &lt; </w:t>
      </w:r>
      <w:r w:rsidR="000D5606" w:rsidRPr="00296330">
        <w:rPr>
          <w:iCs/>
          <w:sz w:val="22"/>
          <w:szCs w:val="22"/>
        </w:rPr>
        <w:t>0.001</w:t>
      </w:r>
      <w:r w:rsidR="00F61A69" w:rsidRPr="00296330">
        <w:rPr>
          <w:sz w:val="22"/>
          <w:szCs w:val="22"/>
        </w:rPr>
        <w:t>)</w:t>
      </w:r>
      <w:r w:rsidR="00B56EDD" w:rsidRPr="00296330">
        <w:rPr>
          <w:sz w:val="22"/>
          <w:szCs w:val="22"/>
        </w:rPr>
        <w:t>,</w:t>
      </w:r>
      <w:r w:rsidR="00F61A69" w:rsidRPr="00296330">
        <w:rPr>
          <w:sz w:val="22"/>
          <w:szCs w:val="22"/>
        </w:rPr>
        <w:t xml:space="preserve"> and </w:t>
      </w:r>
      <w:r w:rsidR="00B56EDD" w:rsidRPr="00296330">
        <w:rPr>
          <w:sz w:val="22"/>
          <w:szCs w:val="22"/>
        </w:rPr>
        <w:t>from programs that had</w:t>
      </w:r>
      <w:r w:rsidR="00F61A69" w:rsidRPr="00296330">
        <w:rPr>
          <w:sz w:val="22"/>
          <w:szCs w:val="22"/>
        </w:rPr>
        <w:t xml:space="preserve"> previously worked with a mental health consultant</w:t>
      </w:r>
      <w:r w:rsidR="00D611FA" w:rsidRPr="00296330">
        <w:rPr>
          <w:sz w:val="22"/>
          <w:szCs w:val="22"/>
        </w:rPr>
        <w:t>,</w:t>
      </w:r>
      <w:r w:rsidR="00F61A69" w:rsidRPr="00296330">
        <w:rPr>
          <w:sz w:val="22"/>
          <w:szCs w:val="22"/>
        </w:rPr>
        <w:t xml:space="preserve"> compared to </w:t>
      </w:r>
      <w:r w:rsidR="00D611FA" w:rsidRPr="00296330">
        <w:rPr>
          <w:sz w:val="22"/>
          <w:szCs w:val="22"/>
        </w:rPr>
        <w:t>those</w:t>
      </w:r>
      <w:r w:rsidR="00F61A69" w:rsidRPr="00296330">
        <w:rPr>
          <w:sz w:val="22"/>
          <w:szCs w:val="22"/>
        </w:rPr>
        <w:t xml:space="preserve"> that had not (</w:t>
      </w:r>
      <w:r w:rsidR="00F61A69" w:rsidRPr="00296330">
        <w:rPr>
          <w:i/>
          <w:sz w:val="22"/>
          <w:szCs w:val="22"/>
        </w:rPr>
        <w:t>F</w:t>
      </w:r>
      <w:r w:rsidR="00F61A69" w:rsidRPr="00296330">
        <w:rPr>
          <w:sz w:val="22"/>
          <w:szCs w:val="22"/>
        </w:rPr>
        <w:t>(2,141)</w:t>
      </w:r>
      <w:r w:rsidR="000D5606" w:rsidRPr="00296330">
        <w:rPr>
          <w:sz w:val="22"/>
          <w:szCs w:val="22"/>
        </w:rPr>
        <w:t xml:space="preserve"> </w:t>
      </w:r>
      <w:r w:rsidR="00F61A69" w:rsidRPr="00296330">
        <w:rPr>
          <w:sz w:val="22"/>
          <w:szCs w:val="22"/>
        </w:rPr>
        <w:t>=</w:t>
      </w:r>
      <w:r w:rsidR="000D5606" w:rsidRPr="00296330">
        <w:rPr>
          <w:sz w:val="22"/>
          <w:szCs w:val="22"/>
        </w:rPr>
        <w:t xml:space="preserve"> </w:t>
      </w:r>
      <w:r w:rsidR="00F61A69" w:rsidRPr="00296330">
        <w:rPr>
          <w:sz w:val="22"/>
          <w:szCs w:val="22"/>
        </w:rPr>
        <w:t xml:space="preserve">11.29, </w:t>
      </w:r>
      <w:r w:rsidR="00F61A69" w:rsidRPr="00296330">
        <w:rPr>
          <w:i/>
          <w:sz w:val="22"/>
          <w:szCs w:val="22"/>
        </w:rPr>
        <w:t>p</w:t>
      </w:r>
      <w:r w:rsidR="000D5606" w:rsidRPr="00296330">
        <w:rPr>
          <w:i/>
          <w:sz w:val="22"/>
          <w:szCs w:val="22"/>
        </w:rPr>
        <w:t xml:space="preserve"> &lt; </w:t>
      </w:r>
      <w:r w:rsidR="000D5606" w:rsidRPr="00296330">
        <w:rPr>
          <w:iCs/>
          <w:sz w:val="22"/>
          <w:szCs w:val="22"/>
        </w:rPr>
        <w:t>0.001</w:t>
      </w:r>
      <w:r w:rsidR="00F61A69" w:rsidRPr="00296330">
        <w:rPr>
          <w:sz w:val="22"/>
          <w:szCs w:val="22"/>
        </w:rPr>
        <w:t>). Home-based programs were the least knowledgeable on average</w:t>
      </w:r>
      <w:r w:rsidR="00291DE0" w:rsidRPr="00296330">
        <w:rPr>
          <w:sz w:val="22"/>
          <w:szCs w:val="22"/>
        </w:rPr>
        <w:t>,</w:t>
      </w:r>
      <w:r w:rsidR="00F61A69" w:rsidRPr="00296330">
        <w:rPr>
          <w:sz w:val="22"/>
          <w:szCs w:val="22"/>
        </w:rPr>
        <w:t xml:space="preserve"> compared to center</w:t>
      </w:r>
      <w:r w:rsidR="001E784C" w:rsidRPr="00296330">
        <w:rPr>
          <w:sz w:val="22"/>
          <w:szCs w:val="22"/>
        </w:rPr>
        <w:t>-</w:t>
      </w:r>
      <w:r w:rsidR="00F61A69" w:rsidRPr="00296330">
        <w:rPr>
          <w:sz w:val="22"/>
          <w:szCs w:val="22"/>
        </w:rPr>
        <w:t>based programs and programs affiliated with a school district or Head Start (</w:t>
      </w:r>
      <w:r w:rsidR="00F61A69" w:rsidRPr="00296330">
        <w:rPr>
          <w:i/>
          <w:iCs/>
          <w:sz w:val="22"/>
          <w:szCs w:val="22"/>
        </w:rPr>
        <w:t>F</w:t>
      </w:r>
      <w:r w:rsidR="00F61A69" w:rsidRPr="00296330">
        <w:rPr>
          <w:sz w:val="22"/>
          <w:szCs w:val="22"/>
        </w:rPr>
        <w:t>(3,139)</w:t>
      </w:r>
      <w:r w:rsidR="000D5606" w:rsidRPr="00296330">
        <w:rPr>
          <w:sz w:val="22"/>
          <w:szCs w:val="22"/>
        </w:rPr>
        <w:t xml:space="preserve"> </w:t>
      </w:r>
      <w:r w:rsidR="00F61A69" w:rsidRPr="00296330">
        <w:rPr>
          <w:sz w:val="22"/>
          <w:szCs w:val="22"/>
        </w:rPr>
        <w:t>=</w:t>
      </w:r>
      <w:r w:rsidR="000D5606" w:rsidRPr="00296330">
        <w:rPr>
          <w:sz w:val="22"/>
          <w:szCs w:val="22"/>
        </w:rPr>
        <w:t xml:space="preserve"> </w:t>
      </w:r>
      <w:r w:rsidR="00F61A69" w:rsidRPr="00296330">
        <w:rPr>
          <w:sz w:val="22"/>
          <w:szCs w:val="22"/>
        </w:rPr>
        <w:t xml:space="preserve">3.01, </w:t>
      </w:r>
      <w:r w:rsidR="00F61A69" w:rsidRPr="00296330">
        <w:rPr>
          <w:i/>
          <w:iCs/>
          <w:sz w:val="22"/>
          <w:szCs w:val="22"/>
        </w:rPr>
        <w:t>p</w:t>
      </w:r>
      <w:r w:rsidR="000D5606" w:rsidRPr="00296330">
        <w:rPr>
          <w:i/>
          <w:iCs/>
          <w:sz w:val="22"/>
          <w:szCs w:val="22"/>
        </w:rPr>
        <w:t xml:space="preserve"> </w:t>
      </w:r>
      <w:r w:rsidR="00F61A69" w:rsidRPr="00296330">
        <w:rPr>
          <w:sz w:val="22"/>
          <w:szCs w:val="22"/>
        </w:rPr>
        <w:t>=</w:t>
      </w:r>
      <w:r w:rsidR="000D5606" w:rsidRPr="00296330">
        <w:rPr>
          <w:sz w:val="22"/>
          <w:szCs w:val="22"/>
        </w:rPr>
        <w:t xml:space="preserve"> </w:t>
      </w:r>
      <w:r w:rsidR="00F61A69" w:rsidRPr="00296330">
        <w:rPr>
          <w:sz w:val="22"/>
          <w:szCs w:val="22"/>
        </w:rPr>
        <w:t xml:space="preserve">0.03). </w:t>
      </w:r>
    </w:p>
    <w:p w14:paraId="4F18DFF1" w14:textId="25020707" w:rsidR="00F61A69" w:rsidRPr="00296330" w:rsidRDefault="00422700">
      <w:pPr>
        <w:spacing w:line="480" w:lineRule="auto"/>
        <w:ind w:firstLine="720"/>
        <w:rPr>
          <w:sz w:val="22"/>
          <w:szCs w:val="22"/>
        </w:rPr>
      </w:pPr>
      <w:r>
        <w:rPr>
          <w:sz w:val="22"/>
          <w:szCs w:val="22"/>
        </w:rPr>
        <w:t>ANOVA c</w:t>
      </w:r>
      <w:r w:rsidR="00F61A69" w:rsidRPr="00296330">
        <w:rPr>
          <w:sz w:val="22"/>
          <w:szCs w:val="22"/>
        </w:rPr>
        <w:t>omparison groups of low</w:t>
      </w:r>
      <w:r w:rsidR="002A53D3" w:rsidRPr="00296330">
        <w:rPr>
          <w:sz w:val="22"/>
          <w:szCs w:val="22"/>
        </w:rPr>
        <w:t>-</w:t>
      </w:r>
      <w:r w:rsidR="00F61A69" w:rsidRPr="00296330">
        <w:rPr>
          <w:sz w:val="22"/>
          <w:szCs w:val="22"/>
        </w:rPr>
        <w:t xml:space="preserve">knowledge (below the mean) and high-knowledge (above the mean) administrators significantly differed in their rates of expulsion (see Table </w:t>
      </w:r>
      <w:r w:rsidR="00BA1838" w:rsidRPr="00296330">
        <w:rPr>
          <w:sz w:val="22"/>
          <w:szCs w:val="22"/>
        </w:rPr>
        <w:t>3</w:t>
      </w:r>
      <w:r w:rsidR="00F61A69" w:rsidRPr="00296330">
        <w:rPr>
          <w:sz w:val="22"/>
          <w:szCs w:val="22"/>
        </w:rPr>
        <w:t xml:space="preserve">), with those who had expelled more children also self-reporting higher knowledge. In follow-up interviews, these comparison groups also differed with regards to their sources of information about </w:t>
      </w:r>
      <w:r w:rsidR="005C7A31">
        <w:rPr>
          <w:sz w:val="22"/>
          <w:szCs w:val="22"/>
        </w:rPr>
        <w:t>IL PA 100-0105</w:t>
      </w:r>
      <w:r w:rsidR="00F61A69" w:rsidRPr="00296330">
        <w:rPr>
          <w:sz w:val="22"/>
          <w:szCs w:val="22"/>
        </w:rPr>
        <w:t>. Those who felt more knowledgeable indicated that they had received information from their funder (</w:t>
      </w:r>
      <w:r w:rsidR="00291DE0" w:rsidRPr="00296330">
        <w:rPr>
          <w:sz w:val="22"/>
          <w:szCs w:val="22"/>
        </w:rPr>
        <w:t xml:space="preserve">ISBE), </w:t>
      </w:r>
      <w:r w:rsidR="00F61A69" w:rsidRPr="00296330">
        <w:rPr>
          <w:sz w:val="22"/>
          <w:szCs w:val="22"/>
        </w:rPr>
        <w:t>licensing body (</w:t>
      </w:r>
      <w:r w:rsidR="00291DE0" w:rsidRPr="00296330">
        <w:rPr>
          <w:sz w:val="22"/>
          <w:szCs w:val="22"/>
        </w:rPr>
        <w:t>DCFS</w:t>
      </w:r>
      <w:r w:rsidR="00F61A69" w:rsidRPr="00296330">
        <w:rPr>
          <w:sz w:val="22"/>
          <w:szCs w:val="22"/>
        </w:rPr>
        <w:t>)</w:t>
      </w:r>
      <w:r w:rsidR="00291DE0" w:rsidRPr="00296330">
        <w:rPr>
          <w:sz w:val="22"/>
          <w:szCs w:val="22"/>
        </w:rPr>
        <w:t>,</w:t>
      </w:r>
      <w:r w:rsidR="00F61A69" w:rsidRPr="00296330">
        <w:rPr>
          <w:sz w:val="22"/>
          <w:szCs w:val="22"/>
        </w:rPr>
        <w:t xml:space="preserve"> or from an advocacy organization</w:t>
      </w:r>
      <w:r w:rsidR="00096279" w:rsidRPr="00296330">
        <w:rPr>
          <w:sz w:val="22"/>
          <w:szCs w:val="22"/>
        </w:rPr>
        <w:t>, such as the Ounce of Prevention Fund</w:t>
      </w:r>
      <w:r w:rsidR="00F61A69" w:rsidRPr="00296330">
        <w:rPr>
          <w:sz w:val="22"/>
          <w:szCs w:val="22"/>
        </w:rPr>
        <w:t>. Over a third of interviewed low-knowledge administrators reported that the recruitment materials for the present study w</w:t>
      </w:r>
      <w:r w:rsidR="001E784C" w:rsidRPr="00296330">
        <w:rPr>
          <w:sz w:val="22"/>
          <w:szCs w:val="22"/>
        </w:rPr>
        <w:t>ere</w:t>
      </w:r>
      <w:r w:rsidR="00F61A69" w:rsidRPr="00296330">
        <w:rPr>
          <w:sz w:val="22"/>
          <w:szCs w:val="22"/>
        </w:rPr>
        <w:t xml:space="preserve"> their first notification about the legislation. Sixty percent of </w:t>
      </w:r>
      <w:r w:rsidR="00BA1838" w:rsidRPr="00296330">
        <w:rPr>
          <w:sz w:val="22"/>
          <w:szCs w:val="22"/>
        </w:rPr>
        <w:t xml:space="preserve">interviewed </w:t>
      </w:r>
      <w:r w:rsidR="00F61A69" w:rsidRPr="00296330">
        <w:rPr>
          <w:sz w:val="22"/>
          <w:szCs w:val="22"/>
        </w:rPr>
        <w:t>administrators recall</w:t>
      </w:r>
      <w:r w:rsidR="009A62EF" w:rsidRPr="00296330">
        <w:rPr>
          <w:sz w:val="22"/>
          <w:szCs w:val="22"/>
        </w:rPr>
        <w:t>ed</w:t>
      </w:r>
      <w:r w:rsidR="00F61A69" w:rsidRPr="00296330">
        <w:rPr>
          <w:sz w:val="22"/>
          <w:szCs w:val="22"/>
        </w:rPr>
        <w:t xml:space="preserve"> accurate information about </w:t>
      </w:r>
      <w:r w:rsidR="005C7A31">
        <w:rPr>
          <w:sz w:val="22"/>
          <w:szCs w:val="22"/>
        </w:rPr>
        <w:t>IL PA 100-0105</w:t>
      </w:r>
      <w:r w:rsidR="00F61A69" w:rsidRPr="00296330">
        <w:rPr>
          <w:sz w:val="22"/>
          <w:szCs w:val="22"/>
        </w:rPr>
        <w:t>, but only a quarter reference</w:t>
      </w:r>
      <w:r w:rsidR="009A62EF" w:rsidRPr="00296330">
        <w:rPr>
          <w:sz w:val="22"/>
          <w:szCs w:val="22"/>
        </w:rPr>
        <w:t>d</w:t>
      </w:r>
      <w:r w:rsidR="00F61A69" w:rsidRPr="00296330">
        <w:rPr>
          <w:sz w:val="22"/>
          <w:szCs w:val="22"/>
        </w:rPr>
        <w:t xml:space="preserve"> specific aspects of it (e.g., documentation or resource use requirements). At the same time, 32% cited inaccurate information about the law</w:t>
      </w:r>
      <w:r w:rsidR="00BA1838" w:rsidRPr="00296330">
        <w:rPr>
          <w:sz w:val="22"/>
          <w:szCs w:val="22"/>
        </w:rPr>
        <w:t xml:space="preserve"> (such as that it only applied to children with developmental disabilities)</w:t>
      </w:r>
      <w:r w:rsidR="00F61A69" w:rsidRPr="00296330">
        <w:rPr>
          <w:sz w:val="22"/>
          <w:szCs w:val="22"/>
        </w:rPr>
        <w:t xml:space="preserve">. </w:t>
      </w:r>
    </w:p>
    <w:p w14:paraId="1C3A333A" w14:textId="19E12A9C" w:rsidR="00F61A69" w:rsidRPr="00296330" w:rsidRDefault="00035EBB">
      <w:pPr>
        <w:spacing w:line="480" w:lineRule="auto"/>
        <w:ind w:firstLine="720"/>
        <w:rPr>
          <w:sz w:val="22"/>
          <w:szCs w:val="22"/>
        </w:rPr>
      </w:pPr>
      <w:r w:rsidRPr="00296330">
        <w:rPr>
          <w:sz w:val="22"/>
          <w:szCs w:val="22"/>
        </w:rPr>
        <w:t xml:space="preserve">Despite </w:t>
      </w:r>
      <w:r w:rsidR="003D42E9">
        <w:rPr>
          <w:sz w:val="22"/>
          <w:szCs w:val="22"/>
        </w:rPr>
        <w:t xml:space="preserve">nearly a third of administrators reporting that there were children currently enrolled in their programs who were at risk of being expelled, </w:t>
      </w:r>
      <w:r w:rsidRPr="00296330">
        <w:rPr>
          <w:sz w:val="22"/>
          <w:szCs w:val="22"/>
        </w:rPr>
        <w:t xml:space="preserve">most (58% of those interviewed) indicated that they likely would not make any changes to their practices or policies </w:t>
      </w:r>
      <w:r w:rsidR="009803BC" w:rsidRPr="00296330">
        <w:rPr>
          <w:sz w:val="22"/>
          <w:szCs w:val="22"/>
        </w:rPr>
        <w:t>in response to the legislati</w:t>
      </w:r>
      <w:r w:rsidRPr="00296330">
        <w:rPr>
          <w:sz w:val="22"/>
          <w:szCs w:val="22"/>
        </w:rPr>
        <w:t xml:space="preserve">on. The </w:t>
      </w:r>
      <w:r w:rsidRPr="00296330">
        <w:rPr>
          <w:sz w:val="22"/>
          <w:szCs w:val="22"/>
        </w:rPr>
        <w:lastRenderedPageBreak/>
        <w:t>remaining respondents only cited planned changes to their documentation practices, no</w:t>
      </w:r>
      <w:r w:rsidR="00291DE0" w:rsidRPr="00296330">
        <w:rPr>
          <w:sz w:val="22"/>
          <w:szCs w:val="22"/>
        </w:rPr>
        <w:t xml:space="preserve">t </w:t>
      </w:r>
      <w:r w:rsidR="00687BBF" w:rsidRPr="00296330">
        <w:rPr>
          <w:sz w:val="22"/>
          <w:szCs w:val="22"/>
        </w:rPr>
        <w:t>mentioning</w:t>
      </w:r>
      <w:r w:rsidRPr="00296330">
        <w:rPr>
          <w:sz w:val="22"/>
          <w:szCs w:val="22"/>
        </w:rPr>
        <w:t xml:space="preserve"> substantive changes to their behavior management, disciplinary, or </w:t>
      </w:r>
      <w:r w:rsidR="006B753F" w:rsidRPr="00296330">
        <w:rPr>
          <w:sz w:val="22"/>
          <w:szCs w:val="22"/>
        </w:rPr>
        <w:t xml:space="preserve">classroom support strategies. </w:t>
      </w:r>
      <w:r w:rsidR="00BC6F49" w:rsidRPr="00296330">
        <w:rPr>
          <w:sz w:val="22"/>
          <w:szCs w:val="22"/>
        </w:rPr>
        <w:t>As evidence of possible unintended consequences of the legislation, a quarter of survey respondents (2</w:t>
      </w:r>
      <w:r w:rsidR="00BB2FDB">
        <w:rPr>
          <w:sz w:val="22"/>
          <w:szCs w:val="22"/>
        </w:rPr>
        <w:t>6</w:t>
      </w:r>
      <w:r w:rsidR="00BC6F49" w:rsidRPr="00296330">
        <w:rPr>
          <w:sz w:val="22"/>
          <w:szCs w:val="22"/>
        </w:rPr>
        <w:t>%) indicated that they would change their admissions policies in response to the new law. For example, several indicated restricting the ages of children they would admit or more carefully screening children’s behavior before enrolling them. A smaller proportion (1</w:t>
      </w:r>
      <w:r w:rsidR="00BB2FDB">
        <w:rPr>
          <w:sz w:val="22"/>
          <w:szCs w:val="22"/>
        </w:rPr>
        <w:t>7</w:t>
      </w:r>
      <w:r w:rsidR="00BC6F49" w:rsidRPr="00296330">
        <w:rPr>
          <w:sz w:val="22"/>
          <w:szCs w:val="22"/>
        </w:rPr>
        <w:t>%) indicated they would likely change their hiring practices, with several reporting in open-ended responses that they were struggling to hire qualified and experienced staff who could successfully manage children’s behavior.</w:t>
      </w:r>
    </w:p>
    <w:p w14:paraId="52CD5002" w14:textId="21C2C52A" w:rsidR="005A7FA2" w:rsidRPr="00296330" w:rsidRDefault="003A5440">
      <w:pPr>
        <w:spacing w:line="480" w:lineRule="auto"/>
        <w:rPr>
          <w:b/>
          <w:sz w:val="22"/>
          <w:szCs w:val="22"/>
        </w:rPr>
      </w:pPr>
      <w:r w:rsidRPr="00296330">
        <w:rPr>
          <w:b/>
          <w:sz w:val="22"/>
          <w:szCs w:val="22"/>
        </w:rPr>
        <w:t xml:space="preserve">Barriers to </w:t>
      </w:r>
      <w:r w:rsidR="00F61A69" w:rsidRPr="00296330">
        <w:rPr>
          <w:b/>
          <w:sz w:val="22"/>
          <w:szCs w:val="22"/>
        </w:rPr>
        <w:t xml:space="preserve">Compliance and </w:t>
      </w:r>
      <w:r w:rsidRPr="00296330">
        <w:rPr>
          <w:b/>
          <w:sz w:val="22"/>
          <w:szCs w:val="22"/>
        </w:rPr>
        <w:t>Using Evidence-Based Approaches</w:t>
      </w:r>
    </w:p>
    <w:p w14:paraId="16F69B57" w14:textId="796C61F1" w:rsidR="00146816" w:rsidRPr="00296330" w:rsidRDefault="000253AD">
      <w:pPr>
        <w:spacing w:line="480" w:lineRule="auto"/>
        <w:ind w:firstLine="720"/>
        <w:rPr>
          <w:sz w:val="22"/>
          <w:szCs w:val="22"/>
        </w:rPr>
      </w:pPr>
      <w:r w:rsidRPr="00296330">
        <w:rPr>
          <w:sz w:val="22"/>
          <w:szCs w:val="22"/>
        </w:rPr>
        <w:t>The law specifically cites several recommended approaches to managing and supporting children who display challenging behavior</w:t>
      </w:r>
      <w:r w:rsidR="00096279" w:rsidRPr="00296330">
        <w:rPr>
          <w:sz w:val="22"/>
          <w:szCs w:val="22"/>
        </w:rPr>
        <w:t>s</w:t>
      </w:r>
      <w:r w:rsidR="001E784C" w:rsidRPr="00296330">
        <w:rPr>
          <w:sz w:val="22"/>
          <w:szCs w:val="22"/>
        </w:rPr>
        <w:t>,</w:t>
      </w:r>
      <w:r w:rsidRPr="00296330">
        <w:rPr>
          <w:sz w:val="22"/>
          <w:szCs w:val="22"/>
        </w:rPr>
        <w:t xml:space="preserve"> including the use of mental health consultation services</w:t>
      </w:r>
      <w:r w:rsidR="00146816" w:rsidRPr="00296330">
        <w:rPr>
          <w:sz w:val="22"/>
          <w:szCs w:val="22"/>
        </w:rPr>
        <w:t xml:space="preserve">. </w:t>
      </w:r>
      <w:r w:rsidR="009A2200" w:rsidRPr="00296330">
        <w:rPr>
          <w:sz w:val="22"/>
          <w:szCs w:val="22"/>
        </w:rPr>
        <w:t xml:space="preserve">Despite Illinois’ free, statewide </w:t>
      </w:r>
      <w:r w:rsidR="00A9535C" w:rsidRPr="00296330">
        <w:rPr>
          <w:sz w:val="22"/>
          <w:szCs w:val="22"/>
        </w:rPr>
        <w:t>I/ECMHC</w:t>
      </w:r>
      <w:r w:rsidR="009A2200" w:rsidRPr="00296330">
        <w:rPr>
          <w:sz w:val="22"/>
          <w:szCs w:val="22"/>
        </w:rPr>
        <w:t xml:space="preserve"> system available to all child care programs, </w:t>
      </w:r>
      <w:r w:rsidR="00146816" w:rsidRPr="00296330">
        <w:rPr>
          <w:sz w:val="22"/>
          <w:szCs w:val="22"/>
        </w:rPr>
        <w:t xml:space="preserve">only 44% of respondents indicated that their program had previously worked with a consultant. </w:t>
      </w:r>
      <w:r w:rsidR="00625258" w:rsidRPr="00296330">
        <w:rPr>
          <w:sz w:val="22"/>
          <w:szCs w:val="22"/>
        </w:rPr>
        <w:t>In follow-</w:t>
      </w:r>
      <w:r w:rsidR="001A3031" w:rsidRPr="00296330">
        <w:rPr>
          <w:sz w:val="22"/>
          <w:szCs w:val="22"/>
        </w:rPr>
        <w:t xml:space="preserve">up interviews, most </w:t>
      </w:r>
      <w:r w:rsidR="00096279" w:rsidRPr="00296330">
        <w:rPr>
          <w:sz w:val="22"/>
          <w:szCs w:val="22"/>
        </w:rPr>
        <w:t xml:space="preserve">of those with consultation experience </w:t>
      </w:r>
      <w:r w:rsidR="001A3031" w:rsidRPr="00296330">
        <w:rPr>
          <w:sz w:val="22"/>
          <w:szCs w:val="22"/>
        </w:rPr>
        <w:t>(5</w:t>
      </w:r>
      <w:r w:rsidR="00BB2FDB">
        <w:rPr>
          <w:sz w:val="22"/>
          <w:szCs w:val="22"/>
        </w:rPr>
        <w:t>9</w:t>
      </w:r>
      <w:r w:rsidR="001A3031" w:rsidRPr="00296330">
        <w:rPr>
          <w:sz w:val="22"/>
          <w:szCs w:val="22"/>
        </w:rPr>
        <w:t xml:space="preserve">%) reported positive </w:t>
      </w:r>
      <w:r w:rsidR="00096279" w:rsidRPr="00296330">
        <w:rPr>
          <w:sz w:val="22"/>
          <w:szCs w:val="22"/>
        </w:rPr>
        <w:t>perceptions</w:t>
      </w:r>
      <w:r w:rsidR="00B44579" w:rsidRPr="00296330">
        <w:rPr>
          <w:sz w:val="22"/>
          <w:szCs w:val="22"/>
        </w:rPr>
        <w:t>,</w:t>
      </w:r>
      <w:r w:rsidR="001A3031" w:rsidRPr="00296330">
        <w:rPr>
          <w:sz w:val="22"/>
          <w:szCs w:val="22"/>
        </w:rPr>
        <w:t xml:space="preserve"> and only 1</w:t>
      </w:r>
      <w:r w:rsidR="00BB2FDB">
        <w:rPr>
          <w:sz w:val="22"/>
          <w:szCs w:val="22"/>
        </w:rPr>
        <w:t>2</w:t>
      </w:r>
      <w:r w:rsidR="001A3031" w:rsidRPr="00296330">
        <w:rPr>
          <w:sz w:val="22"/>
          <w:szCs w:val="22"/>
        </w:rPr>
        <w:t>% reported negative perceptions of the consultation process. T</w:t>
      </w:r>
      <w:r w:rsidR="00096279" w:rsidRPr="00296330">
        <w:rPr>
          <w:sz w:val="22"/>
          <w:szCs w:val="22"/>
        </w:rPr>
        <w:t xml:space="preserve">he most commonly cited </w:t>
      </w:r>
      <w:r w:rsidR="001A3031" w:rsidRPr="00296330">
        <w:rPr>
          <w:sz w:val="22"/>
          <w:szCs w:val="22"/>
        </w:rPr>
        <w:t xml:space="preserve">challenge </w:t>
      </w:r>
      <w:r w:rsidR="00FA11E2" w:rsidRPr="00296330">
        <w:rPr>
          <w:sz w:val="22"/>
          <w:szCs w:val="22"/>
        </w:rPr>
        <w:t xml:space="preserve">(29%) </w:t>
      </w:r>
      <w:r w:rsidR="001A3031" w:rsidRPr="00296330">
        <w:rPr>
          <w:sz w:val="22"/>
          <w:szCs w:val="22"/>
        </w:rPr>
        <w:t>associated with consultation was excessive wait times</w:t>
      </w:r>
      <w:r w:rsidR="00FA11E2" w:rsidRPr="00296330">
        <w:rPr>
          <w:sz w:val="22"/>
          <w:szCs w:val="22"/>
        </w:rPr>
        <w:t>. S</w:t>
      </w:r>
      <w:r w:rsidR="00096279" w:rsidRPr="00296330">
        <w:rPr>
          <w:sz w:val="22"/>
          <w:szCs w:val="22"/>
        </w:rPr>
        <w:t xml:space="preserve">ome administrators </w:t>
      </w:r>
      <w:r w:rsidR="00FA11E2" w:rsidRPr="00296330">
        <w:rPr>
          <w:sz w:val="22"/>
          <w:szCs w:val="22"/>
        </w:rPr>
        <w:t xml:space="preserve">reported </w:t>
      </w:r>
      <w:r w:rsidR="00096279" w:rsidRPr="00296330">
        <w:rPr>
          <w:sz w:val="22"/>
          <w:szCs w:val="22"/>
        </w:rPr>
        <w:t>waiting “several months” for a consultant to come</w:t>
      </w:r>
      <w:r w:rsidR="001E784C" w:rsidRPr="00296330">
        <w:rPr>
          <w:sz w:val="22"/>
          <w:szCs w:val="22"/>
        </w:rPr>
        <w:t xml:space="preserve"> to</w:t>
      </w:r>
      <w:r w:rsidR="00096279" w:rsidRPr="00296330">
        <w:rPr>
          <w:sz w:val="22"/>
          <w:szCs w:val="22"/>
        </w:rPr>
        <w:t xml:space="preserve"> observe a child</w:t>
      </w:r>
      <w:r w:rsidR="001A3031" w:rsidRPr="00296330">
        <w:rPr>
          <w:sz w:val="22"/>
          <w:szCs w:val="22"/>
        </w:rPr>
        <w:t>. Respondents consistently called for greater access to consultation services.</w:t>
      </w:r>
      <w:r w:rsidR="00096279" w:rsidRPr="00296330">
        <w:rPr>
          <w:sz w:val="22"/>
          <w:szCs w:val="22"/>
        </w:rPr>
        <w:t xml:space="preserve"> </w:t>
      </w:r>
      <w:r w:rsidR="00FA11E2" w:rsidRPr="00296330">
        <w:rPr>
          <w:sz w:val="22"/>
          <w:szCs w:val="22"/>
        </w:rPr>
        <w:t>Notably, i</w:t>
      </w:r>
      <w:r w:rsidR="00096279" w:rsidRPr="00296330">
        <w:rPr>
          <w:sz w:val="22"/>
          <w:szCs w:val="22"/>
        </w:rPr>
        <w:t xml:space="preserve">n the Year 1 survey, programs that reported prior experience with a consultant </w:t>
      </w:r>
      <w:r w:rsidR="00FA11E2" w:rsidRPr="00296330">
        <w:rPr>
          <w:sz w:val="22"/>
          <w:szCs w:val="22"/>
        </w:rPr>
        <w:t>tended to</w:t>
      </w:r>
      <w:r w:rsidR="00096279" w:rsidRPr="00296330">
        <w:rPr>
          <w:sz w:val="22"/>
          <w:szCs w:val="22"/>
        </w:rPr>
        <w:t xml:space="preserve"> expel more child</w:t>
      </w:r>
      <w:r w:rsidR="00FA11E2" w:rsidRPr="00296330">
        <w:rPr>
          <w:sz w:val="22"/>
          <w:szCs w:val="22"/>
        </w:rPr>
        <w:t>ren</w:t>
      </w:r>
      <w:r w:rsidR="00096279" w:rsidRPr="00296330">
        <w:rPr>
          <w:sz w:val="22"/>
          <w:szCs w:val="22"/>
        </w:rPr>
        <w:t xml:space="preserve"> on average in the preceding year than those that </w:t>
      </w:r>
      <w:r w:rsidR="00FA11E2" w:rsidRPr="00296330">
        <w:rPr>
          <w:sz w:val="22"/>
          <w:szCs w:val="22"/>
        </w:rPr>
        <w:t>had not worked with a consultant. This mean difference approached significance (</w:t>
      </w:r>
      <w:proofErr w:type="gramStart"/>
      <w:r w:rsidR="000D5606" w:rsidRPr="00296330">
        <w:rPr>
          <w:i/>
          <w:iCs/>
          <w:sz w:val="22"/>
          <w:szCs w:val="22"/>
        </w:rPr>
        <w:t>F</w:t>
      </w:r>
      <w:r w:rsidR="000D5606" w:rsidRPr="00296330">
        <w:rPr>
          <w:sz w:val="22"/>
          <w:szCs w:val="22"/>
        </w:rPr>
        <w:t>(</w:t>
      </w:r>
      <w:proofErr w:type="gramEnd"/>
      <w:r w:rsidR="000D5606" w:rsidRPr="00296330">
        <w:rPr>
          <w:sz w:val="22"/>
          <w:szCs w:val="22"/>
        </w:rPr>
        <w:t xml:space="preserve">1,146) = 3.10, </w:t>
      </w:r>
      <w:r w:rsidR="00FA11E2" w:rsidRPr="00296330">
        <w:rPr>
          <w:i/>
          <w:sz w:val="22"/>
          <w:szCs w:val="22"/>
        </w:rPr>
        <w:t>p</w:t>
      </w:r>
      <w:r w:rsidR="000D5606" w:rsidRPr="00296330">
        <w:rPr>
          <w:i/>
          <w:sz w:val="22"/>
          <w:szCs w:val="22"/>
        </w:rPr>
        <w:t xml:space="preserve"> </w:t>
      </w:r>
      <w:r w:rsidR="00FA11E2" w:rsidRPr="00296330">
        <w:rPr>
          <w:sz w:val="22"/>
          <w:szCs w:val="22"/>
        </w:rPr>
        <w:t>=</w:t>
      </w:r>
      <w:r w:rsidR="000D5606" w:rsidRPr="00296330">
        <w:rPr>
          <w:sz w:val="22"/>
          <w:szCs w:val="22"/>
        </w:rPr>
        <w:t xml:space="preserve"> </w:t>
      </w:r>
      <w:r w:rsidR="00FA11E2" w:rsidRPr="00296330">
        <w:rPr>
          <w:sz w:val="22"/>
          <w:szCs w:val="22"/>
        </w:rPr>
        <w:t xml:space="preserve">.08, </w:t>
      </w:r>
      <w:r w:rsidR="00096279" w:rsidRPr="00296330">
        <w:rPr>
          <w:sz w:val="22"/>
          <w:szCs w:val="22"/>
        </w:rPr>
        <w:t xml:space="preserve">see Table </w:t>
      </w:r>
      <w:r w:rsidR="000D5606" w:rsidRPr="00296330">
        <w:rPr>
          <w:sz w:val="22"/>
          <w:szCs w:val="22"/>
        </w:rPr>
        <w:t>3</w:t>
      </w:r>
      <w:r w:rsidR="00096279" w:rsidRPr="00296330">
        <w:rPr>
          <w:sz w:val="22"/>
          <w:szCs w:val="22"/>
        </w:rPr>
        <w:t xml:space="preserve">). </w:t>
      </w:r>
    </w:p>
    <w:p w14:paraId="00D9D465" w14:textId="14FF0E8B" w:rsidR="000253AD" w:rsidRPr="00296330" w:rsidRDefault="00096279">
      <w:pPr>
        <w:spacing w:line="480" w:lineRule="auto"/>
        <w:ind w:firstLine="720"/>
        <w:rPr>
          <w:sz w:val="22"/>
          <w:szCs w:val="22"/>
        </w:rPr>
      </w:pPr>
      <w:r w:rsidRPr="00296330">
        <w:rPr>
          <w:sz w:val="22"/>
          <w:szCs w:val="22"/>
        </w:rPr>
        <w:t xml:space="preserve">The new legislation states that if, after exhausting all resources, a program still needs to remove a child from their care, the administrator must, with consent from the parents, create a transition plan that “ensures the continuity of services” with another program. Coalition members were keen to understand whether and how programs were prepared for this new stipulation. Interviews revealed </w:t>
      </w:r>
      <w:r w:rsidR="001E784C" w:rsidRPr="00296330">
        <w:rPr>
          <w:sz w:val="22"/>
          <w:szCs w:val="22"/>
        </w:rPr>
        <w:t xml:space="preserve">a </w:t>
      </w:r>
      <w:r w:rsidRPr="00296330">
        <w:rPr>
          <w:sz w:val="22"/>
          <w:szCs w:val="22"/>
        </w:rPr>
        <w:t>misunderstanding of what constituted a planned transition</w:t>
      </w:r>
      <w:r w:rsidR="007A6012" w:rsidRPr="00296330">
        <w:rPr>
          <w:sz w:val="22"/>
          <w:szCs w:val="22"/>
        </w:rPr>
        <w:t xml:space="preserve">. Although 72% of interviewed programs reported that they had previously planned a child’s transition out, when further queried, it was clear that </w:t>
      </w:r>
      <w:r w:rsidR="007A6012" w:rsidRPr="00296330">
        <w:rPr>
          <w:sz w:val="22"/>
          <w:szCs w:val="22"/>
        </w:rPr>
        <w:lastRenderedPageBreak/>
        <w:t xml:space="preserve">their definition of a transition plan differed from that stipulated in the law. More than half </w:t>
      </w:r>
      <w:r w:rsidR="009803BC" w:rsidRPr="00296330">
        <w:rPr>
          <w:sz w:val="22"/>
          <w:szCs w:val="22"/>
        </w:rPr>
        <w:t xml:space="preserve">of these administrators </w:t>
      </w:r>
      <w:r w:rsidR="007A6012" w:rsidRPr="00296330">
        <w:rPr>
          <w:sz w:val="22"/>
          <w:szCs w:val="22"/>
        </w:rPr>
        <w:t>(52%) indicated that their planned transition constituted providing parents with a recommendation about where to enroll their child</w:t>
      </w:r>
      <w:r w:rsidR="009803BC" w:rsidRPr="00296330">
        <w:rPr>
          <w:sz w:val="22"/>
          <w:szCs w:val="22"/>
        </w:rPr>
        <w:t>. Despite the stipulation in the law, nearly a third of all interviewed administrators (32%) indicated they had no plans to assist with the transition process. As one respondent sa</w:t>
      </w:r>
      <w:r w:rsidR="001E784C" w:rsidRPr="00296330">
        <w:rPr>
          <w:sz w:val="22"/>
          <w:szCs w:val="22"/>
        </w:rPr>
        <w:t>id</w:t>
      </w:r>
      <w:r w:rsidR="009803BC" w:rsidRPr="00296330">
        <w:rPr>
          <w:sz w:val="22"/>
          <w:szCs w:val="22"/>
        </w:rPr>
        <w:t>, “It’s just not going to happen. I’m going to tell them you have a few weeks and they will have to find [another program]”</w:t>
      </w:r>
    </w:p>
    <w:bookmarkEnd w:id="2"/>
    <w:p w14:paraId="2741A82D" w14:textId="16E55815" w:rsidR="002E35EF" w:rsidRPr="00296330" w:rsidRDefault="002E35EF">
      <w:pPr>
        <w:spacing w:line="480" w:lineRule="auto"/>
        <w:rPr>
          <w:b/>
          <w:sz w:val="22"/>
          <w:szCs w:val="22"/>
        </w:rPr>
      </w:pPr>
      <w:r w:rsidRPr="00296330">
        <w:rPr>
          <w:b/>
          <w:sz w:val="22"/>
          <w:szCs w:val="22"/>
        </w:rPr>
        <w:t>Longitudinal Change in Exclusionary Discipline</w:t>
      </w:r>
    </w:p>
    <w:p w14:paraId="665F8048" w14:textId="1EAE32A4" w:rsidR="00B35A4C" w:rsidRPr="00296330" w:rsidRDefault="005B6BB6">
      <w:pPr>
        <w:spacing w:line="480" w:lineRule="auto"/>
        <w:ind w:firstLine="720"/>
        <w:rPr>
          <w:iCs/>
          <w:sz w:val="22"/>
          <w:szCs w:val="22"/>
        </w:rPr>
      </w:pPr>
      <w:r w:rsidRPr="00296330">
        <w:rPr>
          <w:iCs/>
          <w:sz w:val="22"/>
          <w:szCs w:val="22"/>
        </w:rPr>
        <w:t xml:space="preserve">By comparing the </w:t>
      </w:r>
      <w:r w:rsidR="00165ED3" w:rsidRPr="00296330">
        <w:rPr>
          <w:iCs/>
          <w:sz w:val="22"/>
          <w:szCs w:val="22"/>
        </w:rPr>
        <w:t>right- and left-hand</w:t>
      </w:r>
      <w:r w:rsidRPr="00296330">
        <w:rPr>
          <w:iCs/>
          <w:sz w:val="22"/>
          <w:szCs w:val="22"/>
        </w:rPr>
        <w:t xml:space="preserve"> sides of</w:t>
      </w:r>
      <w:r w:rsidR="002E35EF" w:rsidRPr="00296330">
        <w:rPr>
          <w:iCs/>
          <w:sz w:val="22"/>
          <w:szCs w:val="22"/>
        </w:rPr>
        <w:t xml:space="preserve"> </w:t>
      </w:r>
      <w:r w:rsidR="00422700">
        <w:rPr>
          <w:iCs/>
          <w:sz w:val="22"/>
          <w:szCs w:val="22"/>
        </w:rPr>
        <w:t xml:space="preserve">descriptive statistics in </w:t>
      </w:r>
      <w:r w:rsidR="002E35EF" w:rsidRPr="00296330">
        <w:rPr>
          <w:iCs/>
          <w:sz w:val="22"/>
          <w:szCs w:val="22"/>
        </w:rPr>
        <w:t>Table 2</w:t>
      </w:r>
      <w:r w:rsidR="002462A3" w:rsidRPr="00296330">
        <w:rPr>
          <w:iCs/>
          <w:sz w:val="22"/>
          <w:szCs w:val="22"/>
        </w:rPr>
        <w:t xml:space="preserve">, </w:t>
      </w:r>
      <w:r w:rsidRPr="00296330">
        <w:rPr>
          <w:iCs/>
          <w:sz w:val="22"/>
          <w:szCs w:val="22"/>
        </w:rPr>
        <w:t xml:space="preserve">we see that </w:t>
      </w:r>
      <w:r w:rsidR="002462A3" w:rsidRPr="00296330">
        <w:rPr>
          <w:iCs/>
          <w:sz w:val="22"/>
          <w:szCs w:val="22"/>
        </w:rPr>
        <w:t xml:space="preserve">overall and in both the full and longitudinal samples, rates of exclusionary discipline have </w:t>
      </w:r>
      <w:r w:rsidR="00B35A4C" w:rsidRPr="00296330">
        <w:rPr>
          <w:iCs/>
          <w:sz w:val="22"/>
          <w:szCs w:val="22"/>
        </w:rPr>
        <w:t xml:space="preserve">decreased </w:t>
      </w:r>
      <w:r w:rsidR="002462A3" w:rsidRPr="00296330">
        <w:rPr>
          <w:iCs/>
          <w:sz w:val="22"/>
          <w:szCs w:val="22"/>
        </w:rPr>
        <w:t xml:space="preserve">since Year 1. Proportionally, </w:t>
      </w:r>
      <w:r w:rsidR="003B5201" w:rsidRPr="00296330">
        <w:rPr>
          <w:iCs/>
          <w:sz w:val="22"/>
          <w:szCs w:val="22"/>
        </w:rPr>
        <w:t>almost</w:t>
      </w:r>
      <w:r w:rsidR="002462A3" w:rsidRPr="00296330">
        <w:rPr>
          <w:iCs/>
          <w:sz w:val="22"/>
          <w:szCs w:val="22"/>
        </w:rPr>
        <w:t xml:space="preserve"> half as many children were sent home early in Year 2 than Year </w:t>
      </w:r>
      <w:r w:rsidR="00243566" w:rsidRPr="00296330">
        <w:rPr>
          <w:iCs/>
          <w:sz w:val="22"/>
          <w:szCs w:val="22"/>
        </w:rPr>
        <w:t>1 and</w:t>
      </w:r>
      <w:r w:rsidR="002462A3" w:rsidRPr="00296330">
        <w:rPr>
          <w:iCs/>
          <w:sz w:val="22"/>
          <w:szCs w:val="22"/>
        </w:rPr>
        <w:t xml:space="preserve"> declines in suspensions and expulsions are even more precipitous. </w:t>
      </w:r>
      <w:r w:rsidRPr="00296330">
        <w:rPr>
          <w:iCs/>
          <w:sz w:val="22"/>
          <w:szCs w:val="22"/>
        </w:rPr>
        <w:t>I</w:t>
      </w:r>
      <w:r w:rsidR="002462A3" w:rsidRPr="00296330">
        <w:rPr>
          <w:iCs/>
          <w:sz w:val="22"/>
          <w:szCs w:val="22"/>
        </w:rPr>
        <w:t>n the school year during which the legislation was passed (2017-2018)</w:t>
      </w:r>
      <w:r w:rsidR="001E784C" w:rsidRPr="00296330">
        <w:rPr>
          <w:iCs/>
          <w:sz w:val="22"/>
          <w:szCs w:val="22"/>
        </w:rPr>
        <w:t>,</w:t>
      </w:r>
      <w:r w:rsidR="002462A3" w:rsidRPr="00296330">
        <w:rPr>
          <w:iCs/>
          <w:sz w:val="22"/>
          <w:szCs w:val="22"/>
        </w:rPr>
        <w:t xml:space="preserve"> </w:t>
      </w:r>
      <w:r w:rsidRPr="00296330">
        <w:rPr>
          <w:iCs/>
          <w:sz w:val="22"/>
          <w:szCs w:val="22"/>
        </w:rPr>
        <w:t xml:space="preserve">12.61 </w:t>
      </w:r>
      <w:r w:rsidR="002462A3" w:rsidRPr="00296330">
        <w:rPr>
          <w:iCs/>
          <w:sz w:val="22"/>
          <w:szCs w:val="22"/>
        </w:rPr>
        <w:t>out of every 1,000 children enrolled in the full sample were expelled</w:t>
      </w:r>
      <w:r w:rsidR="00E90BE5" w:rsidRPr="00296330">
        <w:rPr>
          <w:iCs/>
          <w:sz w:val="22"/>
          <w:szCs w:val="22"/>
        </w:rPr>
        <w:t>, o</w:t>
      </w:r>
      <w:r w:rsidR="002462A3" w:rsidRPr="00296330">
        <w:rPr>
          <w:iCs/>
          <w:sz w:val="22"/>
          <w:szCs w:val="22"/>
        </w:rPr>
        <w:t>ne year later</w:t>
      </w:r>
      <w:r w:rsidR="001E784C" w:rsidRPr="00296330">
        <w:rPr>
          <w:iCs/>
          <w:sz w:val="22"/>
          <w:szCs w:val="22"/>
        </w:rPr>
        <w:t>,</w:t>
      </w:r>
      <w:r w:rsidR="002462A3" w:rsidRPr="00296330">
        <w:rPr>
          <w:iCs/>
          <w:sz w:val="22"/>
          <w:szCs w:val="22"/>
        </w:rPr>
        <w:t xml:space="preserve"> th</w:t>
      </w:r>
      <w:r w:rsidRPr="00296330">
        <w:rPr>
          <w:iCs/>
          <w:sz w:val="22"/>
          <w:szCs w:val="22"/>
        </w:rPr>
        <w:t>e rate dropped to just over two per 1,000 enrolled</w:t>
      </w:r>
      <w:r w:rsidR="002462A3" w:rsidRPr="00296330">
        <w:rPr>
          <w:iCs/>
          <w:sz w:val="22"/>
          <w:szCs w:val="22"/>
        </w:rPr>
        <w:t xml:space="preserve">. </w:t>
      </w:r>
      <w:r w:rsidR="00B35A4C" w:rsidRPr="00296330">
        <w:rPr>
          <w:iCs/>
          <w:sz w:val="22"/>
          <w:szCs w:val="22"/>
        </w:rPr>
        <w:t>Similarly large decreases were also seen in rates of early dismissals and suspensions.</w:t>
      </w:r>
    </w:p>
    <w:p w14:paraId="4EFF2433" w14:textId="39762D7F" w:rsidR="00B35A4C" w:rsidRPr="004B538D" w:rsidRDefault="00B35A4C" w:rsidP="004B538D">
      <w:pPr>
        <w:spacing w:line="480" w:lineRule="auto"/>
        <w:rPr>
          <w:b/>
          <w:iCs/>
          <w:sz w:val="22"/>
          <w:szCs w:val="22"/>
        </w:rPr>
      </w:pPr>
      <w:r w:rsidRPr="004B538D">
        <w:rPr>
          <w:b/>
          <w:iCs/>
          <w:sz w:val="22"/>
          <w:szCs w:val="22"/>
        </w:rPr>
        <w:t>Mechanisms for Exclusion</w:t>
      </w:r>
    </w:p>
    <w:p w14:paraId="6A5DF5FB" w14:textId="7A1CDE7E" w:rsidR="009F6923" w:rsidRPr="00296330" w:rsidRDefault="00B35A4C">
      <w:pPr>
        <w:spacing w:line="480" w:lineRule="auto"/>
        <w:ind w:firstLine="720"/>
        <w:rPr>
          <w:iCs/>
          <w:sz w:val="22"/>
          <w:szCs w:val="22"/>
        </w:rPr>
      </w:pPr>
      <w:r w:rsidRPr="00296330">
        <w:rPr>
          <w:iCs/>
          <w:sz w:val="22"/>
          <w:szCs w:val="22"/>
        </w:rPr>
        <w:t>With the addition of questions on planned transitions and voluntary withdrawals, however, it is evident that a number of children are still being excluded from care. W</w:t>
      </w:r>
      <w:r w:rsidR="002462A3" w:rsidRPr="00296330">
        <w:rPr>
          <w:iCs/>
          <w:sz w:val="22"/>
          <w:szCs w:val="22"/>
        </w:rPr>
        <w:t xml:space="preserve">hen summed together, expulsions plus the other mechanisms of exclusion (transitions and voluntary withdrawals) </w:t>
      </w:r>
      <w:r w:rsidRPr="00296330">
        <w:rPr>
          <w:iCs/>
          <w:sz w:val="22"/>
          <w:szCs w:val="22"/>
        </w:rPr>
        <w:t xml:space="preserve">in the full Year 2 sample </w:t>
      </w:r>
      <w:r w:rsidR="002462A3" w:rsidRPr="00296330">
        <w:rPr>
          <w:iCs/>
          <w:sz w:val="22"/>
          <w:szCs w:val="22"/>
        </w:rPr>
        <w:t xml:space="preserve">are </w:t>
      </w:r>
      <w:r w:rsidRPr="00296330">
        <w:rPr>
          <w:iCs/>
          <w:sz w:val="22"/>
          <w:szCs w:val="22"/>
        </w:rPr>
        <w:t xml:space="preserve">approaching the same levels as in Year 1 (i.e., 11.37 per 1,000 children or 2% of enrollment) </w:t>
      </w:r>
      <w:r w:rsidR="009F6923" w:rsidRPr="00296330">
        <w:rPr>
          <w:iCs/>
          <w:sz w:val="22"/>
          <w:szCs w:val="22"/>
        </w:rPr>
        <w:t>Looking at just p</w:t>
      </w:r>
      <w:r w:rsidR="00BB6EB1" w:rsidRPr="00296330">
        <w:rPr>
          <w:iCs/>
          <w:sz w:val="22"/>
          <w:szCs w:val="22"/>
        </w:rPr>
        <w:t>articipants in the longitudinal sample</w:t>
      </w:r>
      <w:r w:rsidR="001E784C" w:rsidRPr="00296330">
        <w:rPr>
          <w:iCs/>
          <w:sz w:val="22"/>
          <w:szCs w:val="22"/>
        </w:rPr>
        <w:t>,</w:t>
      </w:r>
      <w:r w:rsidR="009F6923" w:rsidRPr="00296330">
        <w:rPr>
          <w:iCs/>
          <w:sz w:val="22"/>
          <w:szCs w:val="22"/>
        </w:rPr>
        <w:t xml:space="preserve"> we still see marked declines in the original three exclusion measures (sent home early, suspended, or expelled)</w:t>
      </w:r>
      <w:r w:rsidR="001E784C" w:rsidRPr="00296330">
        <w:rPr>
          <w:iCs/>
          <w:sz w:val="22"/>
          <w:szCs w:val="22"/>
        </w:rPr>
        <w:t>,</w:t>
      </w:r>
      <w:r w:rsidR="009F6923" w:rsidRPr="00296330">
        <w:rPr>
          <w:iCs/>
          <w:sz w:val="22"/>
          <w:szCs w:val="22"/>
        </w:rPr>
        <w:t xml:space="preserve"> but rates of transitions and voluntary withdrawals remain high. </w:t>
      </w:r>
    </w:p>
    <w:p w14:paraId="7818D4EC" w14:textId="40678922" w:rsidR="00B35A4C" w:rsidRPr="004B538D" w:rsidRDefault="003A60BF" w:rsidP="004B538D">
      <w:pPr>
        <w:spacing w:line="480" w:lineRule="auto"/>
        <w:rPr>
          <w:b/>
          <w:iCs/>
          <w:sz w:val="22"/>
          <w:szCs w:val="22"/>
        </w:rPr>
      </w:pPr>
      <w:r w:rsidRPr="00296330">
        <w:rPr>
          <w:b/>
          <w:iCs/>
          <w:sz w:val="22"/>
          <w:szCs w:val="22"/>
        </w:rPr>
        <w:t>Persistent Knowledge Gaps</w:t>
      </w:r>
    </w:p>
    <w:p w14:paraId="5EC5B026" w14:textId="1DE0A6EE" w:rsidR="0033641C" w:rsidRPr="00296330" w:rsidRDefault="00D37DEB" w:rsidP="004B538D">
      <w:pPr>
        <w:spacing w:line="480" w:lineRule="auto"/>
        <w:rPr>
          <w:iCs/>
          <w:sz w:val="22"/>
          <w:szCs w:val="22"/>
        </w:rPr>
      </w:pPr>
      <w:r>
        <w:rPr>
          <w:iCs/>
          <w:sz w:val="22"/>
          <w:szCs w:val="22"/>
        </w:rPr>
        <w:tab/>
      </w:r>
      <w:r w:rsidR="003A60BF" w:rsidRPr="00296330">
        <w:rPr>
          <w:iCs/>
          <w:sz w:val="22"/>
          <w:szCs w:val="22"/>
        </w:rPr>
        <w:t>Responses to the scenario</w:t>
      </w:r>
      <w:r w:rsidR="00165ED3">
        <w:rPr>
          <w:iCs/>
          <w:sz w:val="22"/>
          <w:szCs w:val="22"/>
        </w:rPr>
        <w:t>-</w:t>
      </w:r>
      <w:r w:rsidR="003A60BF" w:rsidRPr="00296330">
        <w:rPr>
          <w:iCs/>
          <w:sz w:val="22"/>
          <w:szCs w:val="22"/>
        </w:rPr>
        <w:t xml:space="preserve">based questions assessing administrator knowledge of 100-0105 </w:t>
      </w:r>
      <w:r w:rsidR="009F6923" w:rsidRPr="004B538D">
        <w:rPr>
          <w:iCs/>
          <w:sz w:val="22"/>
          <w:szCs w:val="22"/>
        </w:rPr>
        <w:t xml:space="preserve">indicated </w:t>
      </w:r>
      <w:r w:rsidR="001E784C" w:rsidRPr="004B538D">
        <w:rPr>
          <w:iCs/>
          <w:sz w:val="22"/>
          <w:szCs w:val="22"/>
        </w:rPr>
        <w:t xml:space="preserve">a </w:t>
      </w:r>
      <w:r w:rsidR="009F6923" w:rsidRPr="004B538D">
        <w:rPr>
          <w:iCs/>
          <w:sz w:val="22"/>
          <w:szCs w:val="22"/>
        </w:rPr>
        <w:t xml:space="preserve">persistent misunderstanding of the law by administrators. For example, </w:t>
      </w:r>
      <w:r w:rsidR="001E633C" w:rsidRPr="004B538D">
        <w:rPr>
          <w:iCs/>
          <w:sz w:val="22"/>
          <w:szCs w:val="22"/>
        </w:rPr>
        <w:t>nearly a quarter (2</w:t>
      </w:r>
      <w:r w:rsidR="00BB2FDB">
        <w:rPr>
          <w:iCs/>
          <w:sz w:val="22"/>
          <w:szCs w:val="22"/>
        </w:rPr>
        <w:t>3</w:t>
      </w:r>
      <w:r w:rsidR="00334382" w:rsidRPr="004B538D">
        <w:rPr>
          <w:iCs/>
          <w:sz w:val="22"/>
          <w:szCs w:val="22"/>
        </w:rPr>
        <w:t xml:space="preserve">%) believed that </w:t>
      </w:r>
      <w:r w:rsidR="003A60BF" w:rsidRPr="004B538D">
        <w:rPr>
          <w:iCs/>
          <w:sz w:val="22"/>
          <w:szCs w:val="22"/>
        </w:rPr>
        <w:t xml:space="preserve">home-based </w:t>
      </w:r>
      <w:r w:rsidR="00334382" w:rsidRPr="004B538D">
        <w:rPr>
          <w:iCs/>
          <w:sz w:val="22"/>
          <w:szCs w:val="22"/>
        </w:rPr>
        <w:t>provider</w:t>
      </w:r>
      <w:r w:rsidR="003A60BF" w:rsidRPr="004B538D">
        <w:rPr>
          <w:iCs/>
          <w:sz w:val="22"/>
          <w:szCs w:val="22"/>
        </w:rPr>
        <w:t>s</w:t>
      </w:r>
      <w:r w:rsidR="001E633C" w:rsidRPr="004B538D">
        <w:rPr>
          <w:iCs/>
          <w:sz w:val="22"/>
          <w:szCs w:val="22"/>
        </w:rPr>
        <w:t xml:space="preserve"> </w:t>
      </w:r>
      <w:r w:rsidR="003A60BF" w:rsidRPr="004B538D">
        <w:rPr>
          <w:iCs/>
          <w:sz w:val="22"/>
          <w:szCs w:val="22"/>
        </w:rPr>
        <w:t xml:space="preserve">were </w:t>
      </w:r>
      <w:r w:rsidR="001E633C" w:rsidRPr="004B538D">
        <w:rPr>
          <w:iCs/>
          <w:sz w:val="22"/>
          <w:szCs w:val="22"/>
        </w:rPr>
        <w:t xml:space="preserve">not required to comply with the law. A smaller proportion </w:t>
      </w:r>
      <w:r w:rsidR="001E633C" w:rsidRPr="004B538D">
        <w:rPr>
          <w:iCs/>
          <w:sz w:val="22"/>
          <w:szCs w:val="22"/>
        </w:rPr>
        <w:lastRenderedPageBreak/>
        <w:t>(13%) thought that the law only applied to preschool</w:t>
      </w:r>
      <w:r w:rsidR="001E784C" w:rsidRPr="004B538D">
        <w:rPr>
          <w:iCs/>
          <w:sz w:val="22"/>
          <w:szCs w:val="22"/>
        </w:rPr>
        <w:t>-</w:t>
      </w:r>
      <w:r w:rsidR="001E633C" w:rsidRPr="004B538D">
        <w:rPr>
          <w:iCs/>
          <w:sz w:val="22"/>
          <w:szCs w:val="22"/>
        </w:rPr>
        <w:t xml:space="preserve">aged (3-5 years old) children. </w:t>
      </w:r>
      <w:r w:rsidR="000E733B" w:rsidRPr="004B538D">
        <w:rPr>
          <w:iCs/>
          <w:sz w:val="22"/>
          <w:szCs w:val="22"/>
        </w:rPr>
        <w:t>Of concern,</w:t>
      </w:r>
      <w:r w:rsidR="001E633C" w:rsidRPr="004B538D">
        <w:rPr>
          <w:iCs/>
          <w:sz w:val="22"/>
          <w:szCs w:val="22"/>
        </w:rPr>
        <w:t xml:space="preserve"> a majority (</w:t>
      </w:r>
      <w:r w:rsidR="00BB2FDB">
        <w:rPr>
          <w:iCs/>
          <w:sz w:val="22"/>
          <w:szCs w:val="22"/>
        </w:rPr>
        <w:t>60</w:t>
      </w:r>
      <w:r w:rsidR="001E633C" w:rsidRPr="004B538D">
        <w:rPr>
          <w:iCs/>
          <w:sz w:val="22"/>
          <w:szCs w:val="22"/>
        </w:rPr>
        <w:t>%) believed prov</w:t>
      </w:r>
      <w:r w:rsidR="003A60BF" w:rsidRPr="004B538D">
        <w:rPr>
          <w:iCs/>
          <w:sz w:val="22"/>
          <w:szCs w:val="22"/>
        </w:rPr>
        <w:t>iding families with a</w:t>
      </w:r>
      <w:r w:rsidR="001E633C" w:rsidRPr="004B538D">
        <w:rPr>
          <w:iCs/>
          <w:sz w:val="22"/>
          <w:szCs w:val="22"/>
        </w:rPr>
        <w:t xml:space="preserve"> list of local programs successfully met the law’s requirements for a “planned transition.”</w:t>
      </w:r>
    </w:p>
    <w:p w14:paraId="32A54024" w14:textId="68555568" w:rsidR="003A60BF" w:rsidRPr="004B538D" w:rsidRDefault="003A60BF" w:rsidP="004B538D">
      <w:pPr>
        <w:spacing w:line="480" w:lineRule="auto"/>
        <w:rPr>
          <w:b/>
          <w:iCs/>
          <w:sz w:val="22"/>
          <w:szCs w:val="22"/>
        </w:rPr>
      </w:pPr>
      <w:r w:rsidRPr="00296330">
        <w:rPr>
          <w:b/>
          <w:iCs/>
          <w:sz w:val="22"/>
          <w:szCs w:val="22"/>
        </w:rPr>
        <w:t>Characteristics of Excluded Children</w:t>
      </w:r>
    </w:p>
    <w:p w14:paraId="30EFDEDF" w14:textId="45F93FD5" w:rsidR="00EB3C69" w:rsidRPr="00296330" w:rsidRDefault="003A60BF" w:rsidP="004B538D">
      <w:pPr>
        <w:spacing w:line="480" w:lineRule="auto"/>
        <w:ind w:firstLine="720"/>
        <w:rPr>
          <w:iCs/>
          <w:sz w:val="22"/>
          <w:szCs w:val="22"/>
        </w:rPr>
      </w:pPr>
      <w:r w:rsidRPr="00296330">
        <w:rPr>
          <w:iCs/>
          <w:sz w:val="22"/>
          <w:szCs w:val="22"/>
        </w:rPr>
        <w:t xml:space="preserve">Participating programs </w:t>
      </w:r>
      <w:r w:rsidR="0095217D">
        <w:rPr>
          <w:iCs/>
          <w:sz w:val="22"/>
          <w:szCs w:val="22"/>
        </w:rPr>
        <w:t xml:space="preserve">in Year 2 </w:t>
      </w:r>
      <w:r w:rsidRPr="00296330">
        <w:rPr>
          <w:iCs/>
          <w:sz w:val="22"/>
          <w:szCs w:val="22"/>
        </w:rPr>
        <w:t>excluded a combined total of 77 children during the 2018-2019 school year but only provided demographic information on 51</w:t>
      </w:r>
      <w:r w:rsidR="007108AA" w:rsidRPr="00296330">
        <w:rPr>
          <w:iCs/>
          <w:sz w:val="22"/>
          <w:szCs w:val="22"/>
        </w:rPr>
        <w:t xml:space="preserve"> children</w:t>
      </w:r>
      <w:r w:rsidRPr="00296330">
        <w:rPr>
          <w:iCs/>
          <w:sz w:val="22"/>
          <w:szCs w:val="22"/>
        </w:rPr>
        <w:t xml:space="preserve"> (66%). </w:t>
      </w:r>
      <w:r w:rsidR="007108AA" w:rsidRPr="00296330">
        <w:rPr>
          <w:iCs/>
          <w:sz w:val="22"/>
          <w:szCs w:val="22"/>
        </w:rPr>
        <w:t xml:space="preserve">Table 4 presents administrator reported demographic data </w:t>
      </w:r>
      <w:r w:rsidR="007235E6" w:rsidRPr="00296330">
        <w:rPr>
          <w:iCs/>
          <w:sz w:val="22"/>
          <w:szCs w:val="22"/>
        </w:rPr>
        <w:t xml:space="preserve">for all enrolled children and </w:t>
      </w:r>
      <w:r w:rsidR="007108AA" w:rsidRPr="00296330">
        <w:rPr>
          <w:iCs/>
          <w:sz w:val="22"/>
          <w:szCs w:val="22"/>
        </w:rPr>
        <w:t xml:space="preserve">excluded </w:t>
      </w:r>
      <w:r w:rsidR="00EB3C69" w:rsidRPr="00296330">
        <w:rPr>
          <w:iCs/>
          <w:sz w:val="22"/>
          <w:szCs w:val="22"/>
        </w:rPr>
        <w:t xml:space="preserve">children </w:t>
      </w:r>
      <w:r w:rsidR="007108AA" w:rsidRPr="00296330">
        <w:rPr>
          <w:iCs/>
          <w:sz w:val="22"/>
          <w:szCs w:val="22"/>
        </w:rPr>
        <w:t xml:space="preserve">(in total and by mechanism) for whom complete data was available. From these </w:t>
      </w:r>
      <w:r w:rsidR="00422700">
        <w:rPr>
          <w:iCs/>
          <w:sz w:val="22"/>
          <w:szCs w:val="22"/>
        </w:rPr>
        <w:t xml:space="preserve">descriptive </w:t>
      </w:r>
      <w:r w:rsidR="007108AA" w:rsidRPr="00296330">
        <w:rPr>
          <w:iCs/>
          <w:sz w:val="22"/>
          <w:szCs w:val="22"/>
        </w:rPr>
        <w:t>data we can see patterns of over-representation. For examp</w:t>
      </w:r>
      <w:r w:rsidR="00EB3C69" w:rsidRPr="00296330">
        <w:rPr>
          <w:iCs/>
          <w:sz w:val="22"/>
          <w:szCs w:val="22"/>
        </w:rPr>
        <w:t>le, while just over half of children enrolled in participating programs were boys, they made up 8</w:t>
      </w:r>
      <w:r w:rsidR="00BB2FDB">
        <w:rPr>
          <w:iCs/>
          <w:sz w:val="22"/>
          <w:szCs w:val="22"/>
        </w:rPr>
        <w:t>6</w:t>
      </w:r>
      <w:r w:rsidR="00EB3C69" w:rsidRPr="00296330">
        <w:rPr>
          <w:iCs/>
          <w:sz w:val="22"/>
          <w:szCs w:val="22"/>
        </w:rPr>
        <w:t xml:space="preserve">% of children excluded. At the same time, </w:t>
      </w:r>
      <w:r w:rsidR="00FC5024">
        <w:rPr>
          <w:iCs/>
          <w:sz w:val="22"/>
          <w:szCs w:val="22"/>
        </w:rPr>
        <w:t>g</w:t>
      </w:r>
      <w:r w:rsidR="00EB3C69" w:rsidRPr="00296330">
        <w:rPr>
          <w:iCs/>
          <w:sz w:val="22"/>
          <w:szCs w:val="22"/>
        </w:rPr>
        <w:t>irls were slightly over</w:t>
      </w:r>
      <w:r w:rsidR="006B5491">
        <w:rPr>
          <w:iCs/>
          <w:sz w:val="22"/>
          <w:szCs w:val="22"/>
        </w:rPr>
        <w:t>-</w:t>
      </w:r>
      <w:r w:rsidR="00EB3C69" w:rsidRPr="00296330">
        <w:rPr>
          <w:iCs/>
          <w:sz w:val="22"/>
          <w:szCs w:val="22"/>
        </w:rPr>
        <w:t xml:space="preserve">represented among those voluntarily withdrawn by their parents. Black children were similarly overrepresented across all mechanism of exclusion and when White children were excluded, they were more likely to be voluntarily withdrawn. </w:t>
      </w:r>
      <w:r w:rsidR="007235E6" w:rsidRPr="00296330">
        <w:rPr>
          <w:iCs/>
          <w:sz w:val="22"/>
          <w:szCs w:val="22"/>
        </w:rPr>
        <w:t>While i</w:t>
      </w:r>
      <w:r w:rsidR="00EB3C69" w:rsidRPr="00296330">
        <w:rPr>
          <w:iCs/>
          <w:sz w:val="22"/>
          <w:szCs w:val="22"/>
        </w:rPr>
        <w:t xml:space="preserve">nfants and </w:t>
      </w:r>
      <w:r w:rsidR="007235E6" w:rsidRPr="00296330">
        <w:rPr>
          <w:iCs/>
          <w:sz w:val="22"/>
          <w:szCs w:val="22"/>
        </w:rPr>
        <w:t>t</w:t>
      </w:r>
      <w:r w:rsidR="00EB3C69" w:rsidRPr="00296330">
        <w:rPr>
          <w:iCs/>
          <w:sz w:val="22"/>
          <w:szCs w:val="22"/>
        </w:rPr>
        <w:t xml:space="preserve">oddlers were </w:t>
      </w:r>
      <w:r w:rsidR="007235E6" w:rsidRPr="00296330">
        <w:rPr>
          <w:iCs/>
          <w:sz w:val="22"/>
          <w:szCs w:val="22"/>
        </w:rPr>
        <w:t xml:space="preserve">underrepresented in all mechanisms of exclusion, five-year-olds were over-represented across all mechanisms and </w:t>
      </w:r>
      <w:r w:rsidR="00EB3C69" w:rsidRPr="00296330">
        <w:rPr>
          <w:iCs/>
          <w:sz w:val="22"/>
          <w:szCs w:val="22"/>
        </w:rPr>
        <w:t>four-</w:t>
      </w:r>
      <w:r w:rsidR="007235E6" w:rsidRPr="00296330">
        <w:rPr>
          <w:iCs/>
          <w:sz w:val="22"/>
          <w:szCs w:val="22"/>
        </w:rPr>
        <w:t>year-olds were over-represented, especially among those transitioned.</w:t>
      </w:r>
      <w:r w:rsidR="00D37DEB">
        <w:rPr>
          <w:iCs/>
          <w:sz w:val="22"/>
          <w:szCs w:val="22"/>
        </w:rPr>
        <w:t xml:space="preserve"> Although these data are more complete than those collected in Year 1, the sizeable amount of missing data and misunderstanding of what constitutes a “transition” under IL PA 100-1005 as was reported above, dictate that we should be cautious in interpreting these child-level results.</w:t>
      </w:r>
    </w:p>
    <w:p w14:paraId="46FDE13F" w14:textId="53B503C1" w:rsidR="0066302D" w:rsidRPr="00296330" w:rsidRDefault="0066302D">
      <w:pPr>
        <w:spacing w:line="480" w:lineRule="auto"/>
        <w:jc w:val="center"/>
        <w:rPr>
          <w:b/>
          <w:iCs/>
          <w:sz w:val="22"/>
          <w:szCs w:val="22"/>
        </w:rPr>
      </w:pPr>
      <w:r w:rsidRPr="00296330">
        <w:rPr>
          <w:b/>
          <w:iCs/>
          <w:sz w:val="22"/>
          <w:szCs w:val="22"/>
        </w:rPr>
        <w:t>Discussion</w:t>
      </w:r>
    </w:p>
    <w:p w14:paraId="65498FB9" w14:textId="7ADE8ED0" w:rsidR="0066302D" w:rsidRPr="00296330" w:rsidRDefault="00D37DEB">
      <w:pPr>
        <w:spacing w:line="480" w:lineRule="auto"/>
        <w:rPr>
          <w:sz w:val="22"/>
          <w:szCs w:val="22"/>
        </w:rPr>
      </w:pPr>
      <w:r>
        <w:rPr>
          <w:sz w:val="22"/>
          <w:szCs w:val="22"/>
        </w:rPr>
        <w:tab/>
      </w:r>
      <w:r w:rsidR="00214AC9" w:rsidRPr="00296330">
        <w:rPr>
          <w:sz w:val="22"/>
          <w:szCs w:val="22"/>
        </w:rPr>
        <w:t xml:space="preserve">Preliminary findings from this ongoing longitudinal study highlight the important role that collaborations can play in crafting policy-informed research and facilitating research-informed policy. </w:t>
      </w:r>
      <w:r w:rsidR="0066302D" w:rsidRPr="00296330">
        <w:rPr>
          <w:sz w:val="22"/>
          <w:szCs w:val="22"/>
        </w:rPr>
        <w:t xml:space="preserve"> </w:t>
      </w:r>
      <w:r w:rsidR="00214AC9" w:rsidRPr="00296330">
        <w:rPr>
          <w:sz w:val="22"/>
          <w:szCs w:val="22"/>
        </w:rPr>
        <w:t xml:space="preserve">Through the use of rich coalition of advocates, policy-makers, and researchers, we devised a study that directly addressed policy-makers’ urgent information gaps and advanced the scientific literature on early childhood expulsion. Given the translational focus of this paper, this discussion </w:t>
      </w:r>
      <w:r>
        <w:rPr>
          <w:sz w:val="22"/>
          <w:szCs w:val="22"/>
        </w:rPr>
        <w:t>will highlight</w:t>
      </w:r>
      <w:r w:rsidR="00214AC9" w:rsidRPr="00296330">
        <w:rPr>
          <w:sz w:val="22"/>
          <w:szCs w:val="22"/>
        </w:rPr>
        <w:t xml:space="preserve"> the </w:t>
      </w:r>
      <w:r w:rsidR="0066302D" w:rsidRPr="00296330">
        <w:rPr>
          <w:sz w:val="22"/>
          <w:szCs w:val="22"/>
        </w:rPr>
        <w:t xml:space="preserve">interpretations of the </w:t>
      </w:r>
      <w:r w:rsidR="00214AC9" w:rsidRPr="00296330">
        <w:rPr>
          <w:sz w:val="22"/>
          <w:szCs w:val="22"/>
        </w:rPr>
        <w:t xml:space="preserve">study’s </w:t>
      </w:r>
      <w:r w:rsidR="0066302D" w:rsidRPr="00296330">
        <w:rPr>
          <w:sz w:val="22"/>
          <w:szCs w:val="22"/>
        </w:rPr>
        <w:t xml:space="preserve">findings </w:t>
      </w:r>
      <w:r>
        <w:rPr>
          <w:sz w:val="22"/>
          <w:szCs w:val="22"/>
        </w:rPr>
        <w:t xml:space="preserve">by advocates </w:t>
      </w:r>
      <w:r w:rsidR="00034CE1" w:rsidRPr="00296330">
        <w:rPr>
          <w:sz w:val="22"/>
          <w:szCs w:val="22"/>
        </w:rPr>
        <w:t xml:space="preserve">and policy makers </w:t>
      </w:r>
      <w:r w:rsidR="0066302D" w:rsidRPr="00296330">
        <w:rPr>
          <w:sz w:val="22"/>
          <w:szCs w:val="22"/>
        </w:rPr>
        <w:t xml:space="preserve">and action steps taken </w:t>
      </w:r>
      <w:r w:rsidR="00034CE1" w:rsidRPr="00296330">
        <w:rPr>
          <w:sz w:val="22"/>
          <w:szCs w:val="22"/>
        </w:rPr>
        <w:t xml:space="preserve">by the coalition </w:t>
      </w:r>
      <w:r w:rsidR="0066302D" w:rsidRPr="00296330">
        <w:rPr>
          <w:sz w:val="22"/>
          <w:szCs w:val="22"/>
        </w:rPr>
        <w:t xml:space="preserve">to translate findings into meaningful policy and practice adaptations. </w:t>
      </w:r>
    </w:p>
    <w:p w14:paraId="5F7CD413" w14:textId="4FFCCC10" w:rsidR="007259D6" w:rsidRPr="00296330" w:rsidRDefault="007259D6">
      <w:pPr>
        <w:spacing w:line="480" w:lineRule="auto"/>
        <w:rPr>
          <w:iCs/>
          <w:sz w:val="22"/>
          <w:szCs w:val="22"/>
        </w:rPr>
      </w:pPr>
      <w:r w:rsidRPr="00296330">
        <w:rPr>
          <w:b/>
          <w:iCs/>
          <w:sz w:val="22"/>
          <w:szCs w:val="22"/>
        </w:rPr>
        <w:lastRenderedPageBreak/>
        <w:t>Findings Validate Policy Efforts</w:t>
      </w:r>
    </w:p>
    <w:p w14:paraId="521B8838" w14:textId="3C1B6E89" w:rsidR="0066302D" w:rsidRPr="00296330" w:rsidRDefault="0066302D">
      <w:pPr>
        <w:spacing w:line="480" w:lineRule="auto"/>
        <w:ind w:firstLine="720"/>
        <w:rPr>
          <w:sz w:val="22"/>
          <w:szCs w:val="22"/>
        </w:rPr>
      </w:pPr>
      <w:r w:rsidRPr="00296330">
        <w:rPr>
          <w:sz w:val="22"/>
          <w:szCs w:val="22"/>
        </w:rPr>
        <w:t xml:space="preserve">Across the board, results from the study validated initial efforts in crafting the legislation. Differences in exclusion rates across a range of child care program types provide support for policymaker’s adamancy about IL PA 100-0105 applying to ECCE programs across the board. While many states have passed legislation that only applies to publicly funded programs, these data suggest the importance of also including child care, as well as the birth to five age range. When results were presented to the Early Childhood Interagency Team charged with implementing the legislation across agencies, there was robust discussion by policymakers about the different mechanisms at play. For example, in a mixed-delivery system, variation in funding may be impacting a program’s ability or desire to retain a child displaying challenging behaviors. </w:t>
      </w:r>
      <w:r w:rsidR="002443C3">
        <w:rPr>
          <w:sz w:val="22"/>
          <w:szCs w:val="22"/>
        </w:rPr>
        <w:t xml:space="preserve">Public funding streams, like the Child Care Assistance Program (CCAP) reimbursements and Early Childhood Block Grant (ECBG) public preschool funds, typically provide less money per child than a program would receive from tuition-paying parents and it is </w:t>
      </w:r>
      <w:r w:rsidRPr="00296330">
        <w:rPr>
          <w:sz w:val="22"/>
          <w:szCs w:val="22"/>
        </w:rPr>
        <w:t xml:space="preserve">rarely enough to support best practices in meeting children’s social-emotional and behavioral needs. Therefore, children and their families paying tuition may be particularly coveted, increasing a program’s likelihood of working with them through challenging behaviors. In a similar vein, even though home-based child care programs are expelling children less often, interviews indicated that they are often where children end up when they have been expelled from center-based care. It is critical that resources and information be funneled to home-based programs to support the needs of children and the adults who care for them. </w:t>
      </w:r>
    </w:p>
    <w:p w14:paraId="0545A849" w14:textId="77777777" w:rsidR="0066302D" w:rsidRPr="00296330" w:rsidRDefault="0066302D">
      <w:pPr>
        <w:spacing w:line="480" w:lineRule="auto"/>
        <w:ind w:firstLine="720"/>
        <w:rPr>
          <w:b/>
          <w:i/>
          <w:sz w:val="22"/>
          <w:szCs w:val="22"/>
        </w:rPr>
      </w:pPr>
      <w:r w:rsidRPr="00296330">
        <w:rPr>
          <w:sz w:val="22"/>
          <w:szCs w:val="22"/>
        </w:rPr>
        <w:t xml:space="preserve">In December 2019, the Governor established the Illinois Commission on Equitable Early Childhood Education and Care Funding, with the goal of rethinking how resources are distributed across the state to more equitably fund ECCE programs. This funding commission is currently in progress and will continue to meet through January 2021. Findings from this study support the need to think critically about how funding mechanisms are associated with outcomes for children and families, and it is our hope that this data be used to highlight that. </w:t>
      </w:r>
    </w:p>
    <w:p w14:paraId="444C00EC" w14:textId="77777777" w:rsidR="007259D6" w:rsidRPr="00296330" w:rsidRDefault="007259D6">
      <w:pPr>
        <w:spacing w:line="480" w:lineRule="auto"/>
        <w:rPr>
          <w:b/>
          <w:iCs/>
          <w:sz w:val="22"/>
          <w:szCs w:val="22"/>
        </w:rPr>
      </w:pPr>
      <w:r w:rsidRPr="00296330">
        <w:rPr>
          <w:b/>
          <w:iCs/>
          <w:sz w:val="22"/>
          <w:szCs w:val="22"/>
        </w:rPr>
        <w:t>Translating Confusion into Action</w:t>
      </w:r>
    </w:p>
    <w:p w14:paraId="5C55A720" w14:textId="7C542CEA" w:rsidR="0066302D" w:rsidRPr="00296330" w:rsidRDefault="0066302D">
      <w:pPr>
        <w:spacing w:line="480" w:lineRule="auto"/>
        <w:ind w:firstLine="720"/>
        <w:rPr>
          <w:sz w:val="22"/>
          <w:szCs w:val="22"/>
        </w:rPr>
      </w:pPr>
      <w:r w:rsidRPr="00296330">
        <w:rPr>
          <w:sz w:val="22"/>
          <w:szCs w:val="22"/>
        </w:rPr>
        <w:lastRenderedPageBreak/>
        <w:t>Coalition members used findings of administrators’ confusion and inaccurate knowledge about the law to facilitate broader dissemination of information about the legislation and to bolster recommendations to state agencies as rules were being drafted and available for public comment. In response to the widespread lack of information and confusion about how to comply with IL PA 100-0105, captured by this study, public awareness presentations and a Training of Trainers (</w:t>
      </w:r>
      <w:proofErr w:type="spellStart"/>
      <w:r w:rsidRPr="00296330">
        <w:rPr>
          <w:sz w:val="22"/>
          <w:szCs w:val="22"/>
        </w:rPr>
        <w:t>ToT</w:t>
      </w:r>
      <w:proofErr w:type="spellEnd"/>
      <w:r w:rsidRPr="00296330">
        <w:rPr>
          <w:sz w:val="22"/>
          <w:szCs w:val="22"/>
        </w:rPr>
        <w:t xml:space="preserve">) series was created. Statewide, 188 professional development providers attended a workshop on the legislation and related best practice recommendations. This study informed the way in which the workshop leaders (co-authors on this paper) presented information to participants and the inclusion of findings in the presentation helped to validate the experiences and frustrations of the early childhood practitioners in attendance. </w:t>
      </w:r>
    </w:p>
    <w:p w14:paraId="5CF94FB7" w14:textId="4C1D316E" w:rsidR="0066302D" w:rsidRDefault="0066302D">
      <w:pPr>
        <w:spacing w:line="480" w:lineRule="auto"/>
        <w:ind w:firstLine="720"/>
        <w:rPr>
          <w:sz w:val="22"/>
          <w:szCs w:val="22"/>
        </w:rPr>
      </w:pPr>
      <w:r w:rsidRPr="00296330">
        <w:rPr>
          <w:sz w:val="22"/>
          <w:szCs w:val="22"/>
        </w:rPr>
        <w:t xml:space="preserve">Our findings around unintended consequences and potential “workarounds” that programs might use also greatly informed advocates’ public comments of the rules being drafted by ISBE and DCFS. Members of the coalition along with other organizations who had read the report submitted public comment to the state agencies asking for the following based on study findings: increased clarity in language, especially around the planned transition; increased access to supports for programs, children, and families; documentation resources such as uniform forms and templates; and access to trainings on the stipulations of the legislation and best practices. Capturing the experiences of early childhood program administrators through a research study created a systematic way for these critical voices to be heard throughout the administrative rulemaking process. </w:t>
      </w:r>
    </w:p>
    <w:p w14:paraId="16FE2965" w14:textId="3472D088" w:rsidR="00E141A0" w:rsidRPr="00296330" w:rsidRDefault="00E141A0">
      <w:pPr>
        <w:spacing w:line="480" w:lineRule="auto"/>
        <w:ind w:firstLine="720"/>
        <w:rPr>
          <w:sz w:val="22"/>
          <w:szCs w:val="22"/>
        </w:rPr>
      </w:pPr>
      <w:r>
        <w:rPr>
          <w:sz w:val="22"/>
          <w:szCs w:val="22"/>
        </w:rPr>
        <w:t xml:space="preserve">Lastly, findings regarding administrators’ </w:t>
      </w:r>
      <w:r w:rsidR="008D1D59">
        <w:rPr>
          <w:sz w:val="22"/>
          <w:szCs w:val="22"/>
        </w:rPr>
        <w:t>confusion around</w:t>
      </w:r>
      <w:r>
        <w:rPr>
          <w:sz w:val="22"/>
          <w:szCs w:val="22"/>
        </w:rPr>
        <w:t xml:space="preserve"> </w:t>
      </w:r>
      <w:r w:rsidR="008D1D59">
        <w:rPr>
          <w:sz w:val="22"/>
          <w:szCs w:val="22"/>
        </w:rPr>
        <w:t>the term</w:t>
      </w:r>
      <w:r>
        <w:rPr>
          <w:sz w:val="22"/>
          <w:szCs w:val="22"/>
        </w:rPr>
        <w:t xml:space="preserve"> “planned transitions” also informed </w:t>
      </w:r>
      <w:r w:rsidR="008D1D59">
        <w:rPr>
          <w:sz w:val="22"/>
          <w:szCs w:val="22"/>
        </w:rPr>
        <w:t xml:space="preserve">our public </w:t>
      </w:r>
      <w:r>
        <w:rPr>
          <w:sz w:val="22"/>
          <w:szCs w:val="22"/>
        </w:rPr>
        <w:t xml:space="preserve">comments to ISBE and DCFS. </w:t>
      </w:r>
      <w:r w:rsidR="008A0AAB">
        <w:rPr>
          <w:sz w:val="22"/>
          <w:szCs w:val="22"/>
        </w:rPr>
        <w:t xml:space="preserve">Future iterations of this survey will be revised in accordance with the definition agreed upon during the rule-writing process. </w:t>
      </w:r>
    </w:p>
    <w:p w14:paraId="23335B05" w14:textId="4719BE9E" w:rsidR="002179FF" w:rsidRPr="00296330" w:rsidRDefault="0066302D">
      <w:pPr>
        <w:spacing w:line="480" w:lineRule="auto"/>
        <w:rPr>
          <w:sz w:val="22"/>
          <w:szCs w:val="22"/>
        </w:rPr>
      </w:pPr>
      <w:r w:rsidRPr="00296330">
        <w:rPr>
          <w:b/>
          <w:iCs/>
          <w:sz w:val="22"/>
          <w:szCs w:val="22"/>
        </w:rPr>
        <w:t xml:space="preserve">Reinvestment for </w:t>
      </w:r>
      <w:r w:rsidR="002179FF" w:rsidRPr="00296330">
        <w:rPr>
          <w:b/>
          <w:iCs/>
          <w:sz w:val="22"/>
          <w:szCs w:val="22"/>
        </w:rPr>
        <w:t>Accessibility</w:t>
      </w:r>
      <w:r w:rsidRPr="00296330">
        <w:rPr>
          <w:b/>
          <w:i/>
          <w:sz w:val="22"/>
          <w:szCs w:val="22"/>
        </w:rPr>
        <w:t xml:space="preserve"> </w:t>
      </w:r>
    </w:p>
    <w:p w14:paraId="2D86118D" w14:textId="2929DCDB" w:rsidR="0066302D" w:rsidRPr="00296330" w:rsidRDefault="0066302D">
      <w:pPr>
        <w:spacing w:line="480" w:lineRule="auto"/>
        <w:ind w:firstLine="720"/>
        <w:rPr>
          <w:sz w:val="22"/>
          <w:szCs w:val="22"/>
        </w:rPr>
      </w:pPr>
      <w:r w:rsidRPr="00296330">
        <w:rPr>
          <w:sz w:val="22"/>
          <w:szCs w:val="22"/>
        </w:rPr>
        <w:t xml:space="preserve">Findings from this study also shed light on some of the barriers </w:t>
      </w:r>
      <w:r w:rsidR="00165ED3">
        <w:rPr>
          <w:sz w:val="22"/>
          <w:szCs w:val="22"/>
        </w:rPr>
        <w:t xml:space="preserve">that </w:t>
      </w:r>
      <w:r w:rsidRPr="00296330">
        <w:rPr>
          <w:sz w:val="22"/>
          <w:szCs w:val="22"/>
        </w:rPr>
        <w:t xml:space="preserve">programs experienced accessing the prevention resources outlined in the legislation, especially I/ECMHC. Our study highlighted the fact that there is a statewide need for more mental health consultants. The scarcity both resulted in </w:t>
      </w:r>
      <w:r w:rsidRPr="00296330">
        <w:rPr>
          <w:sz w:val="22"/>
          <w:szCs w:val="22"/>
        </w:rPr>
        <w:lastRenderedPageBreak/>
        <w:t>programs forming negative impressions of the intervention and in the resource being misused as a crisis intervention rather than the long-term, proactive/preventative, relationship-based support it is designed to serve as</w:t>
      </w:r>
      <w:r w:rsidR="002443C3">
        <w:rPr>
          <w:sz w:val="22"/>
          <w:szCs w:val="22"/>
        </w:rPr>
        <w:t xml:space="preserve"> (Perry, Holland, Darling-Kuria, &amp; </w:t>
      </w:r>
      <w:proofErr w:type="spellStart"/>
      <w:r w:rsidR="002443C3">
        <w:rPr>
          <w:sz w:val="22"/>
          <w:szCs w:val="22"/>
        </w:rPr>
        <w:t>Nadiv</w:t>
      </w:r>
      <w:proofErr w:type="spellEnd"/>
      <w:r w:rsidR="002443C3">
        <w:rPr>
          <w:sz w:val="22"/>
          <w:szCs w:val="22"/>
        </w:rPr>
        <w:t>, 2011)</w:t>
      </w:r>
      <w:r w:rsidRPr="00296330">
        <w:rPr>
          <w:sz w:val="22"/>
          <w:szCs w:val="22"/>
        </w:rPr>
        <w:t xml:space="preserve">. Findings informed the prioritization of </w:t>
      </w:r>
      <w:r w:rsidR="002443C3">
        <w:rPr>
          <w:sz w:val="22"/>
          <w:szCs w:val="22"/>
        </w:rPr>
        <w:t xml:space="preserve">infrastructure and professional development around </w:t>
      </w:r>
      <w:r w:rsidRPr="00296330">
        <w:rPr>
          <w:sz w:val="22"/>
          <w:szCs w:val="22"/>
        </w:rPr>
        <w:t xml:space="preserve">mental health in the federal Preschool Development Grant Birth to Five (PDG B-5) </w:t>
      </w:r>
      <w:r w:rsidR="002443C3">
        <w:rPr>
          <w:sz w:val="22"/>
          <w:szCs w:val="22"/>
        </w:rPr>
        <w:t>Renewal that was</w:t>
      </w:r>
      <w:r w:rsidRPr="00296330">
        <w:rPr>
          <w:sz w:val="22"/>
          <w:szCs w:val="22"/>
        </w:rPr>
        <w:t xml:space="preserve"> awarded to Illinois this past December. Additionally, when results were presented to the state’s Children’s Mental Health Partnership leadership team meeting in 2019, it reinforced the need for state-wide consolidation under a shared model of service delivery to ensure equity. Qualitative interviews </w:t>
      </w:r>
      <w:r w:rsidR="0080112B">
        <w:rPr>
          <w:sz w:val="22"/>
          <w:szCs w:val="22"/>
        </w:rPr>
        <w:t>provided evidence for</w:t>
      </w:r>
      <w:r w:rsidR="0080112B" w:rsidRPr="00296330">
        <w:rPr>
          <w:sz w:val="22"/>
          <w:szCs w:val="22"/>
        </w:rPr>
        <w:t xml:space="preserve"> </w:t>
      </w:r>
      <w:r w:rsidRPr="00296330">
        <w:rPr>
          <w:sz w:val="22"/>
          <w:szCs w:val="22"/>
        </w:rPr>
        <w:t xml:space="preserve">one of the concerns of stakeholders from the law’s inception. That is, that by deliberately calling out mental health consultation in the law, programs may be led to misunderstand the service model. Findings reinforced the need to be intentional about working with the Illinois Mental Health Consultation Initiative Leadership Team to clarify Illinois’ model and the intent behind consultation services. </w:t>
      </w:r>
    </w:p>
    <w:p w14:paraId="159EE878" w14:textId="0DE9375F" w:rsidR="00D50CCD" w:rsidRPr="00296330" w:rsidRDefault="00D50CCD">
      <w:pPr>
        <w:spacing w:line="480" w:lineRule="auto"/>
        <w:rPr>
          <w:b/>
          <w:iCs/>
          <w:sz w:val="22"/>
          <w:szCs w:val="22"/>
        </w:rPr>
      </w:pPr>
      <w:r w:rsidRPr="00296330">
        <w:rPr>
          <w:b/>
          <w:iCs/>
          <w:sz w:val="22"/>
          <w:szCs w:val="22"/>
        </w:rPr>
        <w:t xml:space="preserve">Progress and </w:t>
      </w:r>
      <w:r w:rsidR="00D1460A" w:rsidRPr="00296330">
        <w:rPr>
          <w:b/>
          <w:iCs/>
          <w:sz w:val="22"/>
          <w:szCs w:val="22"/>
        </w:rPr>
        <w:t>Perspective Two Years In</w:t>
      </w:r>
    </w:p>
    <w:p w14:paraId="328D6CC6" w14:textId="100EB61D" w:rsidR="00CC5D6B" w:rsidRDefault="004A622E">
      <w:pPr>
        <w:spacing w:line="480" w:lineRule="auto"/>
        <w:rPr>
          <w:sz w:val="22"/>
          <w:szCs w:val="22"/>
        </w:rPr>
      </w:pPr>
      <w:r w:rsidRPr="00296330">
        <w:rPr>
          <w:sz w:val="22"/>
          <w:szCs w:val="22"/>
        </w:rPr>
        <w:tab/>
      </w:r>
      <w:r w:rsidR="0066302D" w:rsidRPr="00296330">
        <w:rPr>
          <w:sz w:val="22"/>
          <w:szCs w:val="22"/>
        </w:rPr>
        <w:t>Year 2 data</w:t>
      </w:r>
      <w:r w:rsidR="00D50CCD" w:rsidRPr="00296330">
        <w:rPr>
          <w:sz w:val="22"/>
          <w:szCs w:val="22"/>
        </w:rPr>
        <w:t xml:space="preserve"> provide</w:t>
      </w:r>
      <w:r w:rsidRPr="00296330">
        <w:rPr>
          <w:sz w:val="22"/>
          <w:szCs w:val="22"/>
        </w:rPr>
        <w:t xml:space="preserve"> some positiv</w:t>
      </w:r>
      <w:r w:rsidR="00D50CCD" w:rsidRPr="00296330">
        <w:rPr>
          <w:sz w:val="22"/>
          <w:szCs w:val="22"/>
        </w:rPr>
        <w:t xml:space="preserve">e indications that since the passage of </w:t>
      </w:r>
      <w:r w:rsidR="00243566" w:rsidRPr="00296330">
        <w:rPr>
          <w:sz w:val="22"/>
          <w:szCs w:val="22"/>
        </w:rPr>
        <w:t xml:space="preserve">IL </w:t>
      </w:r>
      <w:r w:rsidR="00D50CCD" w:rsidRPr="00296330">
        <w:rPr>
          <w:sz w:val="22"/>
          <w:szCs w:val="22"/>
        </w:rPr>
        <w:t>PA 100-0105</w:t>
      </w:r>
      <w:r w:rsidR="003137E7" w:rsidRPr="00296330">
        <w:rPr>
          <w:sz w:val="22"/>
          <w:szCs w:val="22"/>
        </w:rPr>
        <w:t>,</w:t>
      </w:r>
      <w:r w:rsidR="00D50CCD" w:rsidRPr="00296330">
        <w:rPr>
          <w:sz w:val="22"/>
          <w:szCs w:val="22"/>
        </w:rPr>
        <w:t xml:space="preserve"> there has been a decrease in the use of exclusionary discipline practices in Illinois child care and preschool programs. </w:t>
      </w:r>
      <w:r w:rsidR="00C63682" w:rsidRPr="00296330">
        <w:rPr>
          <w:sz w:val="22"/>
          <w:szCs w:val="22"/>
        </w:rPr>
        <w:t xml:space="preserve">Two years past the signing of the bill into law and </w:t>
      </w:r>
      <w:r w:rsidR="003137E7" w:rsidRPr="00296330">
        <w:rPr>
          <w:sz w:val="22"/>
          <w:szCs w:val="22"/>
        </w:rPr>
        <w:t>despite a budget impasse and numerous</w:t>
      </w:r>
      <w:r w:rsidR="00C63682" w:rsidRPr="00296330">
        <w:rPr>
          <w:sz w:val="22"/>
          <w:szCs w:val="22"/>
        </w:rPr>
        <w:t xml:space="preserve"> agency head turnovers, there is evidence of progress. At the same time, </w:t>
      </w:r>
      <w:r w:rsidR="00CC5D6B">
        <w:rPr>
          <w:sz w:val="22"/>
          <w:szCs w:val="22"/>
        </w:rPr>
        <w:t xml:space="preserve">as we have seen </w:t>
      </w:r>
      <w:r w:rsidR="004B538D">
        <w:rPr>
          <w:sz w:val="22"/>
          <w:szCs w:val="22"/>
        </w:rPr>
        <w:t>with</w:t>
      </w:r>
      <w:r w:rsidR="00CC5D6B">
        <w:rPr>
          <w:sz w:val="22"/>
          <w:szCs w:val="22"/>
        </w:rPr>
        <w:t xml:space="preserve"> K-12 expulsion policy changes (</w:t>
      </w:r>
      <w:proofErr w:type="spellStart"/>
      <w:r w:rsidR="004B538D">
        <w:rPr>
          <w:sz w:val="22"/>
          <w:szCs w:val="22"/>
        </w:rPr>
        <w:t>Losen</w:t>
      </w:r>
      <w:proofErr w:type="spellEnd"/>
      <w:r w:rsidR="004B538D">
        <w:rPr>
          <w:sz w:val="22"/>
          <w:szCs w:val="22"/>
        </w:rPr>
        <w:t xml:space="preserve"> et al., 2015</w:t>
      </w:r>
      <w:r w:rsidR="00CC5D6B">
        <w:rPr>
          <w:sz w:val="22"/>
          <w:szCs w:val="22"/>
        </w:rPr>
        <w:t xml:space="preserve">), reductions in overall rates in exclusion have not eliminated gender and racial disparities. Even accounting for limitations in the child-level data, children who were </w:t>
      </w:r>
      <w:r w:rsidR="002443C3">
        <w:rPr>
          <w:sz w:val="22"/>
          <w:szCs w:val="22"/>
        </w:rPr>
        <w:t>older</w:t>
      </w:r>
      <w:r w:rsidR="00CC5D6B">
        <w:rPr>
          <w:sz w:val="22"/>
          <w:szCs w:val="22"/>
        </w:rPr>
        <w:t xml:space="preserve">, Black, or boys were </w:t>
      </w:r>
      <w:r w:rsidR="00165ED3">
        <w:rPr>
          <w:sz w:val="22"/>
          <w:szCs w:val="22"/>
        </w:rPr>
        <w:t>overrepresented</w:t>
      </w:r>
      <w:r w:rsidR="00CC5D6B">
        <w:rPr>
          <w:sz w:val="22"/>
          <w:szCs w:val="22"/>
        </w:rPr>
        <w:t xml:space="preserve"> among those excluded. </w:t>
      </w:r>
      <w:r w:rsidR="00FF4208">
        <w:rPr>
          <w:sz w:val="22"/>
          <w:szCs w:val="22"/>
        </w:rPr>
        <w:t xml:space="preserve">Without Year 1 demographic data we cannot specifically determine if disparate rates have changed but such analyses will be conducted with subsequent years of data. At present though, these results </w:t>
      </w:r>
      <w:r w:rsidR="0080112B">
        <w:rPr>
          <w:sz w:val="22"/>
          <w:szCs w:val="22"/>
        </w:rPr>
        <w:t>suggest</w:t>
      </w:r>
      <w:r w:rsidR="00FF4208">
        <w:rPr>
          <w:sz w:val="22"/>
          <w:szCs w:val="22"/>
        </w:rPr>
        <w:t xml:space="preserve"> that superficial nods toward equity, such as referencing</w:t>
      </w:r>
      <w:r w:rsidR="00CC5D6B">
        <w:rPr>
          <w:sz w:val="22"/>
          <w:szCs w:val="22"/>
        </w:rPr>
        <w:t xml:space="preserve"> </w:t>
      </w:r>
      <w:r w:rsidR="00FF4208">
        <w:rPr>
          <w:sz w:val="22"/>
          <w:szCs w:val="22"/>
        </w:rPr>
        <w:t xml:space="preserve">racial and gender </w:t>
      </w:r>
      <w:r w:rsidR="00CC5D6B">
        <w:rPr>
          <w:sz w:val="22"/>
          <w:szCs w:val="22"/>
        </w:rPr>
        <w:t xml:space="preserve">disparities </w:t>
      </w:r>
      <w:r w:rsidR="00FF4208">
        <w:rPr>
          <w:sz w:val="22"/>
          <w:szCs w:val="22"/>
        </w:rPr>
        <w:t>and implicit bias training in the legislation</w:t>
      </w:r>
      <w:r w:rsidR="00980B85">
        <w:rPr>
          <w:sz w:val="22"/>
          <w:szCs w:val="22"/>
        </w:rPr>
        <w:t xml:space="preserve"> </w:t>
      </w:r>
      <w:r w:rsidR="00FF4208">
        <w:rPr>
          <w:sz w:val="22"/>
          <w:szCs w:val="22"/>
        </w:rPr>
        <w:t xml:space="preserve">will likely be ineffective. </w:t>
      </w:r>
      <w:r w:rsidR="00980B85">
        <w:rPr>
          <w:sz w:val="22"/>
          <w:szCs w:val="22"/>
        </w:rPr>
        <w:t xml:space="preserve">Accountability and data systems to track not just overall rates of exclusion but proportionality of disciplinary procedures will be critical </w:t>
      </w:r>
      <w:r w:rsidR="00B57CC8">
        <w:rPr>
          <w:sz w:val="22"/>
          <w:szCs w:val="22"/>
        </w:rPr>
        <w:t>to ensure equity in ECCE</w:t>
      </w:r>
      <w:r w:rsidR="00980B85">
        <w:rPr>
          <w:sz w:val="22"/>
          <w:szCs w:val="22"/>
        </w:rPr>
        <w:t>.</w:t>
      </w:r>
    </w:p>
    <w:p w14:paraId="42E0968D" w14:textId="0470E799" w:rsidR="002D7930" w:rsidRPr="00296330" w:rsidRDefault="00FF4208" w:rsidP="00E141A0">
      <w:pPr>
        <w:spacing w:line="480" w:lineRule="auto"/>
        <w:rPr>
          <w:sz w:val="22"/>
          <w:szCs w:val="22"/>
        </w:rPr>
      </w:pPr>
      <w:r>
        <w:rPr>
          <w:sz w:val="22"/>
          <w:szCs w:val="22"/>
        </w:rPr>
        <w:lastRenderedPageBreak/>
        <w:tab/>
        <w:t xml:space="preserve">The longitudinal nature of this study also </w:t>
      </w:r>
      <w:r w:rsidR="00C63682" w:rsidRPr="00296330">
        <w:rPr>
          <w:sz w:val="22"/>
          <w:szCs w:val="22"/>
        </w:rPr>
        <w:t>point</w:t>
      </w:r>
      <w:r>
        <w:rPr>
          <w:sz w:val="22"/>
          <w:szCs w:val="22"/>
        </w:rPr>
        <w:t>s</w:t>
      </w:r>
      <w:r w:rsidR="00C63682" w:rsidRPr="00296330">
        <w:rPr>
          <w:sz w:val="22"/>
          <w:szCs w:val="22"/>
        </w:rPr>
        <w:t xml:space="preserve"> to multiple instances of persistent c</w:t>
      </w:r>
      <w:r w:rsidR="003137E7" w:rsidRPr="00296330">
        <w:rPr>
          <w:sz w:val="22"/>
          <w:szCs w:val="22"/>
        </w:rPr>
        <w:t>onfusion and misinterpretation</w:t>
      </w:r>
      <w:r w:rsidR="008E31C9">
        <w:rPr>
          <w:sz w:val="22"/>
          <w:szCs w:val="22"/>
        </w:rPr>
        <w:t>.</w:t>
      </w:r>
      <w:r>
        <w:rPr>
          <w:sz w:val="22"/>
          <w:szCs w:val="22"/>
        </w:rPr>
        <w:t xml:space="preserve"> I</w:t>
      </w:r>
      <w:r w:rsidR="003137E7" w:rsidRPr="00296330">
        <w:rPr>
          <w:sz w:val="22"/>
          <w:szCs w:val="22"/>
        </w:rPr>
        <w:t>t is clear that</w:t>
      </w:r>
      <w:r>
        <w:rPr>
          <w:sz w:val="22"/>
          <w:szCs w:val="22"/>
        </w:rPr>
        <w:t xml:space="preserve">, two years in, </w:t>
      </w:r>
      <w:r w:rsidR="003137E7" w:rsidRPr="00296330">
        <w:rPr>
          <w:sz w:val="22"/>
          <w:szCs w:val="22"/>
        </w:rPr>
        <w:t xml:space="preserve">programs need greater guidance about how to interpret the legislation and the intent behind it. </w:t>
      </w:r>
      <w:r w:rsidR="00FA7BFF" w:rsidRPr="00296330">
        <w:rPr>
          <w:sz w:val="22"/>
          <w:szCs w:val="22"/>
        </w:rPr>
        <w:t xml:space="preserve">Findings around points of confusion will continued to be used in the rule-writing process and in the development of training materials for providers and state agencies. </w:t>
      </w:r>
    </w:p>
    <w:p w14:paraId="65815110" w14:textId="749A0F6C" w:rsidR="007307D3" w:rsidRPr="00296330" w:rsidRDefault="007307D3">
      <w:pPr>
        <w:spacing w:line="480" w:lineRule="auto"/>
        <w:rPr>
          <w:sz w:val="22"/>
          <w:szCs w:val="22"/>
        </w:rPr>
      </w:pPr>
      <w:r w:rsidRPr="00296330">
        <w:rPr>
          <w:b/>
          <w:bCs/>
          <w:sz w:val="22"/>
          <w:szCs w:val="22"/>
        </w:rPr>
        <w:t xml:space="preserve">Limitations &amp; Next Steps </w:t>
      </w:r>
    </w:p>
    <w:p w14:paraId="710D11BE" w14:textId="0D34AEFB" w:rsidR="003F456C" w:rsidRPr="00296330" w:rsidRDefault="00B05920">
      <w:pPr>
        <w:spacing w:line="480" w:lineRule="auto"/>
        <w:ind w:firstLine="720"/>
        <w:rPr>
          <w:sz w:val="22"/>
          <w:szCs w:val="22"/>
        </w:rPr>
      </w:pPr>
      <w:r>
        <w:rPr>
          <w:sz w:val="22"/>
          <w:szCs w:val="22"/>
        </w:rPr>
        <w:t xml:space="preserve">In order to support </w:t>
      </w:r>
      <w:r w:rsidRPr="009F4F53">
        <w:rPr>
          <w:sz w:val="22"/>
          <w:szCs w:val="22"/>
        </w:rPr>
        <w:t>policymakers and researchers alike</w:t>
      </w:r>
      <w:r>
        <w:rPr>
          <w:sz w:val="22"/>
          <w:szCs w:val="22"/>
        </w:rPr>
        <w:t>, we believe it is important to include a transparent discussion of the limitations and missteps in this ongoing study</w:t>
      </w:r>
      <w:r w:rsidR="003F456C" w:rsidRPr="00296330">
        <w:rPr>
          <w:sz w:val="22"/>
          <w:szCs w:val="22"/>
        </w:rPr>
        <w:t xml:space="preserve">. </w:t>
      </w:r>
      <w:r w:rsidR="00E141A0">
        <w:rPr>
          <w:sz w:val="22"/>
          <w:szCs w:val="22"/>
        </w:rPr>
        <w:t>Our</w:t>
      </w:r>
      <w:r w:rsidR="001D102E" w:rsidRPr="00296330">
        <w:rPr>
          <w:sz w:val="22"/>
          <w:szCs w:val="22"/>
        </w:rPr>
        <w:t xml:space="preserve"> low retention rate across the two years </w:t>
      </w:r>
      <w:r w:rsidR="00C04E60" w:rsidRPr="00296330">
        <w:rPr>
          <w:sz w:val="22"/>
          <w:szCs w:val="22"/>
        </w:rPr>
        <w:t xml:space="preserve">raises concerns about selection bias and the fact that perhaps the respondents who had not reduced their exclusionary disciplinary practices chose not to respond to our Year 2 survey. This is a common challenge with the use of convenience samples and we are looking forward to a future statewide data system in which we can be obtain information from all ECCE programs across the state on an annual basis. </w:t>
      </w:r>
    </w:p>
    <w:p w14:paraId="52C570BD" w14:textId="4F3464E9" w:rsidR="008E31C9" w:rsidRDefault="00C04E60">
      <w:pPr>
        <w:spacing w:line="480" w:lineRule="auto"/>
        <w:ind w:firstLine="720"/>
        <w:rPr>
          <w:sz w:val="22"/>
          <w:szCs w:val="22"/>
        </w:rPr>
      </w:pPr>
      <w:r w:rsidRPr="00296330">
        <w:rPr>
          <w:sz w:val="22"/>
          <w:szCs w:val="22"/>
        </w:rPr>
        <w:t>Further, through Year 1 and Year 2 of this study we learned difficult</w:t>
      </w:r>
      <w:r w:rsidR="00D37DEB">
        <w:rPr>
          <w:sz w:val="22"/>
          <w:szCs w:val="22"/>
        </w:rPr>
        <w:t xml:space="preserve"> lessons about </w:t>
      </w:r>
      <w:r w:rsidRPr="00296330">
        <w:rPr>
          <w:sz w:val="22"/>
          <w:szCs w:val="22"/>
        </w:rPr>
        <w:t xml:space="preserve">obtaining comprehensive data on the race/ethnicity of children who were expelled. </w:t>
      </w:r>
      <w:r w:rsidR="001D102E" w:rsidRPr="00296330">
        <w:rPr>
          <w:sz w:val="22"/>
          <w:szCs w:val="22"/>
        </w:rPr>
        <w:t xml:space="preserve">As was discussed above low and incomplete repose rates to questions about expelled child characteristics rendered Year 1 data unsuitable for analysis. Our adjustments in Year 2 did yield more viable data but it is likely that our estimates of disproportionality are significantly biased due to missing data. Specifically, administrators failed to report on the race, ethnicity, gender and age of 34% of excluded children in Year 2. Finally, </w:t>
      </w:r>
      <w:r w:rsidR="00D37DEB">
        <w:rPr>
          <w:sz w:val="22"/>
          <w:szCs w:val="22"/>
        </w:rPr>
        <w:t>a number of Year 2 reported transitions are likely miss categorized given the low</w:t>
      </w:r>
      <w:r w:rsidR="001D102E" w:rsidRPr="00296330">
        <w:rPr>
          <w:sz w:val="22"/>
          <w:szCs w:val="22"/>
        </w:rPr>
        <w:t xml:space="preserve"> administrator knowledge</w:t>
      </w:r>
      <w:r w:rsidR="00D37DEB">
        <w:rPr>
          <w:sz w:val="22"/>
          <w:szCs w:val="22"/>
        </w:rPr>
        <w:t xml:space="preserve"> found in the scenario</w:t>
      </w:r>
      <w:r w:rsidR="00165ED3">
        <w:rPr>
          <w:sz w:val="22"/>
          <w:szCs w:val="22"/>
        </w:rPr>
        <w:t>-</w:t>
      </w:r>
      <w:r w:rsidR="00D37DEB">
        <w:rPr>
          <w:sz w:val="22"/>
          <w:szCs w:val="22"/>
        </w:rPr>
        <w:t>based</w:t>
      </w:r>
      <w:r w:rsidR="00165ED3">
        <w:rPr>
          <w:sz w:val="22"/>
          <w:szCs w:val="22"/>
        </w:rPr>
        <w:t xml:space="preserve"> q</w:t>
      </w:r>
      <w:r w:rsidR="00D37DEB">
        <w:rPr>
          <w:sz w:val="22"/>
          <w:szCs w:val="22"/>
        </w:rPr>
        <w:t>uestions</w:t>
      </w:r>
      <w:r w:rsidR="001D102E" w:rsidRPr="00296330">
        <w:rPr>
          <w:sz w:val="22"/>
          <w:szCs w:val="22"/>
        </w:rPr>
        <w:t xml:space="preserve">. </w:t>
      </w:r>
    </w:p>
    <w:p w14:paraId="4A3042C3" w14:textId="76723FDC" w:rsidR="007307D3" w:rsidRPr="00296330" w:rsidRDefault="008E31C9">
      <w:pPr>
        <w:spacing w:line="480" w:lineRule="auto"/>
        <w:ind w:firstLine="720"/>
        <w:rPr>
          <w:sz w:val="22"/>
          <w:szCs w:val="22"/>
        </w:rPr>
      </w:pPr>
      <w:r>
        <w:rPr>
          <w:sz w:val="22"/>
          <w:szCs w:val="22"/>
        </w:rPr>
        <w:t xml:space="preserve">Each of these limitations has informed the development of the next wave of surveys but more importantly are </w:t>
      </w:r>
      <w:r w:rsidRPr="0016442C">
        <w:rPr>
          <w:sz w:val="22"/>
          <w:szCs w:val="22"/>
        </w:rPr>
        <w:t xml:space="preserve">poised to inform the methods of future state-wide expulsion data collection in and outside of Illinois. As the state agencies work with GOECD to think about a statewide system to collect data on exclusionary discipline, both the survey items and methodological challenges experienced in this ongoing study will prove beneficial. For example, we have highlighted the importance of asking questions related to expulsion in language that providers use (e.g., “ask a child to permanently leave your program …”) as </w:t>
      </w:r>
      <w:r w:rsidRPr="0016442C">
        <w:rPr>
          <w:sz w:val="22"/>
          <w:szCs w:val="22"/>
        </w:rPr>
        <w:lastRenderedPageBreak/>
        <w:t>well as the importance of collecting data on a variety of ways in which a child may be leaving a setting. Our data quality issues pertaining to child race/ethnicity and revised methods will also help to inform a statewide data system. Further, these methodological implications have already spread beyond Illinois. Researchers and policymakers from multiple other jurisdictions, including Arkansas and Oregon, have consulted with the team and revised their approaches based on our experiences.</w:t>
      </w:r>
    </w:p>
    <w:p w14:paraId="1F849211" w14:textId="6D5A8D1B" w:rsidR="003C09C6" w:rsidRPr="00296330" w:rsidRDefault="009E593C">
      <w:pPr>
        <w:spacing w:line="480" w:lineRule="auto"/>
        <w:jc w:val="center"/>
        <w:rPr>
          <w:b/>
          <w:sz w:val="22"/>
          <w:szCs w:val="22"/>
        </w:rPr>
      </w:pPr>
      <w:r w:rsidRPr="00296330">
        <w:rPr>
          <w:b/>
          <w:sz w:val="22"/>
          <w:szCs w:val="22"/>
        </w:rPr>
        <w:t>Conclusion</w:t>
      </w:r>
    </w:p>
    <w:p w14:paraId="442E3290" w14:textId="1618CE61" w:rsidR="002D7930" w:rsidRPr="00296330" w:rsidRDefault="00D50CCD">
      <w:pPr>
        <w:spacing w:line="480" w:lineRule="auto"/>
        <w:ind w:firstLine="720"/>
        <w:rPr>
          <w:sz w:val="22"/>
          <w:szCs w:val="22"/>
        </w:rPr>
      </w:pPr>
      <w:r w:rsidRPr="00296330">
        <w:rPr>
          <w:sz w:val="22"/>
          <w:szCs w:val="22"/>
        </w:rPr>
        <w:t>The value of the intentional and early formation of a research-practice-policy coalition to inform the design, interpretation, and dissemination of this implementation evaluation cannot be overstated. Without open lines of communication and the willingness of state agencies to be vulnerable to challenging results, the coalition would not have gleamed these valuable results that are actively being translated into increased knowledge, improved services, and enhanced funding. At the same time, findings paint a complex picture. Illinois continues to be at the vanguard of early childhood policy</w:t>
      </w:r>
      <w:r w:rsidR="00B44579" w:rsidRPr="00296330">
        <w:rPr>
          <w:sz w:val="22"/>
          <w:szCs w:val="22"/>
        </w:rPr>
        <w:t>,</w:t>
      </w:r>
      <w:r w:rsidRPr="00296330">
        <w:rPr>
          <w:sz w:val="22"/>
          <w:szCs w:val="22"/>
        </w:rPr>
        <w:t xml:space="preserve"> and sometimes, being a trailblazing state means that lessons are learned through mistakes and missteps. But without mechanisms to capture the voice of providers on the frontline, instances of misunderstanding, anxiety, and avoidance would go undetected. This coalition </w:t>
      </w:r>
      <w:r w:rsidR="001C7756" w:rsidRPr="00296330">
        <w:rPr>
          <w:sz w:val="22"/>
          <w:szCs w:val="22"/>
        </w:rPr>
        <w:t xml:space="preserve">is </w:t>
      </w:r>
      <w:r w:rsidRPr="00296330">
        <w:rPr>
          <w:sz w:val="22"/>
          <w:szCs w:val="22"/>
        </w:rPr>
        <w:t>facilitat</w:t>
      </w:r>
      <w:r w:rsidR="001C7756" w:rsidRPr="00296330">
        <w:rPr>
          <w:sz w:val="22"/>
          <w:szCs w:val="22"/>
        </w:rPr>
        <w:t>ing</w:t>
      </w:r>
      <w:r w:rsidRPr="00296330">
        <w:rPr>
          <w:sz w:val="22"/>
          <w:szCs w:val="22"/>
        </w:rPr>
        <w:t xml:space="preserve"> a feedback loop that continues to reap benefits for the state’s legislation and rule</w:t>
      </w:r>
      <w:r w:rsidR="00F62392" w:rsidRPr="00296330">
        <w:rPr>
          <w:sz w:val="22"/>
          <w:szCs w:val="22"/>
        </w:rPr>
        <w:t>making</w:t>
      </w:r>
      <w:r w:rsidRPr="00296330">
        <w:rPr>
          <w:sz w:val="22"/>
          <w:szCs w:val="22"/>
        </w:rPr>
        <w:t xml:space="preserve"> process </w:t>
      </w:r>
      <w:r w:rsidR="000708BF" w:rsidRPr="00296330">
        <w:rPr>
          <w:sz w:val="22"/>
          <w:szCs w:val="22"/>
        </w:rPr>
        <w:t xml:space="preserve">while validating </w:t>
      </w:r>
      <w:r w:rsidRPr="00296330">
        <w:rPr>
          <w:sz w:val="22"/>
          <w:szCs w:val="22"/>
        </w:rPr>
        <w:t>the experiences of providers.</w:t>
      </w:r>
      <w:r w:rsidR="00FD44D0" w:rsidRPr="00296330">
        <w:rPr>
          <w:sz w:val="22"/>
          <w:szCs w:val="22"/>
        </w:rPr>
        <w:t xml:space="preserve"> Although the number of laws around exclusionary discipline in early childhood around the country has continued to increase over recent years (Meek et al., 2020; Padilla et al., 2020), research on its implementation and impact has not kept up. It is our hope that this study serve</w:t>
      </w:r>
      <w:r w:rsidR="00292DC8">
        <w:rPr>
          <w:sz w:val="22"/>
          <w:szCs w:val="22"/>
        </w:rPr>
        <w:t>s</w:t>
      </w:r>
      <w:r w:rsidR="00FD44D0" w:rsidRPr="00296330">
        <w:rPr>
          <w:sz w:val="22"/>
          <w:szCs w:val="22"/>
        </w:rPr>
        <w:t xml:space="preserve"> as a roadmap for other states or jurisdictions who have implemented policies to ensure that their legislative actions are maximizing benefits and minimizing unintended consequences. </w:t>
      </w:r>
    </w:p>
    <w:p w14:paraId="4D9C4126" w14:textId="77777777" w:rsidR="00FF4208" w:rsidRDefault="00FF4208">
      <w:pPr>
        <w:spacing w:after="160" w:line="259" w:lineRule="auto"/>
        <w:rPr>
          <w:b/>
          <w:bCs/>
          <w:sz w:val="22"/>
          <w:szCs w:val="22"/>
        </w:rPr>
      </w:pPr>
      <w:r>
        <w:rPr>
          <w:b/>
          <w:bCs/>
          <w:sz w:val="22"/>
          <w:szCs w:val="22"/>
        </w:rPr>
        <w:br w:type="page"/>
      </w:r>
    </w:p>
    <w:p w14:paraId="01D35DC3" w14:textId="308A8850" w:rsidR="00C00729" w:rsidRPr="00296330" w:rsidRDefault="00C00729">
      <w:pPr>
        <w:spacing w:line="480" w:lineRule="auto"/>
        <w:jc w:val="center"/>
        <w:rPr>
          <w:b/>
          <w:bCs/>
          <w:sz w:val="22"/>
          <w:szCs w:val="22"/>
        </w:rPr>
      </w:pPr>
      <w:r w:rsidRPr="00296330">
        <w:rPr>
          <w:b/>
          <w:bCs/>
          <w:sz w:val="22"/>
          <w:szCs w:val="22"/>
        </w:rPr>
        <w:lastRenderedPageBreak/>
        <w:t>References</w:t>
      </w:r>
    </w:p>
    <w:p w14:paraId="68BE8B0F" w14:textId="0B4CC200" w:rsidR="00E83999" w:rsidRDefault="00C63C27">
      <w:pPr>
        <w:spacing w:line="480" w:lineRule="auto"/>
        <w:ind w:left="720" w:hanging="720"/>
        <w:rPr>
          <w:color w:val="000000" w:themeColor="text1"/>
          <w:sz w:val="22"/>
          <w:szCs w:val="22"/>
          <w:shd w:val="clear" w:color="auto" w:fill="FFFFFF"/>
        </w:rPr>
      </w:pPr>
      <w:r w:rsidRPr="00296330">
        <w:rPr>
          <w:color w:val="000000" w:themeColor="text1"/>
          <w:sz w:val="22"/>
          <w:szCs w:val="22"/>
          <w:shd w:val="clear" w:color="auto" w:fill="FFFFFF"/>
        </w:rPr>
        <w:t>American Psychological Association. 2008. </w:t>
      </w:r>
      <w:r w:rsidRPr="00296330">
        <w:rPr>
          <w:rStyle w:val="Emphasis"/>
          <w:color w:val="000000" w:themeColor="text1"/>
          <w:sz w:val="22"/>
          <w:szCs w:val="22"/>
          <w:bdr w:val="none" w:sz="0" w:space="0" w:color="auto" w:frame="1"/>
          <w:shd w:val="clear" w:color="auto" w:fill="FFFFFF"/>
        </w:rPr>
        <w:t>Zero Tolerance Task Force report: An evidentiary review and recommendations.</w:t>
      </w:r>
      <w:r w:rsidRPr="00296330">
        <w:rPr>
          <w:color w:val="000000" w:themeColor="text1"/>
          <w:sz w:val="22"/>
          <w:szCs w:val="22"/>
          <w:shd w:val="clear" w:color="auto" w:fill="FFFFFF"/>
        </w:rPr>
        <w:t> Washington, DC.</w:t>
      </w:r>
    </w:p>
    <w:p w14:paraId="447061C4" w14:textId="77777777" w:rsidR="007A7953" w:rsidRDefault="00E83999" w:rsidP="007A7953">
      <w:pPr>
        <w:spacing w:line="480" w:lineRule="auto"/>
        <w:ind w:left="720" w:hanging="720"/>
        <w:rPr>
          <w:sz w:val="22"/>
          <w:szCs w:val="22"/>
        </w:rPr>
      </w:pPr>
      <w:r w:rsidRPr="00296330">
        <w:rPr>
          <w:sz w:val="22"/>
          <w:szCs w:val="22"/>
        </w:rPr>
        <w:t xml:space="preserve">Barnett, W. S. (2011). Effectiveness of early educational intervention. Science, 333, 975–978. </w:t>
      </w:r>
      <w:hyperlink r:id="rId11" w:history="1">
        <w:r w:rsidRPr="00296330">
          <w:rPr>
            <w:rStyle w:val="Hyperlink"/>
            <w:sz w:val="22"/>
            <w:szCs w:val="22"/>
          </w:rPr>
          <w:t>https://doi.org/10.1126/science.1204534</w:t>
        </w:r>
      </w:hyperlink>
      <w:r w:rsidRPr="00296330">
        <w:rPr>
          <w:sz w:val="22"/>
          <w:szCs w:val="22"/>
        </w:rPr>
        <w:t xml:space="preserve">. </w:t>
      </w:r>
    </w:p>
    <w:p w14:paraId="331E6B19" w14:textId="06B292A9" w:rsidR="004B538D" w:rsidRPr="007A7953" w:rsidRDefault="007A7953" w:rsidP="007A7953">
      <w:pPr>
        <w:spacing w:line="480" w:lineRule="auto"/>
        <w:ind w:left="720" w:hanging="720"/>
        <w:rPr>
          <w:sz w:val="22"/>
          <w:szCs w:val="22"/>
        </w:rPr>
      </w:pPr>
      <w:r w:rsidRPr="007A7953">
        <w:rPr>
          <w:sz w:val="22"/>
          <w:szCs w:val="22"/>
        </w:rPr>
        <w:t xml:space="preserve">Bronfenbrenner, U., &amp; Morris, P. A. (2006). The </w:t>
      </w:r>
      <w:proofErr w:type="spellStart"/>
      <w:r w:rsidRPr="007A7953">
        <w:rPr>
          <w:sz w:val="22"/>
          <w:szCs w:val="22"/>
        </w:rPr>
        <w:t>bioecological</w:t>
      </w:r>
      <w:proofErr w:type="spellEnd"/>
      <w:r w:rsidRPr="007A7953">
        <w:rPr>
          <w:sz w:val="22"/>
          <w:szCs w:val="22"/>
        </w:rPr>
        <w:t xml:space="preserve"> model of human development. In </w:t>
      </w:r>
      <w:r w:rsidRPr="007A7953">
        <w:rPr>
          <w:i/>
          <w:iCs/>
          <w:sz w:val="22"/>
          <w:szCs w:val="22"/>
        </w:rPr>
        <w:t xml:space="preserve">Handbook of child psychology (6th ed.): Vol 1, Theoretical models of human development. </w:t>
      </w:r>
      <w:r w:rsidRPr="007A7953">
        <w:rPr>
          <w:sz w:val="22"/>
          <w:szCs w:val="22"/>
        </w:rPr>
        <w:t>(pp. 793–828). Hoboken, NJ, US: John Wiley &amp; Sons Inc.</w:t>
      </w:r>
    </w:p>
    <w:p w14:paraId="25810097" w14:textId="77777777" w:rsidR="002B2A0C" w:rsidRDefault="00C63C27" w:rsidP="002B2A0C">
      <w:pPr>
        <w:pBdr>
          <w:top w:val="nil"/>
          <w:left w:val="nil"/>
          <w:bottom w:val="nil"/>
          <w:right w:val="nil"/>
          <w:between w:val="nil"/>
        </w:pBdr>
        <w:spacing w:line="480" w:lineRule="auto"/>
        <w:ind w:left="720" w:hanging="720"/>
        <w:rPr>
          <w:sz w:val="22"/>
          <w:szCs w:val="22"/>
        </w:rPr>
      </w:pPr>
      <w:r w:rsidRPr="00296330">
        <w:rPr>
          <w:color w:val="000000"/>
          <w:sz w:val="22"/>
          <w:szCs w:val="22"/>
        </w:rPr>
        <w:t xml:space="preserve">Child Care and Development Block Grant (CCDBG) Reauthorization Act of 2014, S. 1086. Retrieved from </w:t>
      </w:r>
      <w:hyperlink r:id="rId12">
        <w:r w:rsidRPr="00296330">
          <w:rPr>
            <w:color w:val="0000FF"/>
            <w:sz w:val="22"/>
            <w:szCs w:val="22"/>
            <w:u w:val="single"/>
          </w:rPr>
          <w:t>https://www.congress.gov/113/bills/s1086/BILLS-113s1086enr.pdf</w:t>
        </w:r>
      </w:hyperlink>
    </w:p>
    <w:p w14:paraId="22F2239D" w14:textId="54D25E85" w:rsidR="00C63C27" w:rsidRPr="002B2A0C" w:rsidRDefault="00C63C27" w:rsidP="002B2A0C">
      <w:pPr>
        <w:pBdr>
          <w:top w:val="nil"/>
          <w:left w:val="nil"/>
          <w:bottom w:val="nil"/>
          <w:right w:val="nil"/>
          <w:between w:val="nil"/>
        </w:pBdr>
        <w:spacing w:line="480" w:lineRule="auto"/>
        <w:ind w:left="720" w:hanging="720"/>
        <w:rPr>
          <w:sz w:val="22"/>
          <w:szCs w:val="22"/>
        </w:rPr>
      </w:pPr>
      <w:r w:rsidRPr="002B2A0C">
        <w:rPr>
          <w:sz w:val="22"/>
          <w:szCs w:val="22"/>
        </w:rPr>
        <w:t xml:space="preserve">Child Trends, 2018. </w:t>
      </w:r>
      <w:r w:rsidRPr="002B2A0C">
        <w:rPr>
          <w:i/>
          <w:sz w:val="22"/>
          <w:szCs w:val="22"/>
        </w:rPr>
        <w:t>High-quality preschool can support healthy development and learning</w:t>
      </w:r>
      <w:r w:rsidRPr="002B2A0C">
        <w:rPr>
          <w:sz w:val="22"/>
          <w:szCs w:val="22"/>
        </w:rPr>
        <w:t xml:space="preserve">. Retrieved </w:t>
      </w:r>
      <w:r w:rsidR="002B2A0C" w:rsidRPr="002B2A0C">
        <w:rPr>
          <w:sz w:val="22"/>
          <w:szCs w:val="22"/>
        </w:rPr>
        <w:t xml:space="preserve">from </w:t>
      </w:r>
      <w:hyperlink r:id="rId13" w:history="1">
        <w:r w:rsidR="002B2A0C" w:rsidRPr="002B2A0C">
          <w:rPr>
            <w:rStyle w:val="Hyperlink"/>
            <w:sz w:val="22"/>
            <w:szCs w:val="22"/>
          </w:rPr>
          <w:t>https://www.childtrends.org/wp-content/uploads/2018/05/PreschoolFadeOutFactSheet_ChildTrends_April2018.pdf</w:t>
        </w:r>
      </w:hyperlink>
      <w:r w:rsidR="002B2A0C" w:rsidRPr="002B2A0C">
        <w:rPr>
          <w:sz w:val="22"/>
          <w:szCs w:val="22"/>
        </w:rPr>
        <w:t xml:space="preserve">. </w:t>
      </w:r>
      <w:r w:rsidR="00E83999" w:rsidRPr="002B2A0C">
        <w:rPr>
          <w:sz w:val="22"/>
          <w:szCs w:val="22"/>
        </w:rPr>
        <w:t xml:space="preserve"> </w:t>
      </w:r>
    </w:p>
    <w:p w14:paraId="3E4D0884" w14:textId="6CAD2E5F" w:rsidR="00C63C27" w:rsidRPr="00296330" w:rsidRDefault="00C63C27">
      <w:pPr>
        <w:spacing w:line="480" w:lineRule="auto"/>
        <w:ind w:left="720" w:hanging="720"/>
        <w:rPr>
          <w:sz w:val="22"/>
          <w:szCs w:val="22"/>
        </w:rPr>
      </w:pPr>
      <w:proofErr w:type="spellStart"/>
      <w:r w:rsidRPr="00296330">
        <w:rPr>
          <w:sz w:val="22"/>
          <w:szCs w:val="22"/>
        </w:rPr>
        <w:t>Conners</w:t>
      </w:r>
      <w:proofErr w:type="spellEnd"/>
      <w:r w:rsidRPr="00296330">
        <w:rPr>
          <w:sz w:val="22"/>
          <w:szCs w:val="22"/>
        </w:rPr>
        <w:t xml:space="preserve"> Edge, N. A., Rose, A., Honeycutt, D., </w:t>
      </w:r>
      <w:proofErr w:type="spellStart"/>
      <w:r w:rsidRPr="00296330">
        <w:rPr>
          <w:sz w:val="22"/>
          <w:szCs w:val="22"/>
        </w:rPr>
        <w:t>McKelvey</w:t>
      </w:r>
      <w:proofErr w:type="spellEnd"/>
      <w:r w:rsidRPr="00296330">
        <w:rPr>
          <w:sz w:val="22"/>
          <w:szCs w:val="22"/>
        </w:rPr>
        <w:t xml:space="preserve">, L., Swindle, T., </w:t>
      </w:r>
      <w:proofErr w:type="spellStart"/>
      <w:r w:rsidRPr="00296330">
        <w:rPr>
          <w:sz w:val="22"/>
          <w:szCs w:val="22"/>
        </w:rPr>
        <w:t>Courson</w:t>
      </w:r>
      <w:proofErr w:type="spellEnd"/>
      <w:r w:rsidRPr="00296330">
        <w:rPr>
          <w:sz w:val="22"/>
          <w:szCs w:val="22"/>
        </w:rPr>
        <w:t xml:space="preserve">, D., &amp; </w:t>
      </w:r>
      <w:proofErr w:type="spellStart"/>
      <w:r w:rsidRPr="00296330">
        <w:rPr>
          <w:sz w:val="22"/>
          <w:szCs w:val="22"/>
        </w:rPr>
        <w:t>Forsman</w:t>
      </w:r>
      <w:proofErr w:type="spellEnd"/>
      <w:r w:rsidRPr="00296330">
        <w:rPr>
          <w:sz w:val="22"/>
          <w:szCs w:val="22"/>
        </w:rPr>
        <w:t xml:space="preserve">, J. A. (2018). Implementation of Arkansas’ Initiative to Reduce Suspension and Expulsion of Young Children. </w:t>
      </w:r>
      <w:r w:rsidRPr="00296330">
        <w:rPr>
          <w:i/>
          <w:sz w:val="22"/>
          <w:szCs w:val="22"/>
        </w:rPr>
        <w:t>Journal of Early Intervention</w:t>
      </w:r>
      <w:r w:rsidRPr="00296330">
        <w:rPr>
          <w:sz w:val="22"/>
          <w:szCs w:val="22"/>
        </w:rPr>
        <w:t xml:space="preserve">, </w:t>
      </w:r>
      <w:r w:rsidRPr="00296330">
        <w:rPr>
          <w:i/>
          <w:sz w:val="22"/>
          <w:szCs w:val="22"/>
        </w:rPr>
        <w:t>40</w:t>
      </w:r>
      <w:r w:rsidRPr="00296330">
        <w:rPr>
          <w:sz w:val="22"/>
          <w:szCs w:val="22"/>
        </w:rPr>
        <w:t xml:space="preserve">(4), 317–334. </w:t>
      </w:r>
      <w:hyperlink r:id="rId14" w:history="1">
        <w:r w:rsidR="00DB7FE0" w:rsidRPr="00296330">
          <w:rPr>
            <w:rStyle w:val="Hyperlink"/>
            <w:sz w:val="22"/>
            <w:szCs w:val="22"/>
          </w:rPr>
          <w:t>https://doi.org/10.1177/1053815118789177.</w:t>
        </w:r>
      </w:hyperlink>
      <w:r w:rsidR="00DB7FE0" w:rsidRPr="00296330">
        <w:rPr>
          <w:color w:val="1155CC"/>
          <w:sz w:val="22"/>
          <w:szCs w:val="22"/>
          <w:u w:val="single"/>
        </w:rPr>
        <w:t xml:space="preserve"> </w:t>
      </w:r>
      <w:r w:rsidRPr="00296330">
        <w:rPr>
          <w:sz w:val="22"/>
          <w:szCs w:val="22"/>
        </w:rPr>
        <w:t xml:space="preserve"> </w:t>
      </w:r>
    </w:p>
    <w:p w14:paraId="2C4C788F" w14:textId="663C7F0C" w:rsidR="00C63C27" w:rsidRPr="00296330" w:rsidRDefault="00C63C27">
      <w:pPr>
        <w:pBdr>
          <w:top w:val="nil"/>
          <w:left w:val="nil"/>
          <w:bottom w:val="nil"/>
          <w:right w:val="nil"/>
          <w:between w:val="nil"/>
        </w:pBdr>
        <w:spacing w:line="480" w:lineRule="auto"/>
        <w:ind w:left="720" w:hanging="720"/>
        <w:rPr>
          <w:sz w:val="22"/>
          <w:szCs w:val="22"/>
        </w:rPr>
      </w:pPr>
      <w:r w:rsidRPr="00296330">
        <w:rPr>
          <w:color w:val="000000"/>
          <w:sz w:val="22"/>
          <w:szCs w:val="22"/>
        </w:rPr>
        <w:t xml:space="preserve">Council on School Health. (2013). Out-of-School Suspension and Expulsion. </w:t>
      </w:r>
      <w:r w:rsidRPr="00296330">
        <w:rPr>
          <w:i/>
          <w:color w:val="000000"/>
          <w:sz w:val="22"/>
          <w:szCs w:val="22"/>
        </w:rPr>
        <w:t>PEDIATRICS</w:t>
      </w:r>
      <w:r w:rsidRPr="00296330">
        <w:rPr>
          <w:color w:val="000000"/>
          <w:sz w:val="22"/>
          <w:szCs w:val="22"/>
        </w:rPr>
        <w:t xml:space="preserve">, </w:t>
      </w:r>
      <w:r w:rsidRPr="00296330">
        <w:rPr>
          <w:i/>
          <w:color w:val="000000"/>
          <w:sz w:val="22"/>
          <w:szCs w:val="22"/>
        </w:rPr>
        <w:t>131</w:t>
      </w:r>
      <w:r w:rsidRPr="00296330">
        <w:rPr>
          <w:color w:val="000000"/>
          <w:sz w:val="22"/>
          <w:szCs w:val="22"/>
        </w:rPr>
        <w:t xml:space="preserve">(3), e1000-e1007. </w:t>
      </w:r>
      <w:hyperlink r:id="rId15" w:history="1">
        <w:r w:rsidR="00DB7FE0" w:rsidRPr="00296330">
          <w:rPr>
            <w:rStyle w:val="Hyperlink"/>
            <w:sz w:val="22"/>
            <w:szCs w:val="22"/>
          </w:rPr>
          <w:t>https://doi.org/10.1542/peds.2012-3932.</w:t>
        </w:r>
      </w:hyperlink>
      <w:r w:rsidR="00DB7FE0" w:rsidRPr="00296330">
        <w:rPr>
          <w:color w:val="1155CC"/>
          <w:sz w:val="22"/>
          <w:szCs w:val="22"/>
          <w:u w:val="single"/>
        </w:rPr>
        <w:t xml:space="preserve"> </w:t>
      </w:r>
      <w:r w:rsidRPr="00296330">
        <w:rPr>
          <w:color w:val="000000"/>
          <w:sz w:val="22"/>
          <w:szCs w:val="22"/>
        </w:rPr>
        <w:t xml:space="preserve"> </w:t>
      </w:r>
    </w:p>
    <w:p w14:paraId="0CB9E02B" w14:textId="73B0FB02" w:rsidR="00C63C27" w:rsidRPr="00296330" w:rsidRDefault="00C63C27">
      <w:pPr>
        <w:pBdr>
          <w:top w:val="nil"/>
          <w:left w:val="nil"/>
          <w:bottom w:val="nil"/>
          <w:right w:val="nil"/>
          <w:between w:val="nil"/>
        </w:pBdr>
        <w:spacing w:line="480" w:lineRule="auto"/>
        <w:ind w:left="720" w:hanging="720"/>
        <w:rPr>
          <w:sz w:val="22"/>
          <w:szCs w:val="22"/>
        </w:rPr>
      </w:pPr>
      <w:r w:rsidRPr="00296330">
        <w:rPr>
          <w:color w:val="000000"/>
          <w:sz w:val="22"/>
          <w:szCs w:val="22"/>
        </w:rPr>
        <w:t xml:space="preserve">Cutler, A. &amp; </w:t>
      </w:r>
      <w:proofErr w:type="spellStart"/>
      <w:r w:rsidRPr="00296330">
        <w:rPr>
          <w:color w:val="000000"/>
          <w:sz w:val="22"/>
          <w:szCs w:val="22"/>
        </w:rPr>
        <w:t>Gilkerson</w:t>
      </w:r>
      <w:proofErr w:type="spellEnd"/>
      <w:r w:rsidRPr="00296330">
        <w:rPr>
          <w:color w:val="000000"/>
          <w:sz w:val="22"/>
          <w:szCs w:val="22"/>
        </w:rPr>
        <w:t xml:space="preserve">, L. (2002). </w:t>
      </w:r>
      <w:r w:rsidRPr="00296330">
        <w:rPr>
          <w:i/>
          <w:color w:val="000000"/>
          <w:sz w:val="22"/>
          <w:szCs w:val="22"/>
        </w:rPr>
        <w:t>Unmet needs project: A research, coalition building, and policy initiative on the unmet needs of infants, toddlers, and families - Final Report.</w:t>
      </w:r>
      <w:r w:rsidRPr="00296330">
        <w:rPr>
          <w:color w:val="000000"/>
          <w:sz w:val="22"/>
          <w:szCs w:val="22"/>
        </w:rPr>
        <w:t xml:space="preserve"> University of Illinois at Chicago &amp; Erikson Institute</w:t>
      </w:r>
      <w:r w:rsidR="00E83051">
        <w:rPr>
          <w:color w:val="000000"/>
          <w:sz w:val="22"/>
          <w:szCs w:val="22"/>
        </w:rPr>
        <w:t xml:space="preserve">. </w:t>
      </w:r>
      <w:r w:rsidRPr="00296330">
        <w:rPr>
          <w:color w:val="000000"/>
          <w:sz w:val="22"/>
          <w:szCs w:val="22"/>
        </w:rPr>
        <w:t xml:space="preserve">Retrieved from </w:t>
      </w:r>
      <w:hyperlink r:id="rId16">
        <w:r w:rsidRPr="00296330">
          <w:rPr>
            <w:color w:val="0000FF"/>
            <w:sz w:val="22"/>
            <w:szCs w:val="22"/>
            <w:u w:val="single"/>
          </w:rPr>
          <w:t>http://www.state.il.us/agency/icdd/includes/Unmet%20Needs%20Final%20Report.pdf</w:t>
        </w:r>
      </w:hyperlink>
      <w:r w:rsidRPr="00296330">
        <w:rPr>
          <w:color w:val="000000"/>
          <w:sz w:val="22"/>
          <w:szCs w:val="22"/>
        </w:rPr>
        <w:t xml:space="preserve">. </w:t>
      </w:r>
    </w:p>
    <w:p w14:paraId="2FA10686" w14:textId="77777777" w:rsidR="00BD017B" w:rsidRPr="00296330" w:rsidRDefault="00C63C27">
      <w:pPr>
        <w:pBdr>
          <w:top w:val="nil"/>
          <w:left w:val="nil"/>
          <w:bottom w:val="nil"/>
          <w:right w:val="nil"/>
          <w:between w:val="nil"/>
        </w:pBdr>
        <w:spacing w:line="480" w:lineRule="auto"/>
        <w:ind w:left="720" w:hanging="720"/>
        <w:rPr>
          <w:color w:val="000000"/>
          <w:sz w:val="22"/>
          <w:szCs w:val="22"/>
        </w:rPr>
      </w:pPr>
      <w:r w:rsidRPr="00296330">
        <w:rPr>
          <w:color w:val="000000"/>
          <w:sz w:val="22"/>
          <w:szCs w:val="22"/>
        </w:rPr>
        <w:t xml:space="preserve">Gilliam, W. S. (2005). </w:t>
      </w:r>
      <w:proofErr w:type="spellStart"/>
      <w:r w:rsidRPr="00296330">
        <w:rPr>
          <w:i/>
          <w:color w:val="000000"/>
          <w:sz w:val="22"/>
          <w:szCs w:val="22"/>
        </w:rPr>
        <w:t>Prekindergarteners</w:t>
      </w:r>
      <w:proofErr w:type="spellEnd"/>
      <w:r w:rsidRPr="00296330">
        <w:rPr>
          <w:i/>
          <w:color w:val="000000"/>
          <w:sz w:val="22"/>
          <w:szCs w:val="22"/>
        </w:rPr>
        <w:t xml:space="preserve"> left behind: Expulsion rates in state prekindergarten systems</w:t>
      </w:r>
      <w:r w:rsidRPr="00296330">
        <w:rPr>
          <w:color w:val="000000"/>
          <w:sz w:val="22"/>
          <w:szCs w:val="22"/>
        </w:rPr>
        <w:t>. Foundation for Child Development. New York, NY.</w:t>
      </w:r>
    </w:p>
    <w:p w14:paraId="18EC559A" w14:textId="77777777" w:rsidR="00BD017B" w:rsidRPr="008E55B2" w:rsidRDefault="00BD017B">
      <w:pPr>
        <w:pBdr>
          <w:top w:val="nil"/>
          <w:left w:val="nil"/>
          <w:bottom w:val="nil"/>
          <w:right w:val="nil"/>
          <w:between w:val="nil"/>
        </w:pBdr>
        <w:spacing w:line="480" w:lineRule="auto"/>
        <w:ind w:left="720" w:hanging="720"/>
        <w:rPr>
          <w:sz w:val="22"/>
          <w:szCs w:val="22"/>
        </w:rPr>
      </w:pPr>
      <w:r w:rsidRPr="008E55B2">
        <w:rPr>
          <w:rFonts w:eastAsiaTheme="minorHAnsi"/>
          <w:sz w:val="22"/>
          <w:szCs w:val="22"/>
        </w:rPr>
        <w:lastRenderedPageBreak/>
        <w:t xml:space="preserve">Gilliam, W. S., Maupin, A. N., Reyes, C. R., </w:t>
      </w:r>
      <w:proofErr w:type="spellStart"/>
      <w:r w:rsidRPr="008E55B2">
        <w:rPr>
          <w:rFonts w:eastAsiaTheme="minorHAnsi"/>
          <w:sz w:val="22"/>
          <w:szCs w:val="22"/>
        </w:rPr>
        <w:t>Accavitti</w:t>
      </w:r>
      <w:proofErr w:type="spellEnd"/>
      <w:r w:rsidRPr="008E55B2">
        <w:rPr>
          <w:rFonts w:eastAsiaTheme="minorHAnsi"/>
          <w:sz w:val="22"/>
          <w:szCs w:val="22"/>
        </w:rPr>
        <w:t xml:space="preserve">, M., &amp; </w:t>
      </w:r>
      <w:proofErr w:type="spellStart"/>
      <w:r w:rsidRPr="008E55B2">
        <w:rPr>
          <w:rFonts w:eastAsiaTheme="minorHAnsi"/>
          <w:sz w:val="22"/>
          <w:szCs w:val="22"/>
        </w:rPr>
        <w:t>Shic</w:t>
      </w:r>
      <w:proofErr w:type="spellEnd"/>
      <w:r w:rsidRPr="008E55B2">
        <w:rPr>
          <w:rFonts w:eastAsiaTheme="minorHAnsi"/>
          <w:sz w:val="22"/>
          <w:szCs w:val="22"/>
        </w:rPr>
        <w:t xml:space="preserve">, F. (2016). Do early educators’ implicit biases regarding sex and race relate to behavior expectations and recommendations of preschool expulsions and suspensions? </w:t>
      </w:r>
      <w:r w:rsidRPr="008E55B2">
        <w:rPr>
          <w:rFonts w:eastAsiaTheme="minorHAnsi"/>
          <w:i/>
          <w:iCs/>
          <w:sz w:val="22"/>
          <w:szCs w:val="22"/>
        </w:rPr>
        <w:t>Yale Child Study Center, September</w:t>
      </w:r>
      <w:r w:rsidRPr="008E55B2">
        <w:rPr>
          <w:rFonts w:eastAsiaTheme="minorHAnsi"/>
          <w:sz w:val="22"/>
          <w:szCs w:val="22"/>
        </w:rPr>
        <w:t>, 991-1013.</w:t>
      </w:r>
    </w:p>
    <w:p w14:paraId="28D2892F" w14:textId="77777777" w:rsidR="00BD017B" w:rsidRPr="008E55B2" w:rsidRDefault="00C63C27">
      <w:pPr>
        <w:pBdr>
          <w:top w:val="nil"/>
          <w:left w:val="nil"/>
          <w:bottom w:val="nil"/>
          <w:right w:val="nil"/>
          <w:between w:val="nil"/>
        </w:pBdr>
        <w:spacing w:line="480" w:lineRule="auto"/>
        <w:ind w:left="720" w:hanging="720"/>
        <w:rPr>
          <w:sz w:val="22"/>
          <w:szCs w:val="22"/>
        </w:rPr>
      </w:pPr>
      <w:r w:rsidRPr="008E55B2">
        <w:rPr>
          <w:sz w:val="22"/>
          <w:szCs w:val="22"/>
          <w:shd w:val="clear" w:color="auto" w:fill="FFFFFF"/>
        </w:rPr>
        <w:t xml:space="preserve">Gilliam, W. S., &amp; </w:t>
      </w:r>
      <w:proofErr w:type="spellStart"/>
      <w:r w:rsidRPr="008E55B2">
        <w:rPr>
          <w:sz w:val="22"/>
          <w:szCs w:val="22"/>
          <w:shd w:val="clear" w:color="auto" w:fill="FFFFFF"/>
        </w:rPr>
        <w:t>Shahar</w:t>
      </w:r>
      <w:proofErr w:type="spellEnd"/>
      <w:r w:rsidRPr="008E55B2">
        <w:rPr>
          <w:sz w:val="22"/>
          <w:szCs w:val="22"/>
          <w:shd w:val="clear" w:color="auto" w:fill="FFFFFF"/>
        </w:rPr>
        <w:t>, G. (2006). Preschool and child care expulsion and suspension: Rates and predictors in one state. </w:t>
      </w:r>
      <w:r w:rsidRPr="008E55B2">
        <w:rPr>
          <w:i/>
          <w:iCs/>
          <w:sz w:val="22"/>
          <w:szCs w:val="22"/>
          <w:shd w:val="clear" w:color="auto" w:fill="FFFFFF"/>
        </w:rPr>
        <w:t>Infants &amp; Young Children</w:t>
      </w:r>
      <w:r w:rsidRPr="008E55B2">
        <w:rPr>
          <w:sz w:val="22"/>
          <w:szCs w:val="22"/>
          <w:shd w:val="clear" w:color="auto" w:fill="FFFFFF"/>
        </w:rPr>
        <w:t>, </w:t>
      </w:r>
      <w:r w:rsidRPr="008E55B2">
        <w:rPr>
          <w:i/>
          <w:iCs/>
          <w:sz w:val="22"/>
          <w:szCs w:val="22"/>
          <w:shd w:val="clear" w:color="auto" w:fill="FFFFFF"/>
        </w:rPr>
        <w:t>19</w:t>
      </w:r>
      <w:r w:rsidRPr="008E55B2">
        <w:rPr>
          <w:sz w:val="22"/>
          <w:szCs w:val="22"/>
          <w:shd w:val="clear" w:color="auto" w:fill="FFFFFF"/>
        </w:rPr>
        <w:t>(3), 228-245.</w:t>
      </w:r>
    </w:p>
    <w:p w14:paraId="489FFB8F" w14:textId="264F0522" w:rsidR="00C63C27" w:rsidRPr="00296330" w:rsidRDefault="00C63C27">
      <w:pPr>
        <w:pBdr>
          <w:top w:val="nil"/>
          <w:left w:val="nil"/>
          <w:bottom w:val="nil"/>
          <w:right w:val="nil"/>
          <w:between w:val="nil"/>
        </w:pBdr>
        <w:spacing w:line="480" w:lineRule="auto"/>
        <w:ind w:left="720" w:hanging="720"/>
        <w:rPr>
          <w:color w:val="000000"/>
          <w:sz w:val="22"/>
          <w:szCs w:val="22"/>
        </w:rPr>
      </w:pPr>
      <w:r w:rsidRPr="00296330">
        <w:rPr>
          <w:sz w:val="22"/>
          <w:szCs w:val="22"/>
        </w:rPr>
        <w:t xml:space="preserve">Gregory, A., </w:t>
      </w:r>
      <w:proofErr w:type="spellStart"/>
      <w:r w:rsidRPr="00296330">
        <w:rPr>
          <w:sz w:val="22"/>
          <w:szCs w:val="22"/>
        </w:rPr>
        <w:t>Skiba</w:t>
      </w:r>
      <w:proofErr w:type="spellEnd"/>
      <w:r w:rsidRPr="00296330">
        <w:rPr>
          <w:sz w:val="22"/>
          <w:szCs w:val="22"/>
        </w:rPr>
        <w:t xml:space="preserve">, R. J., &amp; </w:t>
      </w:r>
      <w:proofErr w:type="spellStart"/>
      <w:r w:rsidRPr="00296330">
        <w:rPr>
          <w:sz w:val="22"/>
          <w:szCs w:val="22"/>
        </w:rPr>
        <w:t>Noguera</w:t>
      </w:r>
      <w:proofErr w:type="spellEnd"/>
      <w:r w:rsidRPr="00296330">
        <w:rPr>
          <w:sz w:val="22"/>
          <w:szCs w:val="22"/>
        </w:rPr>
        <w:t xml:space="preserve">, P. A. (2010). The Achievement Gap and the Discipline Gap: Two Sides of the Same Coin? </w:t>
      </w:r>
      <w:r w:rsidRPr="00296330">
        <w:rPr>
          <w:i/>
          <w:sz w:val="22"/>
          <w:szCs w:val="22"/>
        </w:rPr>
        <w:t>Educational Researcher</w:t>
      </w:r>
      <w:r w:rsidRPr="00296330">
        <w:rPr>
          <w:sz w:val="22"/>
          <w:szCs w:val="22"/>
        </w:rPr>
        <w:t xml:space="preserve">, </w:t>
      </w:r>
      <w:r w:rsidRPr="00296330">
        <w:rPr>
          <w:i/>
          <w:sz w:val="22"/>
          <w:szCs w:val="22"/>
        </w:rPr>
        <w:t>39</w:t>
      </w:r>
      <w:r w:rsidRPr="00296330">
        <w:rPr>
          <w:sz w:val="22"/>
          <w:szCs w:val="22"/>
        </w:rPr>
        <w:t xml:space="preserve">(1), 59–68. </w:t>
      </w:r>
      <w:hyperlink r:id="rId17" w:history="1">
        <w:r w:rsidR="00DB7FE0" w:rsidRPr="00296330">
          <w:rPr>
            <w:rStyle w:val="Hyperlink"/>
            <w:sz w:val="22"/>
            <w:szCs w:val="22"/>
          </w:rPr>
          <w:t>https://doi.org/10.3102/0013189X09357621</w:t>
        </w:r>
      </w:hyperlink>
      <w:r w:rsidR="00DB7FE0" w:rsidRPr="00296330">
        <w:rPr>
          <w:color w:val="1155CC"/>
          <w:sz w:val="22"/>
          <w:szCs w:val="22"/>
          <w:u w:val="single"/>
        </w:rPr>
        <w:t xml:space="preserve">  </w:t>
      </w:r>
      <w:r w:rsidR="00A37785" w:rsidRPr="00296330">
        <w:rPr>
          <w:color w:val="1155CC"/>
          <w:sz w:val="22"/>
          <w:szCs w:val="22"/>
          <w:u w:val="single"/>
        </w:rPr>
        <w:t xml:space="preserve"> </w:t>
      </w:r>
    </w:p>
    <w:p w14:paraId="2CF04701" w14:textId="77777777" w:rsidR="00040719" w:rsidRPr="00296330" w:rsidRDefault="00C63C27">
      <w:pPr>
        <w:pBdr>
          <w:top w:val="nil"/>
          <w:left w:val="nil"/>
          <w:bottom w:val="nil"/>
          <w:right w:val="nil"/>
          <w:between w:val="nil"/>
        </w:pBdr>
        <w:spacing w:line="480" w:lineRule="auto"/>
        <w:ind w:left="720" w:hanging="720"/>
        <w:rPr>
          <w:sz w:val="22"/>
          <w:szCs w:val="22"/>
        </w:rPr>
      </w:pPr>
      <w:r w:rsidRPr="00296330">
        <w:rPr>
          <w:color w:val="000000"/>
          <w:sz w:val="22"/>
          <w:szCs w:val="22"/>
        </w:rPr>
        <w:t xml:space="preserve">Grossman-Kahn, Reyes, Maupin, &amp; Gilliam. (2018). </w:t>
      </w:r>
      <w:r w:rsidR="00367E40" w:rsidRPr="00296330">
        <w:rPr>
          <w:i/>
          <w:iCs/>
          <w:color w:val="000000"/>
          <w:sz w:val="22"/>
          <w:szCs w:val="22"/>
        </w:rPr>
        <w:t>Preschool Legislation Policies.</w:t>
      </w:r>
      <w:r w:rsidR="00367E40" w:rsidRPr="00296330">
        <w:rPr>
          <w:color w:val="000000"/>
          <w:sz w:val="22"/>
          <w:szCs w:val="22"/>
        </w:rPr>
        <w:t xml:space="preserve"> </w:t>
      </w:r>
      <w:r w:rsidRPr="00296330">
        <w:rPr>
          <w:color w:val="000000"/>
          <w:sz w:val="22"/>
          <w:szCs w:val="22"/>
        </w:rPr>
        <w:t xml:space="preserve">Retrieved from </w:t>
      </w:r>
      <w:hyperlink r:id="rId18" w:anchor="!/vizhome/PreschoolLegislation--AllStates/Sheet2">
        <w:r w:rsidRPr="00296330">
          <w:rPr>
            <w:color w:val="0000FF"/>
            <w:sz w:val="22"/>
            <w:szCs w:val="22"/>
            <w:u w:val="single"/>
          </w:rPr>
          <w:t>https://public.tableau.com/profile/sarah2036#!/vizhome/PreschoolLegislation--AllStates/Sheet2</w:t>
        </w:r>
      </w:hyperlink>
      <w:r w:rsidRPr="00296330">
        <w:rPr>
          <w:color w:val="000000"/>
          <w:sz w:val="22"/>
          <w:szCs w:val="22"/>
        </w:rPr>
        <w:t>.</w:t>
      </w:r>
    </w:p>
    <w:p w14:paraId="4DCE5E62" w14:textId="78B395CF" w:rsidR="00367E40" w:rsidRPr="00296330" w:rsidRDefault="00367E40">
      <w:pPr>
        <w:pBdr>
          <w:top w:val="nil"/>
          <w:left w:val="nil"/>
          <w:bottom w:val="nil"/>
          <w:right w:val="nil"/>
          <w:between w:val="nil"/>
        </w:pBdr>
        <w:spacing w:line="480" w:lineRule="auto"/>
        <w:ind w:left="720" w:hanging="720"/>
        <w:rPr>
          <w:sz w:val="22"/>
          <w:szCs w:val="22"/>
        </w:rPr>
      </w:pPr>
      <w:r w:rsidRPr="00296330">
        <w:rPr>
          <w:sz w:val="22"/>
          <w:szCs w:val="22"/>
        </w:rPr>
        <w:t xml:space="preserve">Hatfield, B. E., </w:t>
      </w:r>
      <w:proofErr w:type="spellStart"/>
      <w:r w:rsidRPr="00296330">
        <w:rPr>
          <w:sz w:val="22"/>
          <w:szCs w:val="22"/>
        </w:rPr>
        <w:t>Burchinal</w:t>
      </w:r>
      <w:proofErr w:type="spellEnd"/>
      <w:r w:rsidRPr="00296330">
        <w:rPr>
          <w:sz w:val="22"/>
          <w:szCs w:val="22"/>
        </w:rPr>
        <w:t xml:space="preserve">, M. R., </w:t>
      </w:r>
      <w:proofErr w:type="spellStart"/>
      <w:r w:rsidRPr="00296330">
        <w:rPr>
          <w:sz w:val="22"/>
          <w:szCs w:val="22"/>
        </w:rPr>
        <w:t>Pianta</w:t>
      </w:r>
      <w:proofErr w:type="spellEnd"/>
      <w:r w:rsidRPr="00296330">
        <w:rPr>
          <w:sz w:val="22"/>
          <w:szCs w:val="22"/>
        </w:rPr>
        <w:t xml:space="preserve">, R. C., Sideris, J. (2016). </w:t>
      </w:r>
      <w:r w:rsidR="008863FA" w:rsidRPr="00296330">
        <w:rPr>
          <w:sz w:val="22"/>
          <w:szCs w:val="22"/>
        </w:rPr>
        <w:t xml:space="preserve">Thresholds in the association between quality of teacher-child interactions and preschool children’s school readiness skills. </w:t>
      </w:r>
      <w:r w:rsidR="008863FA" w:rsidRPr="00296330">
        <w:rPr>
          <w:i/>
          <w:iCs/>
          <w:sz w:val="22"/>
          <w:szCs w:val="22"/>
        </w:rPr>
        <w:t>Early Childhood Research Quarterly,</w:t>
      </w:r>
      <w:r w:rsidR="008863FA" w:rsidRPr="00296330">
        <w:rPr>
          <w:sz w:val="22"/>
          <w:szCs w:val="22"/>
        </w:rPr>
        <w:t xml:space="preserve"> </w:t>
      </w:r>
      <w:r w:rsidR="008863FA" w:rsidRPr="00296330">
        <w:rPr>
          <w:i/>
          <w:iCs/>
          <w:sz w:val="22"/>
          <w:szCs w:val="22"/>
        </w:rPr>
        <w:t>36</w:t>
      </w:r>
      <w:r w:rsidR="008863FA" w:rsidRPr="00296330">
        <w:rPr>
          <w:sz w:val="22"/>
          <w:szCs w:val="22"/>
        </w:rPr>
        <w:t xml:space="preserve">(3), 561-571. </w:t>
      </w:r>
      <w:hyperlink r:id="rId19" w:history="1">
        <w:r w:rsidR="00A37785" w:rsidRPr="00296330">
          <w:rPr>
            <w:rStyle w:val="Hyperlink"/>
            <w:sz w:val="22"/>
            <w:szCs w:val="22"/>
          </w:rPr>
          <w:t>https://doi.org/10.1016/j.ecresq.2015.09.005.</w:t>
        </w:r>
      </w:hyperlink>
      <w:r w:rsidR="00BF062E" w:rsidRPr="00296330">
        <w:rPr>
          <w:color w:val="0432FF"/>
          <w:sz w:val="22"/>
          <w:szCs w:val="22"/>
        </w:rPr>
        <w:t xml:space="preserve"> </w:t>
      </w:r>
      <w:r w:rsidR="00040719" w:rsidRPr="00296330">
        <w:rPr>
          <w:sz w:val="22"/>
          <w:szCs w:val="22"/>
        </w:rPr>
        <w:t xml:space="preserve"> </w:t>
      </w:r>
    </w:p>
    <w:p w14:paraId="7513C98B" w14:textId="35F331E8" w:rsidR="00C63C27" w:rsidRPr="008E55B2" w:rsidRDefault="00C63C27">
      <w:pPr>
        <w:pBdr>
          <w:top w:val="nil"/>
          <w:left w:val="nil"/>
          <w:bottom w:val="nil"/>
          <w:right w:val="nil"/>
          <w:between w:val="nil"/>
        </w:pBdr>
        <w:spacing w:line="480" w:lineRule="auto"/>
        <w:ind w:left="720" w:hanging="720"/>
        <w:rPr>
          <w:sz w:val="22"/>
          <w:szCs w:val="22"/>
        </w:rPr>
      </w:pPr>
      <w:proofErr w:type="spellStart"/>
      <w:r w:rsidRPr="008E55B2">
        <w:rPr>
          <w:sz w:val="22"/>
          <w:szCs w:val="22"/>
        </w:rPr>
        <w:t>Issa</w:t>
      </w:r>
      <w:proofErr w:type="spellEnd"/>
      <w:r w:rsidRPr="008E55B2">
        <w:rPr>
          <w:sz w:val="22"/>
          <w:szCs w:val="22"/>
        </w:rPr>
        <w:t xml:space="preserve">, N. (2019, December 16). New state commission to examine early childhood education funding. </w:t>
      </w:r>
      <w:r w:rsidRPr="008E55B2">
        <w:rPr>
          <w:i/>
          <w:iCs/>
          <w:sz w:val="22"/>
          <w:szCs w:val="22"/>
        </w:rPr>
        <w:t>Chicago Sun-Times.</w:t>
      </w:r>
      <w:r w:rsidRPr="008E55B2">
        <w:rPr>
          <w:sz w:val="22"/>
          <w:szCs w:val="22"/>
        </w:rPr>
        <w:t xml:space="preserve"> Retrieved from </w:t>
      </w:r>
      <w:hyperlink r:id="rId20" w:history="1">
        <w:r w:rsidRPr="008E55B2">
          <w:rPr>
            <w:rStyle w:val="Hyperlink"/>
            <w:sz w:val="22"/>
            <w:szCs w:val="22"/>
          </w:rPr>
          <w:t>https://chicago.suntimes.com/</w:t>
        </w:r>
      </w:hyperlink>
      <w:r w:rsidRPr="008E55B2">
        <w:rPr>
          <w:sz w:val="22"/>
          <w:szCs w:val="22"/>
        </w:rPr>
        <w:t xml:space="preserve">. </w:t>
      </w:r>
    </w:p>
    <w:p w14:paraId="6D9831A5" w14:textId="679A6BAB" w:rsidR="001B43D6" w:rsidRPr="00296330" w:rsidRDefault="00C63C27">
      <w:pPr>
        <w:spacing w:line="480" w:lineRule="auto"/>
        <w:ind w:left="720" w:hanging="720"/>
        <w:rPr>
          <w:color w:val="000000"/>
          <w:sz w:val="22"/>
          <w:szCs w:val="22"/>
        </w:rPr>
      </w:pPr>
      <w:r w:rsidRPr="00296330">
        <w:rPr>
          <w:color w:val="000000"/>
          <w:sz w:val="22"/>
          <w:szCs w:val="22"/>
        </w:rPr>
        <w:t xml:space="preserve">Malik, R., Hamm, K., </w:t>
      </w:r>
      <w:proofErr w:type="spellStart"/>
      <w:r w:rsidRPr="00296330">
        <w:rPr>
          <w:color w:val="000000"/>
          <w:sz w:val="22"/>
          <w:szCs w:val="22"/>
        </w:rPr>
        <w:t>Schochet</w:t>
      </w:r>
      <w:proofErr w:type="spellEnd"/>
      <w:r w:rsidRPr="00296330">
        <w:rPr>
          <w:color w:val="000000"/>
          <w:sz w:val="22"/>
          <w:szCs w:val="22"/>
        </w:rPr>
        <w:t xml:space="preserve">, L., </w:t>
      </w:r>
      <w:proofErr w:type="spellStart"/>
      <w:r w:rsidRPr="00296330">
        <w:rPr>
          <w:color w:val="000000"/>
          <w:sz w:val="22"/>
          <w:szCs w:val="22"/>
        </w:rPr>
        <w:t>Novoa</w:t>
      </w:r>
      <w:proofErr w:type="spellEnd"/>
      <w:r w:rsidRPr="00296330">
        <w:rPr>
          <w:color w:val="000000"/>
          <w:sz w:val="22"/>
          <w:szCs w:val="22"/>
        </w:rPr>
        <w:t>, C., Workman, S., &amp; Jessen-Howard, S. (2018). America’s child care deserts in 2018. Washington DC</w:t>
      </w:r>
      <w:r w:rsidR="008863FA" w:rsidRPr="00296330">
        <w:rPr>
          <w:color w:val="000000"/>
          <w:sz w:val="22"/>
          <w:szCs w:val="22"/>
        </w:rPr>
        <w:t>.</w:t>
      </w:r>
      <w:r w:rsidRPr="00296330">
        <w:rPr>
          <w:color w:val="000000"/>
          <w:sz w:val="22"/>
          <w:szCs w:val="22"/>
        </w:rPr>
        <w:t xml:space="preserve"> Retrieved from </w:t>
      </w:r>
      <w:hyperlink r:id="rId21" w:history="1">
        <w:r w:rsidR="00BF062E" w:rsidRPr="00296330">
          <w:rPr>
            <w:rStyle w:val="Hyperlink"/>
            <w:sz w:val="22"/>
            <w:szCs w:val="22"/>
          </w:rPr>
          <w:t>https://www.americanprogress.org/issues/earlychildhood/reports/2018/12/06/461643/americas-child-care-deserts-2018</w:t>
        </w:r>
      </w:hyperlink>
      <w:r w:rsidR="00BF062E" w:rsidRPr="00296330">
        <w:rPr>
          <w:color w:val="000000"/>
          <w:sz w:val="22"/>
          <w:szCs w:val="22"/>
        </w:rPr>
        <w:t xml:space="preserve">.  </w:t>
      </w:r>
    </w:p>
    <w:p w14:paraId="62977262" w14:textId="4C32E01C" w:rsidR="001B43D6" w:rsidRPr="00296330" w:rsidRDefault="001B43D6">
      <w:pPr>
        <w:spacing w:line="480" w:lineRule="auto"/>
        <w:ind w:left="720" w:hanging="720"/>
        <w:rPr>
          <w:color w:val="000000"/>
          <w:sz w:val="22"/>
          <w:szCs w:val="22"/>
        </w:rPr>
      </w:pPr>
      <w:r w:rsidRPr="00296330">
        <w:rPr>
          <w:sz w:val="22"/>
          <w:szCs w:val="22"/>
        </w:rPr>
        <w:t xml:space="preserve">Meek, S., Smith, L., Allen, R., Catherine, E., </w:t>
      </w:r>
      <w:proofErr w:type="spellStart"/>
      <w:r w:rsidRPr="00296330">
        <w:rPr>
          <w:sz w:val="22"/>
          <w:szCs w:val="22"/>
        </w:rPr>
        <w:t>Edyburn</w:t>
      </w:r>
      <w:proofErr w:type="spellEnd"/>
      <w:r w:rsidRPr="00296330">
        <w:rPr>
          <w:sz w:val="22"/>
          <w:szCs w:val="22"/>
        </w:rPr>
        <w:t xml:space="preserve">, K., Williams, C., </w:t>
      </w:r>
      <w:r w:rsidR="00470FCF">
        <w:rPr>
          <w:sz w:val="22"/>
          <w:szCs w:val="22"/>
        </w:rPr>
        <w:t>…</w:t>
      </w:r>
      <w:r w:rsidRPr="00296330">
        <w:rPr>
          <w:sz w:val="22"/>
          <w:szCs w:val="22"/>
        </w:rPr>
        <w:t xml:space="preserve"> </w:t>
      </w:r>
      <w:proofErr w:type="spellStart"/>
      <w:r w:rsidRPr="00296330">
        <w:rPr>
          <w:sz w:val="22"/>
          <w:szCs w:val="22"/>
        </w:rPr>
        <w:t>Pontier</w:t>
      </w:r>
      <w:proofErr w:type="spellEnd"/>
      <w:r w:rsidRPr="00296330">
        <w:rPr>
          <w:sz w:val="22"/>
          <w:szCs w:val="22"/>
        </w:rPr>
        <w:t xml:space="preserve">, R. (2020). </w:t>
      </w:r>
      <w:r w:rsidRPr="00296330">
        <w:rPr>
          <w:i/>
          <w:iCs/>
          <w:sz w:val="22"/>
          <w:szCs w:val="22"/>
        </w:rPr>
        <w:t>Start with Equity: From the Early Years to the Early Grades.</w:t>
      </w:r>
      <w:r w:rsidRPr="00296330">
        <w:rPr>
          <w:sz w:val="22"/>
          <w:szCs w:val="22"/>
        </w:rPr>
        <w:t xml:space="preserve"> Children’s Equity Project and Bipartisan Policy Center. Retrieved from </w:t>
      </w:r>
      <w:hyperlink r:id="rId22" w:history="1">
        <w:r w:rsidRPr="004B538D">
          <w:rPr>
            <w:color w:val="0000FF"/>
            <w:sz w:val="22"/>
            <w:szCs w:val="22"/>
            <w:u w:val="single"/>
          </w:rPr>
          <w:t>https://childandfamilysuccess.asu.edu/cep/start-with-equity</w:t>
        </w:r>
      </w:hyperlink>
      <w:r w:rsidRPr="004B538D">
        <w:rPr>
          <w:sz w:val="22"/>
          <w:szCs w:val="22"/>
        </w:rPr>
        <w:t xml:space="preserve">. </w:t>
      </w:r>
    </w:p>
    <w:p w14:paraId="42FC1CEE" w14:textId="77777777" w:rsidR="008E55B2" w:rsidRDefault="00C63C27" w:rsidP="008E55B2">
      <w:pPr>
        <w:spacing w:line="480" w:lineRule="auto"/>
        <w:ind w:left="720" w:hanging="720"/>
        <w:rPr>
          <w:sz w:val="22"/>
          <w:szCs w:val="22"/>
        </w:rPr>
      </w:pPr>
      <w:r w:rsidRPr="00F563C9">
        <w:rPr>
          <w:sz w:val="22"/>
          <w:szCs w:val="22"/>
        </w:rPr>
        <w:t xml:space="preserve">National Survey of Children’s Health. (2016). </w:t>
      </w:r>
      <w:r w:rsidRPr="00F563C9">
        <w:rPr>
          <w:sz w:val="22"/>
          <w:szCs w:val="22"/>
          <w:highlight w:val="white"/>
        </w:rPr>
        <w:t xml:space="preserve">Retrieved from </w:t>
      </w:r>
      <w:hyperlink r:id="rId23" w:history="1">
        <w:r w:rsidR="001B43D6" w:rsidRPr="00296330">
          <w:rPr>
            <w:rStyle w:val="Hyperlink"/>
            <w:sz w:val="22"/>
            <w:szCs w:val="22"/>
            <w:highlight w:val="white"/>
          </w:rPr>
          <w:t>https://www.childhealthdata.org/learn-about-the-nsch/NS</w:t>
        </w:r>
        <w:r w:rsidR="001B43D6" w:rsidRPr="00296330">
          <w:rPr>
            <w:rStyle w:val="Hyperlink"/>
            <w:sz w:val="22"/>
            <w:szCs w:val="22"/>
          </w:rPr>
          <w:t>CH</w:t>
        </w:r>
      </w:hyperlink>
      <w:r w:rsidR="001B43D6" w:rsidRPr="00296330">
        <w:rPr>
          <w:color w:val="006ACC"/>
          <w:sz w:val="22"/>
          <w:szCs w:val="22"/>
          <w:u w:val="single"/>
        </w:rPr>
        <w:t xml:space="preserve">. </w:t>
      </w:r>
    </w:p>
    <w:p w14:paraId="1E902CF4" w14:textId="60C00E94" w:rsidR="00053CD7" w:rsidRPr="00296330" w:rsidRDefault="00C63C27" w:rsidP="008E55B2">
      <w:pPr>
        <w:spacing w:line="480" w:lineRule="auto"/>
        <w:ind w:left="720" w:hanging="720"/>
        <w:rPr>
          <w:sz w:val="22"/>
          <w:szCs w:val="22"/>
        </w:rPr>
      </w:pPr>
      <w:r w:rsidRPr="00296330">
        <w:rPr>
          <w:sz w:val="22"/>
          <w:szCs w:val="22"/>
        </w:rPr>
        <w:lastRenderedPageBreak/>
        <w:t xml:space="preserve">Padilla, C. M., Loomis, A. M., Davis, A., </w:t>
      </w:r>
      <w:proofErr w:type="spellStart"/>
      <w:r w:rsidRPr="00296330">
        <w:rPr>
          <w:sz w:val="22"/>
          <w:szCs w:val="22"/>
        </w:rPr>
        <w:t>Cruden</w:t>
      </w:r>
      <w:proofErr w:type="spellEnd"/>
      <w:r w:rsidRPr="00296330">
        <w:rPr>
          <w:sz w:val="22"/>
          <w:szCs w:val="22"/>
        </w:rPr>
        <w:t xml:space="preserve">, G., &amp; </w:t>
      </w:r>
      <w:proofErr w:type="spellStart"/>
      <w:r w:rsidRPr="00296330">
        <w:rPr>
          <w:sz w:val="22"/>
          <w:szCs w:val="22"/>
        </w:rPr>
        <w:t>Drazen</w:t>
      </w:r>
      <w:proofErr w:type="spellEnd"/>
      <w:r w:rsidRPr="00296330">
        <w:rPr>
          <w:sz w:val="22"/>
          <w:szCs w:val="22"/>
        </w:rPr>
        <w:t xml:space="preserve">, Y. (2020, June). </w:t>
      </w:r>
      <w:r w:rsidRPr="00296330">
        <w:rPr>
          <w:i/>
          <w:sz w:val="22"/>
          <w:szCs w:val="22"/>
        </w:rPr>
        <w:t>A Policy Scan and Qualitative Analysis of State Legislation Limiting Preschool Exclusionary Discipline.</w:t>
      </w:r>
      <w:r w:rsidRPr="00296330">
        <w:rPr>
          <w:sz w:val="22"/>
          <w:szCs w:val="22"/>
        </w:rPr>
        <w:t xml:space="preserve"> Paper </w:t>
      </w:r>
      <w:r w:rsidR="00E83051">
        <w:rPr>
          <w:sz w:val="22"/>
          <w:szCs w:val="22"/>
        </w:rPr>
        <w:t>accepted to</w:t>
      </w:r>
      <w:r w:rsidRPr="00296330">
        <w:rPr>
          <w:sz w:val="22"/>
          <w:szCs w:val="22"/>
        </w:rPr>
        <w:t xml:space="preserve"> the National Research Conference on Early Childhood, Washington, D.C.</w:t>
      </w:r>
    </w:p>
    <w:p w14:paraId="14DBEFDF" w14:textId="77777777" w:rsidR="00C63C27" w:rsidRPr="00470FCF" w:rsidRDefault="00C63C27">
      <w:pPr>
        <w:spacing w:line="480" w:lineRule="auto"/>
        <w:ind w:left="720" w:hanging="720"/>
        <w:rPr>
          <w:sz w:val="22"/>
          <w:szCs w:val="22"/>
        </w:rPr>
      </w:pPr>
      <w:r w:rsidRPr="00470FCF">
        <w:rPr>
          <w:sz w:val="22"/>
          <w:szCs w:val="22"/>
          <w:shd w:val="clear" w:color="auto" w:fill="FFFFFF"/>
        </w:rPr>
        <w:t xml:space="preserve">Perry, D. F., Holland, C., Darling-Kuria, N., &amp; </w:t>
      </w:r>
      <w:proofErr w:type="spellStart"/>
      <w:r w:rsidRPr="00470FCF">
        <w:rPr>
          <w:sz w:val="22"/>
          <w:szCs w:val="22"/>
          <w:shd w:val="clear" w:color="auto" w:fill="FFFFFF"/>
        </w:rPr>
        <w:t>Nadiv</w:t>
      </w:r>
      <w:proofErr w:type="spellEnd"/>
      <w:r w:rsidRPr="00470FCF">
        <w:rPr>
          <w:sz w:val="22"/>
          <w:szCs w:val="22"/>
          <w:shd w:val="clear" w:color="auto" w:fill="FFFFFF"/>
        </w:rPr>
        <w:t>, S. (2011). Challenging Behavior and Expulsion from Child Care: The Role of Mental Health Consultation. </w:t>
      </w:r>
      <w:r w:rsidRPr="00470FCF">
        <w:rPr>
          <w:i/>
          <w:iCs/>
          <w:sz w:val="22"/>
          <w:szCs w:val="22"/>
          <w:shd w:val="clear" w:color="auto" w:fill="FFFFFF"/>
        </w:rPr>
        <w:t>Zero to Three (J)</w:t>
      </w:r>
      <w:r w:rsidRPr="00470FCF">
        <w:rPr>
          <w:sz w:val="22"/>
          <w:szCs w:val="22"/>
          <w:shd w:val="clear" w:color="auto" w:fill="FFFFFF"/>
        </w:rPr>
        <w:t>, </w:t>
      </w:r>
      <w:r w:rsidRPr="00470FCF">
        <w:rPr>
          <w:i/>
          <w:iCs/>
          <w:sz w:val="22"/>
          <w:szCs w:val="22"/>
          <w:shd w:val="clear" w:color="auto" w:fill="FFFFFF"/>
        </w:rPr>
        <w:t>32</w:t>
      </w:r>
      <w:r w:rsidRPr="00470FCF">
        <w:rPr>
          <w:sz w:val="22"/>
          <w:szCs w:val="22"/>
          <w:shd w:val="clear" w:color="auto" w:fill="FFFFFF"/>
        </w:rPr>
        <w:t>(2), 4-11.</w:t>
      </w:r>
    </w:p>
    <w:p w14:paraId="548DEE1D" w14:textId="341601B6" w:rsidR="00C63C27" w:rsidRPr="00296330" w:rsidRDefault="00C63C27">
      <w:pPr>
        <w:spacing w:line="480" w:lineRule="auto"/>
        <w:ind w:left="720" w:hanging="720"/>
        <w:rPr>
          <w:sz w:val="22"/>
          <w:szCs w:val="22"/>
          <w:highlight w:val="white"/>
        </w:rPr>
      </w:pPr>
      <w:r w:rsidRPr="00470FCF">
        <w:rPr>
          <w:sz w:val="22"/>
          <w:szCs w:val="22"/>
          <w:highlight w:val="white"/>
        </w:rPr>
        <w:t xml:space="preserve">Raffaele Mendez, L. M. (2003). Predictors of suspension and negative school outcomes: A </w:t>
      </w:r>
      <w:r w:rsidRPr="00296330">
        <w:rPr>
          <w:sz w:val="22"/>
          <w:szCs w:val="22"/>
          <w:highlight w:val="white"/>
        </w:rPr>
        <w:t>longitudinal investigation. </w:t>
      </w:r>
      <w:r w:rsidRPr="00296330">
        <w:rPr>
          <w:i/>
          <w:sz w:val="22"/>
          <w:szCs w:val="22"/>
          <w:highlight w:val="white"/>
        </w:rPr>
        <w:t>New Directions for Youth Development</w:t>
      </w:r>
      <w:r w:rsidR="00F563C9">
        <w:rPr>
          <w:i/>
          <w:sz w:val="22"/>
          <w:szCs w:val="22"/>
          <w:highlight w:val="white"/>
        </w:rPr>
        <w:t>,</w:t>
      </w:r>
      <w:r w:rsidRPr="00296330">
        <w:rPr>
          <w:sz w:val="22"/>
          <w:szCs w:val="22"/>
          <w:highlight w:val="white"/>
        </w:rPr>
        <w:t> </w:t>
      </w:r>
      <w:r w:rsidRPr="00F563C9">
        <w:rPr>
          <w:i/>
          <w:iCs/>
          <w:sz w:val="22"/>
          <w:szCs w:val="22"/>
          <w:highlight w:val="white"/>
        </w:rPr>
        <w:t>99</w:t>
      </w:r>
      <w:r w:rsidR="00F563C9">
        <w:rPr>
          <w:sz w:val="22"/>
          <w:szCs w:val="22"/>
          <w:highlight w:val="white"/>
        </w:rPr>
        <w:t xml:space="preserve">, </w:t>
      </w:r>
      <w:r w:rsidRPr="00296330">
        <w:rPr>
          <w:sz w:val="22"/>
          <w:szCs w:val="22"/>
          <w:highlight w:val="white"/>
        </w:rPr>
        <w:t xml:space="preserve">17-33. </w:t>
      </w:r>
      <w:r w:rsidRPr="00296330">
        <w:rPr>
          <w:sz w:val="22"/>
          <w:szCs w:val="22"/>
        </w:rPr>
        <w:t xml:space="preserve">doi:10.1002/yd.52. </w:t>
      </w:r>
    </w:p>
    <w:p w14:paraId="0E4DEAB8" w14:textId="77777777" w:rsidR="00727DE6" w:rsidRPr="00296330" w:rsidRDefault="00C63C27">
      <w:pPr>
        <w:spacing w:line="480" w:lineRule="auto"/>
        <w:ind w:left="720" w:hanging="720"/>
        <w:rPr>
          <w:sz w:val="22"/>
          <w:szCs w:val="22"/>
        </w:rPr>
      </w:pPr>
      <w:proofErr w:type="spellStart"/>
      <w:r w:rsidRPr="00296330">
        <w:rPr>
          <w:sz w:val="22"/>
          <w:szCs w:val="22"/>
        </w:rPr>
        <w:t>Skiba</w:t>
      </w:r>
      <w:proofErr w:type="spellEnd"/>
      <w:r w:rsidRPr="00296330">
        <w:rPr>
          <w:sz w:val="22"/>
          <w:szCs w:val="22"/>
        </w:rPr>
        <w:t xml:space="preserve">, R.J., &amp; </w:t>
      </w:r>
      <w:proofErr w:type="spellStart"/>
      <w:r w:rsidRPr="00296330">
        <w:rPr>
          <w:sz w:val="22"/>
          <w:szCs w:val="22"/>
        </w:rPr>
        <w:t>Knesting</w:t>
      </w:r>
      <w:proofErr w:type="spellEnd"/>
      <w:r w:rsidRPr="00296330">
        <w:rPr>
          <w:sz w:val="22"/>
          <w:szCs w:val="22"/>
        </w:rPr>
        <w:t xml:space="preserve">, K. (2001). Zero tolerance, zero evidence: An analysis of school disciplinary practice. In R.J. </w:t>
      </w:r>
      <w:proofErr w:type="spellStart"/>
      <w:r w:rsidRPr="00296330">
        <w:rPr>
          <w:sz w:val="22"/>
          <w:szCs w:val="22"/>
        </w:rPr>
        <w:t>Skiba</w:t>
      </w:r>
      <w:proofErr w:type="spellEnd"/>
      <w:r w:rsidRPr="00296330">
        <w:rPr>
          <w:sz w:val="22"/>
          <w:szCs w:val="22"/>
        </w:rPr>
        <w:t xml:space="preserve"> &amp; G.G. Noam (Eds.) </w:t>
      </w:r>
      <w:r w:rsidRPr="00296330">
        <w:rPr>
          <w:i/>
          <w:sz w:val="22"/>
          <w:szCs w:val="22"/>
        </w:rPr>
        <w:t>New directions for youth development</w:t>
      </w:r>
      <w:r w:rsidRPr="00296330">
        <w:rPr>
          <w:sz w:val="22"/>
          <w:szCs w:val="22"/>
        </w:rPr>
        <w:t xml:space="preserve"> (pp. 17-43). </w:t>
      </w:r>
      <w:r w:rsidR="00727DE6" w:rsidRPr="00296330">
        <w:rPr>
          <w:sz w:val="22"/>
          <w:szCs w:val="22"/>
        </w:rPr>
        <w:t xml:space="preserve">San Francisco, CA: </w:t>
      </w:r>
      <w:proofErr w:type="spellStart"/>
      <w:r w:rsidR="00727DE6" w:rsidRPr="00296330">
        <w:rPr>
          <w:sz w:val="22"/>
          <w:szCs w:val="22"/>
        </w:rPr>
        <w:t>Jossey</w:t>
      </w:r>
      <w:proofErr w:type="spellEnd"/>
      <w:r w:rsidR="00727DE6" w:rsidRPr="00296330">
        <w:rPr>
          <w:sz w:val="22"/>
          <w:szCs w:val="22"/>
        </w:rPr>
        <w:t xml:space="preserve">-Bass. </w:t>
      </w:r>
    </w:p>
    <w:p w14:paraId="6999309C" w14:textId="77777777" w:rsidR="00006D74" w:rsidRPr="00296330" w:rsidRDefault="00727DE6">
      <w:pPr>
        <w:spacing w:line="480" w:lineRule="auto"/>
        <w:ind w:left="720" w:hanging="720"/>
        <w:rPr>
          <w:sz w:val="22"/>
          <w:szCs w:val="22"/>
        </w:rPr>
      </w:pPr>
      <w:r w:rsidRPr="00296330">
        <w:rPr>
          <w:sz w:val="22"/>
          <w:szCs w:val="22"/>
        </w:rPr>
        <w:t xml:space="preserve">Southward, L. H., Blanchard, T., Costello, H., Hanna, H., &amp; </w:t>
      </w:r>
      <w:proofErr w:type="spellStart"/>
      <w:r w:rsidRPr="00296330">
        <w:rPr>
          <w:sz w:val="22"/>
          <w:szCs w:val="22"/>
        </w:rPr>
        <w:t>Buffum</w:t>
      </w:r>
      <w:proofErr w:type="spellEnd"/>
      <w:r w:rsidRPr="00296330">
        <w:rPr>
          <w:sz w:val="22"/>
          <w:szCs w:val="22"/>
        </w:rPr>
        <w:t xml:space="preserve">, L. (2006). </w:t>
      </w:r>
      <w:r w:rsidRPr="00296330">
        <w:rPr>
          <w:i/>
          <w:sz w:val="22"/>
          <w:szCs w:val="22"/>
        </w:rPr>
        <w:t>Economic volatility and expulsion in U.S. child care settings: A multi-state survey.</w:t>
      </w:r>
      <w:r w:rsidRPr="00296330">
        <w:rPr>
          <w:sz w:val="22"/>
          <w:szCs w:val="22"/>
        </w:rPr>
        <w:t xml:space="preserve"> Mississippi State, MS: Family and Children Research Unit.</w:t>
      </w:r>
    </w:p>
    <w:p w14:paraId="65EC48E7" w14:textId="1AED2724" w:rsidR="00006D74" w:rsidRPr="00296330" w:rsidRDefault="00006D74">
      <w:pPr>
        <w:spacing w:line="480" w:lineRule="auto"/>
        <w:ind w:left="720" w:hanging="720"/>
        <w:rPr>
          <w:sz w:val="22"/>
          <w:szCs w:val="22"/>
        </w:rPr>
      </w:pPr>
      <w:r w:rsidRPr="00F563C9">
        <w:rPr>
          <w:sz w:val="22"/>
          <w:szCs w:val="22"/>
          <w:shd w:val="clear" w:color="auto" w:fill="FFFFFF"/>
        </w:rPr>
        <w:t>Syed, M., &amp; Nelson, S. C. (2015). Guidelines for Establishing Reliability When Coding Narrative Data. </w:t>
      </w:r>
      <w:r w:rsidRPr="00F563C9">
        <w:rPr>
          <w:i/>
          <w:iCs/>
          <w:sz w:val="22"/>
          <w:szCs w:val="22"/>
          <w:shd w:val="clear" w:color="auto" w:fill="FFFFFF"/>
        </w:rPr>
        <w:t>Emerging Adulthood</w:t>
      </w:r>
      <w:r w:rsidRPr="00F563C9">
        <w:rPr>
          <w:sz w:val="22"/>
          <w:szCs w:val="22"/>
          <w:shd w:val="clear" w:color="auto" w:fill="FFFFFF"/>
        </w:rPr>
        <w:t>, </w:t>
      </w:r>
      <w:r w:rsidRPr="00F563C9">
        <w:rPr>
          <w:i/>
          <w:iCs/>
          <w:sz w:val="22"/>
          <w:szCs w:val="22"/>
          <w:shd w:val="clear" w:color="auto" w:fill="FFFFFF"/>
        </w:rPr>
        <w:t>3</w:t>
      </w:r>
      <w:r w:rsidRPr="00F563C9">
        <w:rPr>
          <w:sz w:val="22"/>
          <w:szCs w:val="22"/>
          <w:shd w:val="clear" w:color="auto" w:fill="FFFFFF"/>
        </w:rPr>
        <w:t>(6), 375–387. </w:t>
      </w:r>
      <w:hyperlink r:id="rId24" w:history="1">
        <w:r w:rsidRPr="004B538D">
          <w:rPr>
            <w:rStyle w:val="Hyperlink"/>
            <w:color w:val="006ACC"/>
            <w:sz w:val="22"/>
            <w:szCs w:val="22"/>
            <w:shd w:val="clear" w:color="auto" w:fill="FFFFFF"/>
          </w:rPr>
          <w:t>https://doi.org/10.1177/2167696815587648</w:t>
        </w:r>
      </w:hyperlink>
      <w:r w:rsidRPr="00296330">
        <w:rPr>
          <w:sz w:val="22"/>
          <w:szCs w:val="22"/>
        </w:rPr>
        <w:t xml:space="preserve">. </w:t>
      </w:r>
    </w:p>
    <w:p w14:paraId="3F72D3F0" w14:textId="4917B34B" w:rsidR="00C63C27" w:rsidRPr="00431F94" w:rsidRDefault="00C63C27" w:rsidP="00431F94">
      <w:pPr>
        <w:pBdr>
          <w:top w:val="nil"/>
          <w:left w:val="nil"/>
          <w:bottom w:val="nil"/>
          <w:right w:val="nil"/>
          <w:between w:val="nil"/>
        </w:pBdr>
        <w:spacing w:line="480" w:lineRule="auto"/>
        <w:ind w:left="720" w:hanging="720"/>
        <w:rPr>
          <w:color w:val="000000"/>
          <w:sz w:val="22"/>
          <w:szCs w:val="22"/>
        </w:rPr>
      </w:pPr>
      <w:r w:rsidRPr="00296330">
        <w:rPr>
          <w:color w:val="000000"/>
          <w:sz w:val="22"/>
          <w:szCs w:val="22"/>
        </w:rPr>
        <w:t xml:space="preserve">U.S. </w:t>
      </w:r>
      <w:r w:rsidR="00F563C9">
        <w:rPr>
          <w:color w:val="000000"/>
          <w:sz w:val="22"/>
          <w:szCs w:val="22"/>
        </w:rPr>
        <w:t>D</w:t>
      </w:r>
      <w:r w:rsidR="00431F94">
        <w:rPr>
          <w:color w:val="000000"/>
          <w:sz w:val="22"/>
          <w:szCs w:val="22"/>
        </w:rPr>
        <w:t>epartments of Education</w:t>
      </w:r>
      <w:r w:rsidRPr="00296330">
        <w:rPr>
          <w:color w:val="000000"/>
          <w:sz w:val="22"/>
          <w:szCs w:val="22"/>
        </w:rPr>
        <w:t xml:space="preserve"> </w:t>
      </w:r>
      <w:r w:rsidR="00431F94">
        <w:rPr>
          <w:color w:val="000000"/>
          <w:sz w:val="22"/>
          <w:szCs w:val="22"/>
        </w:rPr>
        <w:t xml:space="preserve">and </w:t>
      </w:r>
      <w:r w:rsidR="00F563C9">
        <w:rPr>
          <w:color w:val="000000"/>
          <w:sz w:val="22"/>
          <w:szCs w:val="22"/>
        </w:rPr>
        <w:t>H</w:t>
      </w:r>
      <w:r w:rsidR="00431F94">
        <w:rPr>
          <w:color w:val="000000"/>
          <w:sz w:val="22"/>
          <w:szCs w:val="22"/>
        </w:rPr>
        <w:t>ealth &amp; Human Services.</w:t>
      </w:r>
      <w:r w:rsidRPr="00296330">
        <w:rPr>
          <w:color w:val="000000"/>
          <w:sz w:val="22"/>
          <w:szCs w:val="22"/>
        </w:rPr>
        <w:t xml:space="preserve"> (2014). </w:t>
      </w:r>
      <w:r w:rsidRPr="00296330">
        <w:rPr>
          <w:i/>
          <w:color w:val="000000"/>
          <w:sz w:val="22"/>
          <w:szCs w:val="22"/>
        </w:rPr>
        <w:t xml:space="preserve">Policy statement on expulsion and suspension policies in early childhood settings. </w:t>
      </w:r>
      <w:r w:rsidRPr="00296330">
        <w:rPr>
          <w:color w:val="000000"/>
          <w:sz w:val="22"/>
          <w:szCs w:val="22"/>
        </w:rPr>
        <w:t xml:space="preserve">Retrieved from </w:t>
      </w:r>
      <w:hyperlink r:id="rId25">
        <w:r w:rsidRPr="00296330">
          <w:rPr>
            <w:color w:val="1155CC"/>
            <w:sz w:val="22"/>
            <w:szCs w:val="22"/>
            <w:u w:val="single"/>
          </w:rPr>
          <w:t>https://www2.ed.gov</w:t>
        </w:r>
      </w:hyperlink>
      <w:r w:rsidR="00CA139E">
        <w:rPr>
          <w:color w:val="1155CC"/>
          <w:sz w:val="22"/>
          <w:szCs w:val="22"/>
          <w:u w:val="single"/>
        </w:rPr>
        <w:t xml:space="preserve">. </w:t>
      </w:r>
    </w:p>
    <w:p w14:paraId="4039E525" w14:textId="58AC680B" w:rsidR="00C63C27" w:rsidRPr="00296330" w:rsidRDefault="00C63C27">
      <w:pPr>
        <w:pBdr>
          <w:top w:val="nil"/>
          <w:left w:val="nil"/>
          <w:bottom w:val="nil"/>
          <w:right w:val="nil"/>
          <w:between w:val="nil"/>
        </w:pBdr>
        <w:spacing w:line="480" w:lineRule="auto"/>
        <w:ind w:left="720" w:hanging="720"/>
        <w:rPr>
          <w:color w:val="000000"/>
          <w:sz w:val="22"/>
          <w:szCs w:val="22"/>
        </w:rPr>
      </w:pPr>
      <w:r w:rsidRPr="00296330">
        <w:rPr>
          <w:color w:val="000000"/>
          <w:sz w:val="22"/>
          <w:szCs w:val="22"/>
        </w:rPr>
        <w:t xml:space="preserve">U.S. Department of </w:t>
      </w:r>
      <w:r w:rsidR="007E3523">
        <w:rPr>
          <w:color w:val="000000"/>
          <w:sz w:val="22"/>
          <w:szCs w:val="22"/>
        </w:rPr>
        <w:t>H</w:t>
      </w:r>
      <w:r w:rsidR="003F40A5">
        <w:rPr>
          <w:color w:val="000000"/>
          <w:sz w:val="22"/>
          <w:szCs w:val="22"/>
        </w:rPr>
        <w:t>ealth and Human Services</w:t>
      </w:r>
      <w:r w:rsidR="007E3523">
        <w:rPr>
          <w:color w:val="000000"/>
          <w:sz w:val="22"/>
          <w:szCs w:val="22"/>
        </w:rPr>
        <w:t xml:space="preserve">. </w:t>
      </w:r>
      <w:r w:rsidRPr="00296330">
        <w:rPr>
          <w:color w:val="000000"/>
          <w:sz w:val="22"/>
          <w:szCs w:val="22"/>
        </w:rPr>
        <w:t xml:space="preserve">(2016). </w:t>
      </w:r>
      <w:r w:rsidRPr="00296330">
        <w:rPr>
          <w:i/>
          <w:color w:val="000000"/>
          <w:sz w:val="22"/>
          <w:szCs w:val="22"/>
        </w:rPr>
        <w:t xml:space="preserve">Administration for Children and Families Expulsion and Suspension Policy Statement. </w:t>
      </w:r>
      <w:r w:rsidRPr="00296330">
        <w:rPr>
          <w:color w:val="000000"/>
          <w:sz w:val="22"/>
          <w:szCs w:val="22"/>
        </w:rPr>
        <w:t xml:space="preserve">Retrieved from </w:t>
      </w:r>
      <w:hyperlink r:id="rId26">
        <w:r w:rsidRPr="00296330">
          <w:rPr>
            <w:color w:val="0000FF"/>
            <w:sz w:val="22"/>
            <w:szCs w:val="22"/>
            <w:u w:val="single"/>
          </w:rPr>
          <w:t>https://eclkc.ohs.acf.hhs.gov/sites/default/files/docs/policy-im/acf-im-hs-16-01-r.pdf</w:t>
        </w:r>
      </w:hyperlink>
      <w:r w:rsidRPr="00296330">
        <w:rPr>
          <w:color w:val="000000"/>
          <w:sz w:val="22"/>
          <w:szCs w:val="22"/>
        </w:rPr>
        <w:t>.</w:t>
      </w:r>
    </w:p>
    <w:p w14:paraId="22C21496" w14:textId="344020E8" w:rsidR="00C63C27" w:rsidRDefault="00C63C27" w:rsidP="00DC6EF9">
      <w:pPr>
        <w:pBdr>
          <w:top w:val="nil"/>
          <w:left w:val="nil"/>
          <w:bottom w:val="nil"/>
          <w:right w:val="nil"/>
          <w:between w:val="nil"/>
        </w:pBdr>
        <w:spacing w:line="480" w:lineRule="auto"/>
        <w:ind w:left="720" w:hanging="720"/>
        <w:rPr>
          <w:sz w:val="22"/>
          <w:szCs w:val="22"/>
        </w:rPr>
      </w:pPr>
      <w:r w:rsidRPr="00296330">
        <w:rPr>
          <w:sz w:val="22"/>
          <w:szCs w:val="22"/>
        </w:rPr>
        <w:t>Zinsser, K. M., Zulauf, C. A., Nair Das, V., &amp; Silver, H.</w:t>
      </w:r>
      <w:r w:rsidR="004B538D">
        <w:rPr>
          <w:sz w:val="22"/>
          <w:szCs w:val="22"/>
        </w:rPr>
        <w:t xml:space="preserve"> </w:t>
      </w:r>
      <w:r w:rsidRPr="00296330">
        <w:rPr>
          <w:sz w:val="22"/>
          <w:szCs w:val="22"/>
        </w:rPr>
        <w:t xml:space="preserve">C. (2017). Utilizing social-emotional learning supports to address teacher stress and preschool expulsion. </w:t>
      </w:r>
      <w:r w:rsidRPr="00296330">
        <w:rPr>
          <w:i/>
          <w:iCs/>
          <w:sz w:val="22"/>
          <w:szCs w:val="22"/>
        </w:rPr>
        <w:t>Journal of Applied Developmental Psychology</w:t>
      </w:r>
      <w:r w:rsidRPr="00296330">
        <w:rPr>
          <w:sz w:val="22"/>
          <w:szCs w:val="22"/>
        </w:rPr>
        <w:t xml:space="preserve">. </w:t>
      </w:r>
      <w:hyperlink r:id="rId27" w:history="1">
        <w:r w:rsidRPr="00296330">
          <w:rPr>
            <w:rStyle w:val="Hyperlink"/>
            <w:sz w:val="22"/>
            <w:szCs w:val="22"/>
          </w:rPr>
          <w:t>https://doi.org/10.1016/j.appdev.2017.11.006</w:t>
        </w:r>
      </w:hyperlink>
      <w:r w:rsidRPr="00296330">
        <w:rPr>
          <w:sz w:val="22"/>
          <w:szCs w:val="22"/>
        </w:rPr>
        <w:t xml:space="preserve">. </w:t>
      </w:r>
    </w:p>
    <w:p w14:paraId="4A71EE89" w14:textId="062EA46F" w:rsidR="00D73628" w:rsidRDefault="00D73628" w:rsidP="00396B82">
      <w:pPr>
        <w:pBdr>
          <w:top w:val="nil"/>
          <w:left w:val="nil"/>
          <w:bottom w:val="nil"/>
          <w:right w:val="nil"/>
          <w:between w:val="nil"/>
        </w:pBdr>
        <w:spacing w:line="480" w:lineRule="auto"/>
        <w:ind w:left="720" w:hanging="720"/>
        <w:rPr>
          <w:rFonts w:ascii="Arial" w:hAnsi="Arial" w:cs="Arial"/>
          <w:color w:val="222222"/>
          <w:sz w:val="20"/>
          <w:szCs w:val="20"/>
          <w:shd w:val="clear" w:color="auto" w:fill="FFFFFF"/>
        </w:rPr>
      </w:pPr>
      <w:r w:rsidRPr="00D73628">
        <w:rPr>
          <w:color w:val="222222"/>
          <w:szCs w:val="20"/>
          <w:shd w:val="clear" w:color="auto" w:fill="FFFFFF"/>
        </w:rPr>
        <w:t xml:space="preserve">Zeng, S., </w:t>
      </w:r>
      <w:proofErr w:type="spellStart"/>
      <w:r w:rsidRPr="00D73628">
        <w:rPr>
          <w:color w:val="222222"/>
          <w:szCs w:val="20"/>
          <w:shd w:val="clear" w:color="auto" w:fill="FFFFFF"/>
        </w:rPr>
        <w:t>Corr</w:t>
      </w:r>
      <w:proofErr w:type="spellEnd"/>
      <w:r w:rsidRPr="00D73628">
        <w:rPr>
          <w:color w:val="222222"/>
          <w:szCs w:val="20"/>
          <w:shd w:val="clear" w:color="auto" w:fill="FFFFFF"/>
        </w:rPr>
        <w:t>, C. P., O’Grady, C., &amp; Guan, Y. (2019). Adverse childhood experiences and preschool suspension expulsion: A population study. </w:t>
      </w:r>
      <w:r w:rsidRPr="00D73628">
        <w:rPr>
          <w:i/>
          <w:iCs/>
          <w:color w:val="222222"/>
          <w:szCs w:val="20"/>
          <w:shd w:val="clear" w:color="auto" w:fill="FFFFFF"/>
        </w:rPr>
        <w:t>Child abuse &amp; neglect</w:t>
      </w:r>
      <w:r w:rsidRPr="00D73628">
        <w:rPr>
          <w:color w:val="222222"/>
          <w:szCs w:val="20"/>
          <w:shd w:val="clear" w:color="auto" w:fill="FFFFFF"/>
        </w:rPr>
        <w:t>, </w:t>
      </w:r>
      <w:r w:rsidRPr="00D73628">
        <w:rPr>
          <w:i/>
          <w:iCs/>
          <w:color w:val="222222"/>
          <w:szCs w:val="20"/>
          <w:shd w:val="clear" w:color="auto" w:fill="FFFFFF"/>
        </w:rPr>
        <w:t>97</w:t>
      </w:r>
      <w:r w:rsidRPr="00D73628">
        <w:rPr>
          <w:color w:val="222222"/>
          <w:szCs w:val="20"/>
          <w:shd w:val="clear" w:color="auto" w:fill="FFFFFF"/>
        </w:rPr>
        <w:t>, 104149.</w:t>
      </w:r>
      <w:r>
        <w:rPr>
          <w:rFonts w:ascii="Arial" w:hAnsi="Arial" w:cs="Arial"/>
          <w:color w:val="222222"/>
          <w:sz w:val="20"/>
          <w:szCs w:val="20"/>
          <w:shd w:val="clear" w:color="auto" w:fill="FFFFFF"/>
        </w:rPr>
        <w:br w:type="page"/>
      </w:r>
    </w:p>
    <w:p w14:paraId="6905AD4C" w14:textId="77777777" w:rsidR="00D73628" w:rsidRPr="00296330" w:rsidRDefault="00D73628" w:rsidP="00DC6EF9">
      <w:pPr>
        <w:pBdr>
          <w:top w:val="nil"/>
          <w:left w:val="nil"/>
          <w:bottom w:val="nil"/>
          <w:right w:val="nil"/>
          <w:between w:val="nil"/>
        </w:pBdr>
        <w:spacing w:line="480" w:lineRule="auto"/>
        <w:ind w:left="720" w:hanging="720"/>
        <w:rPr>
          <w:sz w:val="22"/>
          <w:szCs w:val="22"/>
        </w:rPr>
      </w:pPr>
    </w:p>
    <w:tbl>
      <w:tblPr>
        <w:tblW w:w="8898" w:type="dxa"/>
        <w:tblLayout w:type="fixed"/>
        <w:tblLook w:val="04A0" w:firstRow="1" w:lastRow="0" w:firstColumn="1" w:lastColumn="0" w:noHBand="0" w:noVBand="1"/>
      </w:tblPr>
      <w:tblGrid>
        <w:gridCol w:w="2290"/>
        <w:gridCol w:w="1652"/>
        <w:gridCol w:w="1652"/>
        <w:gridCol w:w="1432"/>
        <w:gridCol w:w="220"/>
        <w:gridCol w:w="1652"/>
      </w:tblGrid>
      <w:tr w:rsidR="00776DFC" w:rsidRPr="00296330" w14:paraId="21F1C1FE" w14:textId="39DAC76B" w:rsidTr="002871DE">
        <w:trPr>
          <w:trHeight w:val="310"/>
        </w:trPr>
        <w:tc>
          <w:tcPr>
            <w:tcW w:w="7026" w:type="dxa"/>
            <w:gridSpan w:val="4"/>
            <w:tcBorders>
              <w:top w:val="nil"/>
              <w:left w:val="nil"/>
              <w:bottom w:val="nil"/>
              <w:right w:val="nil"/>
            </w:tcBorders>
            <w:shd w:val="clear" w:color="auto" w:fill="auto"/>
            <w:noWrap/>
            <w:vAlign w:val="bottom"/>
            <w:hideMark/>
          </w:tcPr>
          <w:p w14:paraId="1093F5E6" w14:textId="19E0AF0F" w:rsidR="00776DFC" w:rsidRPr="00296330" w:rsidRDefault="00776DFC">
            <w:pPr>
              <w:rPr>
                <w:color w:val="000000"/>
                <w:sz w:val="22"/>
                <w:szCs w:val="22"/>
              </w:rPr>
            </w:pPr>
            <w:r w:rsidRPr="00165ED3">
              <w:rPr>
                <w:color w:val="000000"/>
                <w:sz w:val="22"/>
                <w:szCs w:val="22"/>
              </w:rPr>
              <w:t>Table 1</w:t>
            </w:r>
          </w:p>
          <w:p w14:paraId="08D2673C" w14:textId="77777777" w:rsidR="00776DFC" w:rsidRPr="00296330" w:rsidRDefault="00776DFC">
            <w:pPr>
              <w:rPr>
                <w:color w:val="000000"/>
                <w:sz w:val="22"/>
                <w:szCs w:val="22"/>
              </w:rPr>
            </w:pPr>
          </w:p>
          <w:p w14:paraId="7055AD99" w14:textId="174D3AB8" w:rsidR="00776DFC" w:rsidRPr="00296330" w:rsidRDefault="00776DFC">
            <w:pPr>
              <w:rPr>
                <w:i/>
                <w:iCs/>
                <w:color w:val="000000"/>
                <w:sz w:val="22"/>
                <w:szCs w:val="22"/>
              </w:rPr>
            </w:pPr>
            <w:r w:rsidRPr="00296330">
              <w:rPr>
                <w:i/>
                <w:iCs/>
                <w:color w:val="000000"/>
                <w:sz w:val="22"/>
                <w:szCs w:val="22"/>
              </w:rPr>
              <w:t>Characteristics of Participating Programs</w:t>
            </w:r>
          </w:p>
        </w:tc>
        <w:tc>
          <w:tcPr>
            <w:tcW w:w="1872" w:type="dxa"/>
            <w:gridSpan w:val="2"/>
            <w:tcBorders>
              <w:top w:val="nil"/>
              <w:left w:val="nil"/>
              <w:bottom w:val="nil"/>
              <w:right w:val="nil"/>
            </w:tcBorders>
          </w:tcPr>
          <w:p w14:paraId="192113F0" w14:textId="77777777" w:rsidR="00776DFC" w:rsidRPr="00296330" w:rsidRDefault="00776DFC">
            <w:pPr>
              <w:rPr>
                <w:color w:val="000000"/>
                <w:sz w:val="22"/>
                <w:szCs w:val="22"/>
              </w:rPr>
            </w:pPr>
          </w:p>
        </w:tc>
      </w:tr>
      <w:tr w:rsidR="00776DFC" w:rsidRPr="00296330" w14:paraId="571C255B" w14:textId="25069D47" w:rsidTr="002871DE">
        <w:trPr>
          <w:trHeight w:val="1240"/>
        </w:trPr>
        <w:tc>
          <w:tcPr>
            <w:tcW w:w="2290" w:type="dxa"/>
            <w:tcBorders>
              <w:top w:val="single" w:sz="4" w:space="0" w:color="auto"/>
              <w:left w:val="nil"/>
              <w:bottom w:val="single" w:sz="4" w:space="0" w:color="auto"/>
              <w:right w:val="nil"/>
            </w:tcBorders>
            <w:shd w:val="clear" w:color="auto" w:fill="auto"/>
            <w:vAlign w:val="center"/>
            <w:hideMark/>
          </w:tcPr>
          <w:p w14:paraId="52ABFDF8" w14:textId="77777777" w:rsidR="00776DFC" w:rsidRPr="00296330" w:rsidRDefault="00776DFC">
            <w:pPr>
              <w:rPr>
                <w:color w:val="000000"/>
                <w:sz w:val="22"/>
                <w:szCs w:val="22"/>
              </w:rPr>
            </w:pPr>
            <w:r w:rsidRPr="00296330">
              <w:rPr>
                <w:color w:val="000000"/>
                <w:sz w:val="22"/>
                <w:szCs w:val="22"/>
              </w:rPr>
              <w:t> </w:t>
            </w:r>
          </w:p>
        </w:tc>
        <w:tc>
          <w:tcPr>
            <w:tcW w:w="1652" w:type="dxa"/>
            <w:tcBorders>
              <w:top w:val="single" w:sz="4" w:space="0" w:color="auto"/>
              <w:left w:val="nil"/>
              <w:bottom w:val="single" w:sz="4" w:space="0" w:color="auto"/>
              <w:right w:val="nil"/>
            </w:tcBorders>
            <w:shd w:val="clear" w:color="auto" w:fill="auto"/>
            <w:vAlign w:val="center"/>
            <w:hideMark/>
          </w:tcPr>
          <w:p w14:paraId="2B3B04FD" w14:textId="164688C1" w:rsidR="00776DFC" w:rsidRPr="00296330" w:rsidRDefault="00776DFC">
            <w:pPr>
              <w:jc w:val="center"/>
              <w:rPr>
                <w:color w:val="000000"/>
                <w:sz w:val="22"/>
                <w:szCs w:val="22"/>
              </w:rPr>
            </w:pPr>
            <w:r w:rsidRPr="00296330">
              <w:rPr>
                <w:color w:val="000000"/>
                <w:sz w:val="22"/>
                <w:szCs w:val="22"/>
              </w:rPr>
              <w:t>2017-2018 Survey  (N=154)</w:t>
            </w:r>
          </w:p>
        </w:tc>
        <w:tc>
          <w:tcPr>
            <w:tcW w:w="1652" w:type="dxa"/>
            <w:tcBorders>
              <w:top w:val="single" w:sz="4" w:space="0" w:color="auto"/>
              <w:left w:val="nil"/>
              <w:bottom w:val="single" w:sz="4" w:space="0" w:color="auto"/>
              <w:right w:val="nil"/>
            </w:tcBorders>
            <w:shd w:val="clear" w:color="auto" w:fill="auto"/>
            <w:vAlign w:val="center"/>
            <w:hideMark/>
          </w:tcPr>
          <w:p w14:paraId="123B14FC" w14:textId="2AF90618" w:rsidR="00776DFC" w:rsidRPr="00296330" w:rsidRDefault="00776DFC">
            <w:pPr>
              <w:jc w:val="center"/>
              <w:rPr>
                <w:color w:val="000000"/>
                <w:sz w:val="22"/>
                <w:szCs w:val="22"/>
              </w:rPr>
            </w:pPr>
            <w:r w:rsidRPr="00296330">
              <w:rPr>
                <w:color w:val="000000"/>
                <w:sz w:val="22"/>
                <w:szCs w:val="22"/>
              </w:rPr>
              <w:t>2018-2019 Survey  (N=94)</w:t>
            </w:r>
          </w:p>
        </w:tc>
        <w:tc>
          <w:tcPr>
            <w:tcW w:w="1652" w:type="dxa"/>
            <w:gridSpan w:val="2"/>
            <w:tcBorders>
              <w:top w:val="single" w:sz="4" w:space="0" w:color="auto"/>
              <w:left w:val="nil"/>
              <w:bottom w:val="single" w:sz="4" w:space="0" w:color="auto"/>
              <w:right w:val="nil"/>
            </w:tcBorders>
            <w:shd w:val="clear" w:color="auto" w:fill="auto"/>
            <w:vAlign w:val="center"/>
            <w:hideMark/>
          </w:tcPr>
          <w:p w14:paraId="7FA0CE6D" w14:textId="5A901725" w:rsidR="00776DFC" w:rsidRPr="00296330" w:rsidRDefault="00776DFC">
            <w:pPr>
              <w:jc w:val="center"/>
              <w:rPr>
                <w:color w:val="000000"/>
                <w:sz w:val="22"/>
                <w:szCs w:val="22"/>
              </w:rPr>
            </w:pPr>
            <w:r w:rsidRPr="00296330">
              <w:rPr>
                <w:color w:val="000000"/>
                <w:sz w:val="22"/>
                <w:szCs w:val="22"/>
              </w:rPr>
              <w:t>Repeat Participants</w:t>
            </w:r>
            <w:r w:rsidRPr="00296330">
              <w:rPr>
                <w:color w:val="000000"/>
                <w:sz w:val="22"/>
                <w:szCs w:val="22"/>
              </w:rPr>
              <w:br/>
              <w:t>(N=36)</w:t>
            </w:r>
          </w:p>
        </w:tc>
        <w:tc>
          <w:tcPr>
            <w:tcW w:w="1652" w:type="dxa"/>
            <w:tcBorders>
              <w:top w:val="single" w:sz="4" w:space="0" w:color="auto"/>
              <w:left w:val="nil"/>
              <w:bottom w:val="single" w:sz="4" w:space="0" w:color="auto"/>
              <w:right w:val="nil"/>
            </w:tcBorders>
            <w:vAlign w:val="center"/>
          </w:tcPr>
          <w:p w14:paraId="1E854745" w14:textId="611559F6" w:rsidR="00776DFC" w:rsidRDefault="00776DFC" w:rsidP="00776DFC">
            <w:pPr>
              <w:jc w:val="center"/>
              <w:rPr>
                <w:color w:val="000000"/>
                <w:sz w:val="22"/>
                <w:szCs w:val="22"/>
              </w:rPr>
            </w:pPr>
            <w:r>
              <w:rPr>
                <w:color w:val="000000"/>
                <w:sz w:val="22"/>
                <w:szCs w:val="22"/>
              </w:rPr>
              <w:t>2017-2018 Interview</w:t>
            </w:r>
          </w:p>
          <w:p w14:paraId="09CC8463" w14:textId="62C8D8FC" w:rsidR="00776DFC" w:rsidRPr="00296330" w:rsidRDefault="00776DFC" w:rsidP="00776DFC">
            <w:pPr>
              <w:jc w:val="center"/>
              <w:rPr>
                <w:color w:val="000000"/>
                <w:sz w:val="22"/>
                <w:szCs w:val="22"/>
              </w:rPr>
            </w:pPr>
            <w:r>
              <w:rPr>
                <w:color w:val="000000"/>
                <w:sz w:val="22"/>
                <w:szCs w:val="22"/>
              </w:rPr>
              <w:t>(N=25)</w:t>
            </w:r>
          </w:p>
        </w:tc>
      </w:tr>
      <w:tr w:rsidR="00776DFC" w:rsidRPr="00296330" w14:paraId="39376B35" w14:textId="05FF8A68" w:rsidTr="002871DE">
        <w:trPr>
          <w:trHeight w:val="310"/>
        </w:trPr>
        <w:tc>
          <w:tcPr>
            <w:tcW w:w="2290" w:type="dxa"/>
            <w:tcBorders>
              <w:top w:val="nil"/>
              <w:left w:val="nil"/>
              <w:bottom w:val="nil"/>
              <w:right w:val="nil"/>
            </w:tcBorders>
            <w:shd w:val="clear" w:color="auto" w:fill="auto"/>
            <w:vAlign w:val="center"/>
            <w:hideMark/>
          </w:tcPr>
          <w:p w14:paraId="6DD1F457" w14:textId="77777777" w:rsidR="00776DFC" w:rsidRPr="00296330" w:rsidRDefault="00776DFC">
            <w:pPr>
              <w:rPr>
                <w:b/>
                <w:bCs/>
                <w:color w:val="000000"/>
                <w:sz w:val="22"/>
                <w:szCs w:val="22"/>
              </w:rPr>
            </w:pPr>
            <w:r w:rsidRPr="00296330">
              <w:rPr>
                <w:b/>
                <w:bCs/>
                <w:color w:val="000000"/>
                <w:sz w:val="22"/>
                <w:szCs w:val="22"/>
              </w:rPr>
              <w:t>Program Type</w:t>
            </w:r>
          </w:p>
        </w:tc>
        <w:tc>
          <w:tcPr>
            <w:tcW w:w="1652" w:type="dxa"/>
            <w:tcBorders>
              <w:top w:val="nil"/>
              <w:left w:val="nil"/>
              <w:bottom w:val="nil"/>
              <w:right w:val="nil"/>
            </w:tcBorders>
            <w:shd w:val="clear" w:color="auto" w:fill="auto"/>
            <w:vAlign w:val="center"/>
            <w:hideMark/>
          </w:tcPr>
          <w:p w14:paraId="2A97971B" w14:textId="77777777" w:rsidR="00776DFC" w:rsidRPr="00296330" w:rsidRDefault="00776DFC">
            <w:pPr>
              <w:jc w:val="center"/>
              <w:rPr>
                <w:b/>
                <w:bCs/>
                <w:color w:val="000000"/>
                <w:sz w:val="22"/>
                <w:szCs w:val="22"/>
              </w:rPr>
            </w:pPr>
          </w:p>
        </w:tc>
        <w:tc>
          <w:tcPr>
            <w:tcW w:w="1652" w:type="dxa"/>
            <w:tcBorders>
              <w:top w:val="nil"/>
              <w:left w:val="nil"/>
              <w:bottom w:val="nil"/>
              <w:right w:val="nil"/>
            </w:tcBorders>
            <w:shd w:val="clear" w:color="auto" w:fill="auto"/>
            <w:vAlign w:val="center"/>
            <w:hideMark/>
          </w:tcPr>
          <w:p w14:paraId="148CB70F" w14:textId="77777777" w:rsidR="00776DFC" w:rsidRPr="00296330" w:rsidRDefault="00776DFC">
            <w:pPr>
              <w:jc w:val="center"/>
              <w:rPr>
                <w:sz w:val="22"/>
                <w:szCs w:val="22"/>
              </w:rPr>
            </w:pPr>
          </w:p>
        </w:tc>
        <w:tc>
          <w:tcPr>
            <w:tcW w:w="1652" w:type="dxa"/>
            <w:gridSpan w:val="2"/>
            <w:tcBorders>
              <w:top w:val="nil"/>
              <w:left w:val="nil"/>
              <w:bottom w:val="nil"/>
              <w:right w:val="nil"/>
            </w:tcBorders>
            <w:shd w:val="clear" w:color="auto" w:fill="auto"/>
            <w:noWrap/>
            <w:vAlign w:val="center"/>
            <w:hideMark/>
          </w:tcPr>
          <w:p w14:paraId="75578287" w14:textId="77777777" w:rsidR="00776DFC" w:rsidRPr="00296330" w:rsidRDefault="00776DFC">
            <w:pPr>
              <w:jc w:val="center"/>
              <w:rPr>
                <w:sz w:val="22"/>
                <w:szCs w:val="22"/>
              </w:rPr>
            </w:pPr>
          </w:p>
        </w:tc>
        <w:tc>
          <w:tcPr>
            <w:tcW w:w="1652" w:type="dxa"/>
            <w:tcBorders>
              <w:top w:val="nil"/>
              <w:left w:val="nil"/>
              <w:bottom w:val="nil"/>
              <w:right w:val="nil"/>
            </w:tcBorders>
          </w:tcPr>
          <w:p w14:paraId="376D735A" w14:textId="77777777" w:rsidR="00776DFC" w:rsidRPr="00296330" w:rsidRDefault="00776DFC">
            <w:pPr>
              <w:jc w:val="center"/>
              <w:rPr>
                <w:sz w:val="22"/>
                <w:szCs w:val="22"/>
              </w:rPr>
            </w:pPr>
          </w:p>
        </w:tc>
      </w:tr>
      <w:tr w:rsidR="00776DFC" w:rsidRPr="00296330" w14:paraId="60B9963C" w14:textId="7CEF06AE" w:rsidTr="002871DE">
        <w:trPr>
          <w:trHeight w:val="310"/>
        </w:trPr>
        <w:tc>
          <w:tcPr>
            <w:tcW w:w="2290" w:type="dxa"/>
            <w:tcBorders>
              <w:top w:val="nil"/>
              <w:left w:val="nil"/>
              <w:bottom w:val="nil"/>
              <w:right w:val="nil"/>
            </w:tcBorders>
            <w:shd w:val="clear" w:color="auto" w:fill="auto"/>
            <w:vAlign w:val="center"/>
            <w:hideMark/>
          </w:tcPr>
          <w:p w14:paraId="1E1894F7" w14:textId="77777777" w:rsidR="00776DFC" w:rsidRPr="00296330" w:rsidRDefault="00776DFC">
            <w:pPr>
              <w:jc w:val="right"/>
              <w:rPr>
                <w:color w:val="000000"/>
                <w:sz w:val="22"/>
                <w:szCs w:val="22"/>
              </w:rPr>
            </w:pPr>
            <w:r w:rsidRPr="00296330">
              <w:rPr>
                <w:color w:val="000000"/>
                <w:sz w:val="22"/>
                <w:szCs w:val="22"/>
              </w:rPr>
              <w:t>Center-Based</w:t>
            </w:r>
          </w:p>
        </w:tc>
        <w:tc>
          <w:tcPr>
            <w:tcW w:w="1652" w:type="dxa"/>
            <w:tcBorders>
              <w:top w:val="nil"/>
              <w:left w:val="nil"/>
              <w:bottom w:val="nil"/>
              <w:right w:val="nil"/>
            </w:tcBorders>
            <w:shd w:val="clear" w:color="auto" w:fill="auto"/>
            <w:vAlign w:val="center"/>
            <w:hideMark/>
          </w:tcPr>
          <w:p w14:paraId="301790DD" w14:textId="4DEED9CE" w:rsidR="00776DFC" w:rsidRPr="00296330" w:rsidRDefault="00776DFC">
            <w:pPr>
              <w:jc w:val="center"/>
              <w:rPr>
                <w:color w:val="000000"/>
                <w:sz w:val="22"/>
                <w:szCs w:val="22"/>
              </w:rPr>
            </w:pPr>
            <w:r w:rsidRPr="00296330">
              <w:rPr>
                <w:color w:val="000000"/>
                <w:sz w:val="22"/>
                <w:szCs w:val="22"/>
              </w:rPr>
              <w:t>65</w:t>
            </w:r>
            <w:r>
              <w:rPr>
                <w:color w:val="000000"/>
                <w:sz w:val="22"/>
                <w:szCs w:val="22"/>
              </w:rPr>
              <w:t>.0</w:t>
            </w:r>
            <w:r w:rsidRPr="00296330">
              <w:rPr>
                <w:color w:val="000000"/>
                <w:sz w:val="22"/>
                <w:szCs w:val="22"/>
              </w:rPr>
              <w:t>%</w:t>
            </w:r>
          </w:p>
        </w:tc>
        <w:tc>
          <w:tcPr>
            <w:tcW w:w="1652" w:type="dxa"/>
            <w:tcBorders>
              <w:top w:val="nil"/>
              <w:left w:val="nil"/>
              <w:bottom w:val="nil"/>
              <w:right w:val="nil"/>
            </w:tcBorders>
            <w:shd w:val="clear" w:color="auto" w:fill="auto"/>
            <w:vAlign w:val="center"/>
            <w:hideMark/>
          </w:tcPr>
          <w:p w14:paraId="131D2C8E" w14:textId="5200CEE5" w:rsidR="00776DFC" w:rsidRPr="00296330" w:rsidRDefault="00776DFC">
            <w:pPr>
              <w:jc w:val="center"/>
              <w:rPr>
                <w:color w:val="000000"/>
                <w:sz w:val="22"/>
                <w:szCs w:val="22"/>
              </w:rPr>
            </w:pPr>
            <w:r w:rsidRPr="00296330">
              <w:rPr>
                <w:color w:val="000000"/>
                <w:sz w:val="22"/>
                <w:szCs w:val="22"/>
              </w:rPr>
              <w:t>64.9%</w:t>
            </w:r>
          </w:p>
        </w:tc>
        <w:tc>
          <w:tcPr>
            <w:tcW w:w="1652" w:type="dxa"/>
            <w:gridSpan w:val="2"/>
            <w:tcBorders>
              <w:top w:val="nil"/>
              <w:left w:val="nil"/>
              <w:bottom w:val="nil"/>
              <w:right w:val="nil"/>
            </w:tcBorders>
            <w:shd w:val="clear" w:color="auto" w:fill="auto"/>
            <w:noWrap/>
            <w:vAlign w:val="center"/>
            <w:hideMark/>
          </w:tcPr>
          <w:p w14:paraId="6142F4E3" w14:textId="3993D9DD" w:rsidR="00776DFC" w:rsidRPr="00296330" w:rsidRDefault="00776DFC">
            <w:pPr>
              <w:jc w:val="center"/>
              <w:rPr>
                <w:color w:val="000000"/>
                <w:sz w:val="22"/>
                <w:szCs w:val="22"/>
              </w:rPr>
            </w:pPr>
            <w:r w:rsidRPr="00296330">
              <w:rPr>
                <w:color w:val="000000"/>
                <w:sz w:val="22"/>
                <w:szCs w:val="22"/>
              </w:rPr>
              <w:t>59.1%</w:t>
            </w:r>
          </w:p>
        </w:tc>
        <w:tc>
          <w:tcPr>
            <w:tcW w:w="1652" w:type="dxa"/>
            <w:tcBorders>
              <w:top w:val="nil"/>
              <w:left w:val="nil"/>
              <w:bottom w:val="nil"/>
              <w:right w:val="nil"/>
            </w:tcBorders>
          </w:tcPr>
          <w:p w14:paraId="78E029E2" w14:textId="682D4121" w:rsidR="00776DFC" w:rsidRPr="00296330" w:rsidRDefault="00776DFC">
            <w:pPr>
              <w:jc w:val="center"/>
              <w:rPr>
                <w:color w:val="000000"/>
                <w:sz w:val="22"/>
                <w:szCs w:val="22"/>
              </w:rPr>
            </w:pPr>
            <w:r>
              <w:rPr>
                <w:color w:val="000000"/>
                <w:sz w:val="22"/>
                <w:szCs w:val="22"/>
              </w:rPr>
              <w:t>80.0%</w:t>
            </w:r>
          </w:p>
        </w:tc>
      </w:tr>
      <w:tr w:rsidR="00776DFC" w:rsidRPr="00296330" w14:paraId="3E106454" w14:textId="4AB3B9DD" w:rsidTr="002871DE">
        <w:trPr>
          <w:trHeight w:val="310"/>
        </w:trPr>
        <w:tc>
          <w:tcPr>
            <w:tcW w:w="2290" w:type="dxa"/>
            <w:tcBorders>
              <w:top w:val="nil"/>
              <w:left w:val="nil"/>
              <w:bottom w:val="nil"/>
              <w:right w:val="nil"/>
            </w:tcBorders>
            <w:shd w:val="clear" w:color="auto" w:fill="auto"/>
            <w:vAlign w:val="center"/>
            <w:hideMark/>
          </w:tcPr>
          <w:p w14:paraId="4AC5599B" w14:textId="77777777" w:rsidR="00776DFC" w:rsidRPr="00296330" w:rsidRDefault="00776DFC">
            <w:pPr>
              <w:jc w:val="right"/>
              <w:rPr>
                <w:color w:val="000000"/>
                <w:sz w:val="22"/>
                <w:szCs w:val="22"/>
              </w:rPr>
            </w:pPr>
            <w:r w:rsidRPr="00296330">
              <w:rPr>
                <w:color w:val="000000"/>
                <w:sz w:val="22"/>
                <w:szCs w:val="22"/>
              </w:rPr>
              <w:t>School-Based</w:t>
            </w:r>
          </w:p>
        </w:tc>
        <w:tc>
          <w:tcPr>
            <w:tcW w:w="1652" w:type="dxa"/>
            <w:tcBorders>
              <w:top w:val="nil"/>
              <w:left w:val="nil"/>
              <w:bottom w:val="nil"/>
              <w:right w:val="nil"/>
            </w:tcBorders>
            <w:shd w:val="clear" w:color="auto" w:fill="auto"/>
            <w:vAlign w:val="center"/>
            <w:hideMark/>
          </w:tcPr>
          <w:p w14:paraId="100B7909" w14:textId="3AAC08FB" w:rsidR="00776DFC" w:rsidRPr="00296330" w:rsidRDefault="00776DFC">
            <w:pPr>
              <w:jc w:val="center"/>
              <w:rPr>
                <w:color w:val="000000"/>
                <w:sz w:val="22"/>
                <w:szCs w:val="22"/>
              </w:rPr>
            </w:pPr>
            <w:r w:rsidRPr="00296330">
              <w:rPr>
                <w:color w:val="000000"/>
                <w:sz w:val="22"/>
                <w:szCs w:val="22"/>
              </w:rPr>
              <w:t>13</w:t>
            </w:r>
            <w:r>
              <w:rPr>
                <w:color w:val="000000"/>
                <w:sz w:val="22"/>
                <w:szCs w:val="22"/>
              </w:rPr>
              <w:t>.0</w:t>
            </w:r>
            <w:r w:rsidRPr="00296330">
              <w:rPr>
                <w:color w:val="000000"/>
                <w:sz w:val="22"/>
                <w:szCs w:val="22"/>
              </w:rPr>
              <w:t>%</w:t>
            </w:r>
          </w:p>
        </w:tc>
        <w:tc>
          <w:tcPr>
            <w:tcW w:w="1652" w:type="dxa"/>
            <w:tcBorders>
              <w:top w:val="nil"/>
              <w:left w:val="nil"/>
              <w:bottom w:val="nil"/>
              <w:right w:val="nil"/>
            </w:tcBorders>
            <w:shd w:val="clear" w:color="auto" w:fill="auto"/>
            <w:vAlign w:val="center"/>
            <w:hideMark/>
          </w:tcPr>
          <w:p w14:paraId="232F0D10" w14:textId="1790E03C" w:rsidR="00776DFC" w:rsidRPr="00296330" w:rsidRDefault="00776DFC">
            <w:pPr>
              <w:jc w:val="center"/>
              <w:rPr>
                <w:color w:val="000000"/>
                <w:sz w:val="22"/>
                <w:szCs w:val="22"/>
              </w:rPr>
            </w:pPr>
            <w:r w:rsidRPr="00296330">
              <w:rPr>
                <w:color w:val="000000"/>
                <w:sz w:val="22"/>
                <w:szCs w:val="22"/>
              </w:rPr>
              <w:t>5.2%</w:t>
            </w:r>
          </w:p>
        </w:tc>
        <w:tc>
          <w:tcPr>
            <w:tcW w:w="1652" w:type="dxa"/>
            <w:gridSpan w:val="2"/>
            <w:tcBorders>
              <w:top w:val="nil"/>
              <w:left w:val="nil"/>
              <w:bottom w:val="nil"/>
              <w:right w:val="nil"/>
            </w:tcBorders>
            <w:shd w:val="clear" w:color="auto" w:fill="auto"/>
            <w:noWrap/>
            <w:vAlign w:val="center"/>
            <w:hideMark/>
          </w:tcPr>
          <w:p w14:paraId="5F14DA87" w14:textId="31A373FF" w:rsidR="00776DFC" w:rsidRPr="00296330" w:rsidRDefault="00776DFC">
            <w:pPr>
              <w:jc w:val="center"/>
              <w:rPr>
                <w:color w:val="000000"/>
                <w:sz w:val="22"/>
                <w:szCs w:val="22"/>
              </w:rPr>
            </w:pPr>
            <w:r w:rsidRPr="00296330">
              <w:rPr>
                <w:color w:val="000000"/>
                <w:sz w:val="22"/>
                <w:szCs w:val="22"/>
              </w:rPr>
              <w:t>2.3%</w:t>
            </w:r>
          </w:p>
        </w:tc>
        <w:tc>
          <w:tcPr>
            <w:tcW w:w="1652" w:type="dxa"/>
            <w:tcBorders>
              <w:top w:val="nil"/>
              <w:left w:val="nil"/>
              <w:bottom w:val="nil"/>
              <w:right w:val="nil"/>
            </w:tcBorders>
          </w:tcPr>
          <w:p w14:paraId="6BEE2960" w14:textId="7311C7C4" w:rsidR="00776DFC" w:rsidRPr="00296330" w:rsidRDefault="00776DFC" w:rsidP="00776DFC">
            <w:pPr>
              <w:jc w:val="center"/>
              <w:rPr>
                <w:color w:val="000000"/>
                <w:sz w:val="22"/>
                <w:szCs w:val="22"/>
              </w:rPr>
            </w:pPr>
            <w:r>
              <w:rPr>
                <w:color w:val="000000"/>
                <w:sz w:val="22"/>
                <w:szCs w:val="22"/>
              </w:rPr>
              <w:t>8.0%</w:t>
            </w:r>
          </w:p>
        </w:tc>
      </w:tr>
      <w:tr w:rsidR="00776DFC" w:rsidRPr="00296330" w14:paraId="7B144276" w14:textId="2AB63CC4" w:rsidTr="002871DE">
        <w:trPr>
          <w:trHeight w:val="310"/>
        </w:trPr>
        <w:tc>
          <w:tcPr>
            <w:tcW w:w="2290" w:type="dxa"/>
            <w:tcBorders>
              <w:top w:val="nil"/>
              <w:left w:val="nil"/>
              <w:bottom w:val="nil"/>
              <w:right w:val="nil"/>
            </w:tcBorders>
            <w:shd w:val="clear" w:color="auto" w:fill="auto"/>
            <w:vAlign w:val="center"/>
            <w:hideMark/>
          </w:tcPr>
          <w:p w14:paraId="15E5CAF4" w14:textId="77777777" w:rsidR="00776DFC" w:rsidRPr="00296330" w:rsidRDefault="00776DFC">
            <w:pPr>
              <w:jc w:val="right"/>
              <w:rPr>
                <w:color w:val="000000"/>
                <w:sz w:val="22"/>
                <w:szCs w:val="22"/>
              </w:rPr>
            </w:pPr>
            <w:r w:rsidRPr="00296330">
              <w:rPr>
                <w:color w:val="000000"/>
                <w:sz w:val="22"/>
                <w:szCs w:val="22"/>
              </w:rPr>
              <w:t>Home-Based</w:t>
            </w:r>
          </w:p>
        </w:tc>
        <w:tc>
          <w:tcPr>
            <w:tcW w:w="1652" w:type="dxa"/>
            <w:tcBorders>
              <w:top w:val="nil"/>
              <w:left w:val="nil"/>
              <w:bottom w:val="nil"/>
              <w:right w:val="nil"/>
            </w:tcBorders>
            <w:shd w:val="clear" w:color="auto" w:fill="auto"/>
            <w:vAlign w:val="center"/>
            <w:hideMark/>
          </w:tcPr>
          <w:p w14:paraId="2BA79D5A" w14:textId="3C840F1E" w:rsidR="00776DFC" w:rsidRPr="00296330" w:rsidRDefault="00776DFC">
            <w:pPr>
              <w:jc w:val="center"/>
              <w:rPr>
                <w:color w:val="000000"/>
                <w:sz w:val="22"/>
                <w:szCs w:val="22"/>
              </w:rPr>
            </w:pPr>
            <w:r w:rsidRPr="00296330">
              <w:rPr>
                <w:color w:val="000000"/>
                <w:sz w:val="22"/>
                <w:szCs w:val="22"/>
              </w:rPr>
              <w:t>17</w:t>
            </w:r>
            <w:r>
              <w:rPr>
                <w:color w:val="000000"/>
                <w:sz w:val="22"/>
                <w:szCs w:val="22"/>
              </w:rPr>
              <w:t>.5</w:t>
            </w:r>
            <w:r w:rsidRPr="00296330">
              <w:rPr>
                <w:color w:val="000000"/>
                <w:sz w:val="22"/>
                <w:szCs w:val="22"/>
              </w:rPr>
              <w:t>%</w:t>
            </w:r>
          </w:p>
        </w:tc>
        <w:tc>
          <w:tcPr>
            <w:tcW w:w="1652" w:type="dxa"/>
            <w:tcBorders>
              <w:top w:val="nil"/>
              <w:left w:val="nil"/>
              <w:bottom w:val="nil"/>
              <w:right w:val="nil"/>
            </w:tcBorders>
            <w:shd w:val="clear" w:color="auto" w:fill="auto"/>
            <w:vAlign w:val="center"/>
            <w:hideMark/>
          </w:tcPr>
          <w:p w14:paraId="584C4DB3" w14:textId="2BF7164B" w:rsidR="00776DFC" w:rsidRPr="00296330" w:rsidRDefault="00776DFC">
            <w:pPr>
              <w:jc w:val="center"/>
              <w:rPr>
                <w:color w:val="000000"/>
                <w:sz w:val="22"/>
                <w:szCs w:val="22"/>
              </w:rPr>
            </w:pPr>
            <w:r w:rsidRPr="00296330">
              <w:rPr>
                <w:color w:val="000000"/>
                <w:sz w:val="22"/>
                <w:szCs w:val="22"/>
              </w:rPr>
              <w:t>28.9%</w:t>
            </w:r>
          </w:p>
        </w:tc>
        <w:tc>
          <w:tcPr>
            <w:tcW w:w="1652" w:type="dxa"/>
            <w:gridSpan w:val="2"/>
            <w:tcBorders>
              <w:top w:val="nil"/>
              <w:left w:val="nil"/>
              <w:bottom w:val="nil"/>
              <w:right w:val="nil"/>
            </w:tcBorders>
            <w:shd w:val="clear" w:color="auto" w:fill="auto"/>
            <w:noWrap/>
            <w:vAlign w:val="center"/>
            <w:hideMark/>
          </w:tcPr>
          <w:p w14:paraId="024DBB3A" w14:textId="2CC8E26E" w:rsidR="00776DFC" w:rsidRPr="00296330" w:rsidRDefault="00776DFC">
            <w:pPr>
              <w:jc w:val="center"/>
              <w:rPr>
                <w:color w:val="000000"/>
                <w:sz w:val="22"/>
                <w:szCs w:val="22"/>
              </w:rPr>
            </w:pPr>
            <w:r w:rsidRPr="00296330">
              <w:rPr>
                <w:color w:val="000000"/>
                <w:sz w:val="22"/>
                <w:szCs w:val="22"/>
              </w:rPr>
              <w:t>34.1%</w:t>
            </w:r>
          </w:p>
        </w:tc>
        <w:tc>
          <w:tcPr>
            <w:tcW w:w="1652" w:type="dxa"/>
            <w:tcBorders>
              <w:top w:val="nil"/>
              <w:left w:val="nil"/>
              <w:bottom w:val="nil"/>
              <w:right w:val="nil"/>
            </w:tcBorders>
          </w:tcPr>
          <w:p w14:paraId="2C45EC78" w14:textId="62247AAF" w:rsidR="00776DFC" w:rsidRPr="00296330" w:rsidRDefault="00776DFC">
            <w:pPr>
              <w:jc w:val="center"/>
              <w:rPr>
                <w:color w:val="000000"/>
                <w:sz w:val="22"/>
                <w:szCs w:val="22"/>
              </w:rPr>
            </w:pPr>
            <w:r>
              <w:rPr>
                <w:color w:val="000000"/>
                <w:sz w:val="22"/>
                <w:szCs w:val="22"/>
              </w:rPr>
              <w:t>8.0%</w:t>
            </w:r>
          </w:p>
        </w:tc>
      </w:tr>
      <w:tr w:rsidR="00776DFC" w:rsidRPr="00296330" w14:paraId="0E6D0567" w14:textId="118D7317" w:rsidTr="002871DE">
        <w:trPr>
          <w:trHeight w:val="310"/>
        </w:trPr>
        <w:tc>
          <w:tcPr>
            <w:tcW w:w="2290" w:type="dxa"/>
            <w:tcBorders>
              <w:top w:val="nil"/>
              <w:left w:val="nil"/>
              <w:bottom w:val="nil"/>
              <w:right w:val="nil"/>
            </w:tcBorders>
            <w:shd w:val="clear" w:color="auto" w:fill="auto"/>
            <w:vAlign w:val="center"/>
            <w:hideMark/>
          </w:tcPr>
          <w:p w14:paraId="53469105" w14:textId="77777777" w:rsidR="00776DFC" w:rsidRPr="00296330" w:rsidRDefault="00776DFC">
            <w:pPr>
              <w:jc w:val="right"/>
              <w:rPr>
                <w:color w:val="000000"/>
                <w:sz w:val="22"/>
                <w:szCs w:val="22"/>
              </w:rPr>
            </w:pPr>
            <w:r w:rsidRPr="00296330">
              <w:rPr>
                <w:color w:val="000000"/>
                <w:sz w:val="22"/>
                <w:szCs w:val="22"/>
              </w:rPr>
              <w:t>Other</w:t>
            </w:r>
          </w:p>
        </w:tc>
        <w:tc>
          <w:tcPr>
            <w:tcW w:w="1652" w:type="dxa"/>
            <w:tcBorders>
              <w:top w:val="nil"/>
              <w:left w:val="nil"/>
              <w:bottom w:val="nil"/>
              <w:right w:val="nil"/>
            </w:tcBorders>
            <w:shd w:val="clear" w:color="auto" w:fill="auto"/>
            <w:vAlign w:val="center"/>
            <w:hideMark/>
          </w:tcPr>
          <w:p w14:paraId="553649CD" w14:textId="7F1C4B3F" w:rsidR="00776DFC" w:rsidRPr="00296330" w:rsidRDefault="00776DFC">
            <w:pPr>
              <w:jc w:val="center"/>
              <w:rPr>
                <w:color w:val="000000"/>
                <w:sz w:val="22"/>
                <w:szCs w:val="22"/>
              </w:rPr>
            </w:pPr>
            <w:r>
              <w:rPr>
                <w:color w:val="000000"/>
                <w:sz w:val="22"/>
                <w:szCs w:val="22"/>
              </w:rPr>
              <w:t>4.5</w:t>
            </w:r>
            <w:r w:rsidRPr="00296330">
              <w:rPr>
                <w:color w:val="000000"/>
                <w:sz w:val="22"/>
                <w:szCs w:val="22"/>
              </w:rPr>
              <w:t>%</w:t>
            </w:r>
          </w:p>
        </w:tc>
        <w:tc>
          <w:tcPr>
            <w:tcW w:w="1652" w:type="dxa"/>
            <w:tcBorders>
              <w:top w:val="nil"/>
              <w:left w:val="nil"/>
              <w:bottom w:val="nil"/>
              <w:right w:val="nil"/>
            </w:tcBorders>
            <w:shd w:val="clear" w:color="auto" w:fill="auto"/>
            <w:vAlign w:val="center"/>
            <w:hideMark/>
          </w:tcPr>
          <w:p w14:paraId="1EBA2746" w14:textId="5DA59447" w:rsidR="00776DFC" w:rsidRPr="00296330" w:rsidRDefault="00776DFC" w:rsidP="00776DFC">
            <w:pPr>
              <w:jc w:val="center"/>
              <w:rPr>
                <w:color w:val="000000"/>
                <w:sz w:val="22"/>
                <w:szCs w:val="22"/>
              </w:rPr>
            </w:pPr>
            <w:r>
              <w:rPr>
                <w:color w:val="000000"/>
                <w:sz w:val="22"/>
                <w:szCs w:val="22"/>
              </w:rPr>
              <w:t>1.0</w:t>
            </w:r>
            <w:r w:rsidRPr="00296330">
              <w:rPr>
                <w:color w:val="000000"/>
                <w:sz w:val="22"/>
                <w:szCs w:val="22"/>
              </w:rPr>
              <w:t>%</w:t>
            </w:r>
          </w:p>
        </w:tc>
        <w:tc>
          <w:tcPr>
            <w:tcW w:w="1652" w:type="dxa"/>
            <w:gridSpan w:val="2"/>
            <w:tcBorders>
              <w:top w:val="nil"/>
              <w:left w:val="nil"/>
              <w:bottom w:val="nil"/>
              <w:right w:val="nil"/>
            </w:tcBorders>
            <w:shd w:val="clear" w:color="auto" w:fill="auto"/>
            <w:noWrap/>
            <w:vAlign w:val="center"/>
            <w:hideMark/>
          </w:tcPr>
          <w:p w14:paraId="66816E30" w14:textId="781DDD8A" w:rsidR="00776DFC" w:rsidRPr="00296330" w:rsidRDefault="00776DFC">
            <w:pPr>
              <w:jc w:val="center"/>
              <w:rPr>
                <w:color w:val="000000"/>
                <w:sz w:val="22"/>
                <w:szCs w:val="22"/>
              </w:rPr>
            </w:pPr>
            <w:r w:rsidRPr="00296330">
              <w:rPr>
                <w:color w:val="000000"/>
                <w:sz w:val="22"/>
                <w:szCs w:val="22"/>
              </w:rPr>
              <w:t>4.5%</w:t>
            </w:r>
          </w:p>
        </w:tc>
        <w:tc>
          <w:tcPr>
            <w:tcW w:w="1652" w:type="dxa"/>
            <w:tcBorders>
              <w:top w:val="nil"/>
              <w:left w:val="nil"/>
              <w:bottom w:val="nil"/>
              <w:right w:val="nil"/>
            </w:tcBorders>
          </w:tcPr>
          <w:p w14:paraId="7A84F55F" w14:textId="5403334A" w:rsidR="00776DFC" w:rsidRPr="00296330" w:rsidRDefault="00776DFC">
            <w:pPr>
              <w:jc w:val="center"/>
              <w:rPr>
                <w:color w:val="000000"/>
                <w:sz w:val="22"/>
                <w:szCs w:val="22"/>
              </w:rPr>
            </w:pPr>
            <w:r>
              <w:rPr>
                <w:color w:val="000000"/>
                <w:sz w:val="22"/>
                <w:szCs w:val="22"/>
              </w:rPr>
              <w:t>4.0%</w:t>
            </w:r>
          </w:p>
        </w:tc>
      </w:tr>
      <w:tr w:rsidR="00776DFC" w:rsidRPr="00296330" w14:paraId="3870A797" w14:textId="59C62A4E" w:rsidTr="002871DE">
        <w:trPr>
          <w:trHeight w:val="310"/>
        </w:trPr>
        <w:tc>
          <w:tcPr>
            <w:tcW w:w="2290" w:type="dxa"/>
            <w:tcBorders>
              <w:top w:val="nil"/>
              <w:left w:val="nil"/>
              <w:bottom w:val="nil"/>
              <w:right w:val="nil"/>
            </w:tcBorders>
            <w:shd w:val="clear" w:color="auto" w:fill="auto"/>
            <w:vAlign w:val="center"/>
            <w:hideMark/>
          </w:tcPr>
          <w:p w14:paraId="0774EB5B" w14:textId="77777777" w:rsidR="00776DFC" w:rsidRPr="00296330" w:rsidRDefault="00776DFC">
            <w:pPr>
              <w:rPr>
                <w:b/>
                <w:bCs/>
                <w:color w:val="000000"/>
                <w:sz w:val="22"/>
                <w:szCs w:val="22"/>
              </w:rPr>
            </w:pPr>
            <w:r w:rsidRPr="00296330">
              <w:rPr>
                <w:b/>
                <w:bCs/>
                <w:color w:val="000000"/>
                <w:sz w:val="22"/>
                <w:szCs w:val="22"/>
              </w:rPr>
              <w:t>Geography</w:t>
            </w:r>
          </w:p>
        </w:tc>
        <w:tc>
          <w:tcPr>
            <w:tcW w:w="1652" w:type="dxa"/>
            <w:tcBorders>
              <w:top w:val="nil"/>
              <w:left w:val="nil"/>
              <w:bottom w:val="nil"/>
              <w:right w:val="nil"/>
            </w:tcBorders>
            <w:shd w:val="clear" w:color="auto" w:fill="auto"/>
            <w:vAlign w:val="center"/>
            <w:hideMark/>
          </w:tcPr>
          <w:p w14:paraId="2B75B89C" w14:textId="77777777" w:rsidR="00776DFC" w:rsidRPr="00296330" w:rsidRDefault="00776DFC">
            <w:pPr>
              <w:jc w:val="center"/>
              <w:rPr>
                <w:b/>
                <w:bCs/>
                <w:color w:val="000000"/>
                <w:sz w:val="22"/>
                <w:szCs w:val="22"/>
              </w:rPr>
            </w:pPr>
          </w:p>
        </w:tc>
        <w:tc>
          <w:tcPr>
            <w:tcW w:w="1652" w:type="dxa"/>
            <w:tcBorders>
              <w:top w:val="nil"/>
              <w:left w:val="nil"/>
              <w:bottom w:val="nil"/>
              <w:right w:val="nil"/>
            </w:tcBorders>
            <w:shd w:val="clear" w:color="auto" w:fill="auto"/>
            <w:vAlign w:val="center"/>
            <w:hideMark/>
          </w:tcPr>
          <w:p w14:paraId="5E37F523" w14:textId="77777777" w:rsidR="00776DFC" w:rsidRPr="00296330" w:rsidRDefault="00776DFC">
            <w:pPr>
              <w:jc w:val="center"/>
              <w:rPr>
                <w:sz w:val="22"/>
                <w:szCs w:val="22"/>
              </w:rPr>
            </w:pPr>
          </w:p>
        </w:tc>
        <w:tc>
          <w:tcPr>
            <w:tcW w:w="1652" w:type="dxa"/>
            <w:gridSpan w:val="2"/>
            <w:tcBorders>
              <w:top w:val="nil"/>
              <w:left w:val="nil"/>
              <w:bottom w:val="nil"/>
              <w:right w:val="nil"/>
            </w:tcBorders>
            <w:shd w:val="clear" w:color="auto" w:fill="auto"/>
            <w:noWrap/>
            <w:vAlign w:val="center"/>
            <w:hideMark/>
          </w:tcPr>
          <w:p w14:paraId="23C42FF6" w14:textId="77777777" w:rsidR="00776DFC" w:rsidRPr="00296330" w:rsidRDefault="00776DFC">
            <w:pPr>
              <w:jc w:val="center"/>
              <w:rPr>
                <w:sz w:val="22"/>
                <w:szCs w:val="22"/>
              </w:rPr>
            </w:pPr>
          </w:p>
        </w:tc>
        <w:tc>
          <w:tcPr>
            <w:tcW w:w="1652" w:type="dxa"/>
            <w:tcBorders>
              <w:top w:val="nil"/>
              <w:left w:val="nil"/>
              <w:bottom w:val="nil"/>
              <w:right w:val="nil"/>
            </w:tcBorders>
          </w:tcPr>
          <w:p w14:paraId="2251E8A6" w14:textId="77777777" w:rsidR="00776DFC" w:rsidRPr="00296330" w:rsidRDefault="00776DFC">
            <w:pPr>
              <w:jc w:val="center"/>
              <w:rPr>
                <w:sz w:val="22"/>
                <w:szCs w:val="22"/>
              </w:rPr>
            </w:pPr>
          </w:p>
        </w:tc>
      </w:tr>
      <w:tr w:rsidR="00776DFC" w:rsidRPr="00296330" w14:paraId="2EBF554C" w14:textId="3B56FAE0" w:rsidTr="002871DE">
        <w:trPr>
          <w:trHeight w:val="310"/>
        </w:trPr>
        <w:tc>
          <w:tcPr>
            <w:tcW w:w="2290" w:type="dxa"/>
            <w:tcBorders>
              <w:top w:val="nil"/>
              <w:left w:val="nil"/>
              <w:bottom w:val="nil"/>
              <w:right w:val="nil"/>
            </w:tcBorders>
            <w:shd w:val="clear" w:color="auto" w:fill="auto"/>
            <w:vAlign w:val="center"/>
            <w:hideMark/>
          </w:tcPr>
          <w:p w14:paraId="54DA20AC" w14:textId="77777777" w:rsidR="00776DFC" w:rsidRPr="00296330" w:rsidRDefault="00776DFC">
            <w:pPr>
              <w:jc w:val="right"/>
              <w:rPr>
                <w:color w:val="000000"/>
                <w:sz w:val="22"/>
                <w:szCs w:val="22"/>
              </w:rPr>
            </w:pPr>
            <w:r w:rsidRPr="00296330">
              <w:rPr>
                <w:color w:val="000000"/>
                <w:sz w:val="22"/>
                <w:szCs w:val="22"/>
              </w:rPr>
              <w:t>Cook County</w:t>
            </w:r>
          </w:p>
        </w:tc>
        <w:tc>
          <w:tcPr>
            <w:tcW w:w="1652" w:type="dxa"/>
            <w:tcBorders>
              <w:top w:val="nil"/>
              <w:left w:val="nil"/>
              <w:bottom w:val="nil"/>
              <w:right w:val="nil"/>
            </w:tcBorders>
            <w:shd w:val="clear" w:color="auto" w:fill="auto"/>
            <w:vAlign w:val="center"/>
            <w:hideMark/>
          </w:tcPr>
          <w:p w14:paraId="4F245800" w14:textId="77777777" w:rsidR="00776DFC" w:rsidRPr="00296330" w:rsidRDefault="00776DFC">
            <w:pPr>
              <w:jc w:val="center"/>
              <w:rPr>
                <w:color w:val="000000"/>
                <w:sz w:val="22"/>
                <w:szCs w:val="22"/>
              </w:rPr>
            </w:pPr>
            <w:r w:rsidRPr="00296330">
              <w:rPr>
                <w:color w:val="000000"/>
                <w:sz w:val="22"/>
                <w:szCs w:val="22"/>
              </w:rPr>
              <w:t>36%</w:t>
            </w:r>
          </w:p>
        </w:tc>
        <w:tc>
          <w:tcPr>
            <w:tcW w:w="1652" w:type="dxa"/>
            <w:tcBorders>
              <w:top w:val="nil"/>
              <w:left w:val="nil"/>
              <w:bottom w:val="nil"/>
              <w:right w:val="nil"/>
            </w:tcBorders>
            <w:shd w:val="clear" w:color="auto" w:fill="auto"/>
            <w:vAlign w:val="center"/>
            <w:hideMark/>
          </w:tcPr>
          <w:p w14:paraId="4050D8F5" w14:textId="77777777" w:rsidR="00776DFC" w:rsidRPr="00296330" w:rsidRDefault="00776DFC">
            <w:pPr>
              <w:jc w:val="center"/>
              <w:rPr>
                <w:color w:val="000000"/>
                <w:sz w:val="22"/>
                <w:szCs w:val="22"/>
              </w:rPr>
            </w:pPr>
            <w:r w:rsidRPr="00296330">
              <w:rPr>
                <w:color w:val="000000"/>
                <w:sz w:val="22"/>
                <w:szCs w:val="22"/>
              </w:rPr>
              <w:t>33%</w:t>
            </w:r>
          </w:p>
        </w:tc>
        <w:tc>
          <w:tcPr>
            <w:tcW w:w="1652" w:type="dxa"/>
            <w:gridSpan w:val="2"/>
            <w:tcBorders>
              <w:top w:val="nil"/>
              <w:left w:val="nil"/>
              <w:bottom w:val="nil"/>
              <w:right w:val="nil"/>
            </w:tcBorders>
            <w:shd w:val="clear" w:color="auto" w:fill="auto"/>
            <w:noWrap/>
            <w:vAlign w:val="center"/>
            <w:hideMark/>
          </w:tcPr>
          <w:p w14:paraId="78A00A7D" w14:textId="04D4F093" w:rsidR="00776DFC" w:rsidRPr="00296330" w:rsidRDefault="00776DFC">
            <w:pPr>
              <w:jc w:val="center"/>
              <w:rPr>
                <w:color w:val="000000"/>
                <w:sz w:val="22"/>
                <w:szCs w:val="22"/>
              </w:rPr>
            </w:pPr>
            <w:r w:rsidRPr="00296330">
              <w:rPr>
                <w:color w:val="000000"/>
                <w:sz w:val="22"/>
                <w:szCs w:val="22"/>
              </w:rPr>
              <w:t>40.9%</w:t>
            </w:r>
          </w:p>
        </w:tc>
        <w:tc>
          <w:tcPr>
            <w:tcW w:w="1652" w:type="dxa"/>
            <w:tcBorders>
              <w:top w:val="nil"/>
              <w:left w:val="nil"/>
              <w:bottom w:val="nil"/>
              <w:right w:val="nil"/>
            </w:tcBorders>
          </w:tcPr>
          <w:p w14:paraId="12E343A9" w14:textId="7B9928EB" w:rsidR="00776DFC" w:rsidRPr="00296330" w:rsidRDefault="00776DFC">
            <w:pPr>
              <w:jc w:val="center"/>
              <w:rPr>
                <w:color w:val="000000"/>
                <w:sz w:val="22"/>
                <w:szCs w:val="22"/>
              </w:rPr>
            </w:pPr>
            <w:r>
              <w:rPr>
                <w:color w:val="000000"/>
                <w:sz w:val="22"/>
                <w:szCs w:val="22"/>
              </w:rPr>
              <w:t>46.2%</w:t>
            </w:r>
          </w:p>
        </w:tc>
      </w:tr>
      <w:tr w:rsidR="00776DFC" w:rsidRPr="00296330" w14:paraId="23339C64" w14:textId="33A76D88" w:rsidTr="002871DE">
        <w:trPr>
          <w:trHeight w:val="310"/>
        </w:trPr>
        <w:tc>
          <w:tcPr>
            <w:tcW w:w="2290" w:type="dxa"/>
            <w:tcBorders>
              <w:top w:val="nil"/>
              <w:left w:val="nil"/>
              <w:bottom w:val="nil"/>
              <w:right w:val="nil"/>
            </w:tcBorders>
            <w:shd w:val="clear" w:color="auto" w:fill="auto"/>
            <w:vAlign w:val="center"/>
            <w:hideMark/>
          </w:tcPr>
          <w:p w14:paraId="7D38100F" w14:textId="77777777" w:rsidR="00776DFC" w:rsidRPr="00296330" w:rsidRDefault="00776DFC">
            <w:pPr>
              <w:jc w:val="right"/>
              <w:rPr>
                <w:color w:val="000000"/>
                <w:sz w:val="22"/>
                <w:szCs w:val="22"/>
              </w:rPr>
            </w:pPr>
            <w:r w:rsidRPr="00296330">
              <w:rPr>
                <w:color w:val="000000"/>
                <w:sz w:val="22"/>
                <w:szCs w:val="22"/>
              </w:rPr>
              <w:t>Non-Urban</w:t>
            </w:r>
          </w:p>
        </w:tc>
        <w:tc>
          <w:tcPr>
            <w:tcW w:w="1652" w:type="dxa"/>
            <w:tcBorders>
              <w:top w:val="nil"/>
              <w:left w:val="nil"/>
              <w:bottom w:val="nil"/>
              <w:right w:val="nil"/>
            </w:tcBorders>
            <w:shd w:val="clear" w:color="auto" w:fill="auto"/>
            <w:vAlign w:val="center"/>
            <w:hideMark/>
          </w:tcPr>
          <w:p w14:paraId="6ACD0C47" w14:textId="311D044A" w:rsidR="00776DFC" w:rsidRPr="00296330" w:rsidRDefault="00776DFC">
            <w:pPr>
              <w:jc w:val="center"/>
              <w:rPr>
                <w:color w:val="000000"/>
                <w:sz w:val="22"/>
                <w:szCs w:val="22"/>
              </w:rPr>
            </w:pPr>
            <w:r w:rsidRPr="00296330">
              <w:rPr>
                <w:color w:val="000000"/>
                <w:sz w:val="22"/>
                <w:szCs w:val="22"/>
              </w:rPr>
              <w:t>27.6%</w:t>
            </w:r>
          </w:p>
        </w:tc>
        <w:tc>
          <w:tcPr>
            <w:tcW w:w="1652" w:type="dxa"/>
            <w:tcBorders>
              <w:top w:val="nil"/>
              <w:left w:val="nil"/>
              <w:bottom w:val="nil"/>
              <w:right w:val="nil"/>
            </w:tcBorders>
            <w:shd w:val="clear" w:color="auto" w:fill="auto"/>
            <w:vAlign w:val="center"/>
            <w:hideMark/>
          </w:tcPr>
          <w:p w14:paraId="575CF14F" w14:textId="77777777" w:rsidR="00776DFC" w:rsidRPr="00296330" w:rsidRDefault="00776DFC">
            <w:pPr>
              <w:jc w:val="center"/>
              <w:rPr>
                <w:color w:val="000000"/>
                <w:sz w:val="22"/>
                <w:szCs w:val="22"/>
              </w:rPr>
            </w:pPr>
            <w:r w:rsidRPr="00296330">
              <w:rPr>
                <w:color w:val="000000"/>
                <w:sz w:val="22"/>
                <w:szCs w:val="22"/>
              </w:rPr>
              <w:t>41%</w:t>
            </w:r>
          </w:p>
        </w:tc>
        <w:tc>
          <w:tcPr>
            <w:tcW w:w="1652" w:type="dxa"/>
            <w:gridSpan w:val="2"/>
            <w:tcBorders>
              <w:top w:val="nil"/>
              <w:left w:val="nil"/>
              <w:bottom w:val="nil"/>
              <w:right w:val="nil"/>
            </w:tcBorders>
            <w:shd w:val="clear" w:color="auto" w:fill="auto"/>
            <w:noWrap/>
            <w:vAlign w:val="center"/>
            <w:hideMark/>
          </w:tcPr>
          <w:p w14:paraId="23A244BC" w14:textId="192A3F8E" w:rsidR="00776DFC" w:rsidRPr="00296330" w:rsidRDefault="00776DFC">
            <w:pPr>
              <w:jc w:val="center"/>
              <w:rPr>
                <w:color w:val="000000"/>
                <w:sz w:val="22"/>
                <w:szCs w:val="22"/>
              </w:rPr>
            </w:pPr>
            <w:r w:rsidRPr="00296330">
              <w:rPr>
                <w:color w:val="000000"/>
                <w:sz w:val="22"/>
                <w:szCs w:val="22"/>
              </w:rPr>
              <w:t>22.7%</w:t>
            </w:r>
          </w:p>
        </w:tc>
        <w:tc>
          <w:tcPr>
            <w:tcW w:w="1652" w:type="dxa"/>
            <w:tcBorders>
              <w:top w:val="nil"/>
              <w:left w:val="nil"/>
              <w:bottom w:val="nil"/>
              <w:right w:val="nil"/>
            </w:tcBorders>
          </w:tcPr>
          <w:p w14:paraId="3921CAA8" w14:textId="28D78562" w:rsidR="00776DFC" w:rsidRPr="00296330" w:rsidRDefault="00776DFC">
            <w:pPr>
              <w:jc w:val="center"/>
              <w:rPr>
                <w:color w:val="000000"/>
                <w:sz w:val="22"/>
                <w:szCs w:val="22"/>
              </w:rPr>
            </w:pPr>
            <w:r>
              <w:rPr>
                <w:color w:val="000000"/>
                <w:sz w:val="22"/>
                <w:szCs w:val="22"/>
              </w:rPr>
              <w:t>73.1%</w:t>
            </w:r>
          </w:p>
        </w:tc>
      </w:tr>
      <w:tr w:rsidR="00776DFC" w:rsidRPr="00296330" w14:paraId="1125398E" w14:textId="6068571C" w:rsidTr="002871DE">
        <w:trPr>
          <w:trHeight w:val="310"/>
        </w:trPr>
        <w:tc>
          <w:tcPr>
            <w:tcW w:w="2290" w:type="dxa"/>
            <w:tcBorders>
              <w:top w:val="nil"/>
              <w:left w:val="nil"/>
              <w:bottom w:val="nil"/>
              <w:right w:val="nil"/>
            </w:tcBorders>
            <w:shd w:val="clear" w:color="auto" w:fill="auto"/>
            <w:vAlign w:val="center"/>
            <w:hideMark/>
          </w:tcPr>
          <w:p w14:paraId="0E0375BC" w14:textId="77777777" w:rsidR="00776DFC" w:rsidRPr="00296330" w:rsidRDefault="00776DFC">
            <w:pPr>
              <w:rPr>
                <w:b/>
                <w:bCs/>
                <w:color w:val="000000"/>
                <w:sz w:val="22"/>
                <w:szCs w:val="22"/>
              </w:rPr>
            </w:pPr>
            <w:r w:rsidRPr="00296330">
              <w:rPr>
                <w:b/>
                <w:bCs/>
                <w:color w:val="000000"/>
                <w:sz w:val="22"/>
                <w:szCs w:val="22"/>
              </w:rPr>
              <w:t>Quality Rating</w:t>
            </w:r>
          </w:p>
        </w:tc>
        <w:tc>
          <w:tcPr>
            <w:tcW w:w="1652" w:type="dxa"/>
            <w:tcBorders>
              <w:top w:val="nil"/>
              <w:left w:val="nil"/>
              <w:bottom w:val="nil"/>
              <w:right w:val="nil"/>
            </w:tcBorders>
            <w:shd w:val="clear" w:color="auto" w:fill="auto"/>
            <w:vAlign w:val="center"/>
            <w:hideMark/>
          </w:tcPr>
          <w:p w14:paraId="35C852C3" w14:textId="77777777" w:rsidR="00776DFC" w:rsidRPr="00296330" w:rsidRDefault="00776DFC">
            <w:pPr>
              <w:jc w:val="center"/>
              <w:rPr>
                <w:b/>
                <w:bCs/>
                <w:color w:val="000000"/>
                <w:sz w:val="22"/>
                <w:szCs w:val="22"/>
              </w:rPr>
            </w:pPr>
          </w:p>
        </w:tc>
        <w:tc>
          <w:tcPr>
            <w:tcW w:w="1652" w:type="dxa"/>
            <w:tcBorders>
              <w:top w:val="nil"/>
              <w:left w:val="nil"/>
              <w:bottom w:val="nil"/>
              <w:right w:val="nil"/>
            </w:tcBorders>
            <w:shd w:val="clear" w:color="auto" w:fill="auto"/>
            <w:vAlign w:val="center"/>
            <w:hideMark/>
          </w:tcPr>
          <w:p w14:paraId="611BD5C9" w14:textId="77777777" w:rsidR="00776DFC" w:rsidRPr="00296330" w:rsidRDefault="00776DFC">
            <w:pPr>
              <w:jc w:val="center"/>
              <w:rPr>
                <w:sz w:val="22"/>
                <w:szCs w:val="22"/>
              </w:rPr>
            </w:pPr>
          </w:p>
        </w:tc>
        <w:tc>
          <w:tcPr>
            <w:tcW w:w="1652" w:type="dxa"/>
            <w:gridSpan w:val="2"/>
            <w:tcBorders>
              <w:top w:val="nil"/>
              <w:left w:val="nil"/>
              <w:bottom w:val="nil"/>
              <w:right w:val="nil"/>
            </w:tcBorders>
            <w:shd w:val="clear" w:color="auto" w:fill="auto"/>
            <w:noWrap/>
            <w:vAlign w:val="center"/>
            <w:hideMark/>
          </w:tcPr>
          <w:p w14:paraId="03E55CC9" w14:textId="77777777" w:rsidR="00776DFC" w:rsidRPr="00296330" w:rsidRDefault="00776DFC">
            <w:pPr>
              <w:jc w:val="center"/>
              <w:rPr>
                <w:sz w:val="22"/>
                <w:szCs w:val="22"/>
              </w:rPr>
            </w:pPr>
          </w:p>
        </w:tc>
        <w:tc>
          <w:tcPr>
            <w:tcW w:w="1652" w:type="dxa"/>
            <w:tcBorders>
              <w:top w:val="nil"/>
              <w:left w:val="nil"/>
              <w:bottom w:val="nil"/>
              <w:right w:val="nil"/>
            </w:tcBorders>
          </w:tcPr>
          <w:p w14:paraId="1DE2C356" w14:textId="77777777" w:rsidR="00776DFC" w:rsidRPr="00296330" w:rsidRDefault="00776DFC">
            <w:pPr>
              <w:jc w:val="center"/>
              <w:rPr>
                <w:sz w:val="22"/>
                <w:szCs w:val="22"/>
              </w:rPr>
            </w:pPr>
          </w:p>
        </w:tc>
      </w:tr>
      <w:tr w:rsidR="00776DFC" w:rsidRPr="00296330" w14:paraId="25B6947F" w14:textId="1F6C7EE1" w:rsidTr="002871DE">
        <w:trPr>
          <w:trHeight w:val="310"/>
        </w:trPr>
        <w:tc>
          <w:tcPr>
            <w:tcW w:w="2290" w:type="dxa"/>
            <w:tcBorders>
              <w:top w:val="nil"/>
              <w:left w:val="nil"/>
              <w:bottom w:val="nil"/>
              <w:right w:val="nil"/>
            </w:tcBorders>
            <w:shd w:val="clear" w:color="auto" w:fill="auto"/>
            <w:vAlign w:val="center"/>
            <w:hideMark/>
          </w:tcPr>
          <w:p w14:paraId="5C1DA858" w14:textId="77777777" w:rsidR="00776DFC" w:rsidRPr="00296330" w:rsidRDefault="00776DFC">
            <w:pPr>
              <w:jc w:val="right"/>
              <w:rPr>
                <w:color w:val="000000"/>
                <w:sz w:val="22"/>
                <w:szCs w:val="22"/>
              </w:rPr>
            </w:pPr>
            <w:r w:rsidRPr="00296330">
              <w:rPr>
                <w:color w:val="000000"/>
                <w:sz w:val="22"/>
                <w:szCs w:val="22"/>
              </w:rPr>
              <w:t>Bronze</w:t>
            </w:r>
          </w:p>
        </w:tc>
        <w:tc>
          <w:tcPr>
            <w:tcW w:w="1652" w:type="dxa"/>
            <w:tcBorders>
              <w:top w:val="nil"/>
              <w:left w:val="nil"/>
              <w:bottom w:val="nil"/>
              <w:right w:val="nil"/>
            </w:tcBorders>
            <w:shd w:val="clear" w:color="auto" w:fill="auto"/>
            <w:vAlign w:val="center"/>
            <w:hideMark/>
          </w:tcPr>
          <w:p w14:paraId="78D014CD" w14:textId="66A5D5E6" w:rsidR="00776DFC" w:rsidRPr="00296330" w:rsidRDefault="00776DFC">
            <w:pPr>
              <w:jc w:val="center"/>
              <w:rPr>
                <w:color w:val="000000"/>
                <w:sz w:val="22"/>
                <w:szCs w:val="22"/>
              </w:rPr>
            </w:pPr>
            <w:r w:rsidRPr="00296330">
              <w:rPr>
                <w:color w:val="000000"/>
                <w:sz w:val="22"/>
                <w:szCs w:val="22"/>
              </w:rPr>
              <w:t>16.9%</w:t>
            </w:r>
          </w:p>
        </w:tc>
        <w:tc>
          <w:tcPr>
            <w:tcW w:w="1652" w:type="dxa"/>
            <w:tcBorders>
              <w:top w:val="nil"/>
              <w:left w:val="nil"/>
              <w:bottom w:val="nil"/>
              <w:right w:val="nil"/>
            </w:tcBorders>
            <w:shd w:val="clear" w:color="auto" w:fill="auto"/>
            <w:vAlign w:val="center"/>
            <w:hideMark/>
          </w:tcPr>
          <w:p w14:paraId="61BAFEB2" w14:textId="2244D448" w:rsidR="00776DFC" w:rsidRPr="00296330" w:rsidRDefault="00776DFC">
            <w:pPr>
              <w:jc w:val="center"/>
              <w:rPr>
                <w:color w:val="000000"/>
                <w:sz w:val="22"/>
                <w:szCs w:val="22"/>
              </w:rPr>
            </w:pPr>
            <w:r w:rsidRPr="00296330">
              <w:rPr>
                <w:color w:val="000000"/>
                <w:sz w:val="22"/>
                <w:szCs w:val="22"/>
              </w:rPr>
              <w:t>11.3%</w:t>
            </w:r>
          </w:p>
        </w:tc>
        <w:tc>
          <w:tcPr>
            <w:tcW w:w="1652" w:type="dxa"/>
            <w:gridSpan w:val="2"/>
            <w:tcBorders>
              <w:top w:val="nil"/>
              <w:left w:val="nil"/>
              <w:bottom w:val="nil"/>
              <w:right w:val="nil"/>
            </w:tcBorders>
            <w:shd w:val="clear" w:color="auto" w:fill="auto"/>
            <w:noWrap/>
            <w:vAlign w:val="center"/>
            <w:hideMark/>
          </w:tcPr>
          <w:p w14:paraId="5DC9E72D" w14:textId="1C57A225" w:rsidR="00776DFC" w:rsidRPr="00296330" w:rsidRDefault="00776DFC">
            <w:pPr>
              <w:jc w:val="center"/>
              <w:rPr>
                <w:color w:val="000000"/>
                <w:sz w:val="22"/>
                <w:szCs w:val="22"/>
              </w:rPr>
            </w:pPr>
            <w:r w:rsidRPr="00296330">
              <w:rPr>
                <w:color w:val="000000"/>
                <w:sz w:val="22"/>
                <w:szCs w:val="22"/>
              </w:rPr>
              <w:t>13.6%</w:t>
            </w:r>
          </w:p>
        </w:tc>
        <w:tc>
          <w:tcPr>
            <w:tcW w:w="1652" w:type="dxa"/>
            <w:tcBorders>
              <w:top w:val="nil"/>
              <w:left w:val="nil"/>
              <w:bottom w:val="nil"/>
              <w:right w:val="nil"/>
            </w:tcBorders>
          </w:tcPr>
          <w:p w14:paraId="204C3FE7" w14:textId="610615F7" w:rsidR="00776DFC" w:rsidRPr="00296330" w:rsidRDefault="00776DFC">
            <w:pPr>
              <w:jc w:val="center"/>
              <w:rPr>
                <w:color w:val="000000"/>
                <w:sz w:val="22"/>
                <w:szCs w:val="22"/>
              </w:rPr>
            </w:pPr>
            <w:r>
              <w:rPr>
                <w:color w:val="000000"/>
                <w:sz w:val="22"/>
                <w:szCs w:val="22"/>
              </w:rPr>
              <w:t>7.7%</w:t>
            </w:r>
          </w:p>
        </w:tc>
      </w:tr>
      <w:tr w:rsidR="00776DFC" w:rsidRPr="00296330" w14:paraId="7E9107D4" w14:textId="283C434E" w:rsidTr="002871DE">
        <w:trPr>
          <w:trHeight w:val="310"/>
        </w:trPr>
        <w:tc>
          <w:tcPr>
            <w:tcW w:w="2290" w:type="dxa"/>
            <w:tcBorders>
              <w:top w:val="nil"/>
              <w:left w:val="nil"/>
              <w:bottom w:val="nil"/>
              <w:right w:val="nil"/>
            </w:tcBorders>
            <w:shd w:val="clear" w:color="auto" w:fill="auto"/>
            <w:vAlign w:val="center"/>
            <w:hideMark/>
          </w:tcPr>
          <w:p w14:paraId="686B9C3C" w14:textId="77777777" w:rsidR="00776DFC" w:rsidRPr="00296330" w:rsidRDefault="00776DFC">
            <w:pPr>
              <w:jc w:val="right"/>
              <w:rPr>
                <w:color w:val="000000"/>
                <w:sz w:val="22"/>
                <w:szCs w:val="22"/>
              </w:rPr>
            </w:pPr>
            <w:r w:rsidRPr="00296330">
              <w:rPr>
                <w:color w:val="000000"/>
                <w:sz w:val="22"/>
                <w:szCs w:val="22"/>
              </w:rPr>
              <w:t>Silver</w:t>
            </w:r>
          </w:p>
        </w:tc>
        <w:tc>
          <w:tcPr>
            <w:tcW w:w="1652" w:type="dxa"/>
            <w:tcBorders>
              <w:top w:val="nil"/>
              <w:left w:val="nil"/>
              <w:bottom w:val="nil"/>
              <w:right w:val="nil"/>
            </w:tcBorders>
            <w:shd w:val="clear" w:color="auto" w:fill="auto"/>
            <w:vAlign w:val="center"/>
            <w:hideMark/>
          </w:tcPr>
          <w:p w14:paraId="03558A4F" w14:textId="740D2CB9" w:rsidR="00776DFC" w:rsidRPr="00296330" w:rsidRDefault="00776DFC">
            <w:pPr>
              <w:jc w:val="center"/>
              <w:rPr>
                <w:color w:val="000000"/>
                <w:sz w:val="22"/>
                <w:szCs w:val="22"/>
              </w:rPr>
            </w:pPr>
            <w:r w:rsidRPr="00296330">
              <w:rPr>
                <w:color w:val="000000"/>
                <w:sz w:val="22"/>
                <w:szCs w:val="22"/>
              </w:rPr>
              <w:t>18.</w:t>
            </w:r>
            <w:r>
              <w:rPr>
                <w:color w:val="000000"/>
                <w:sz w:val="22"/>
                <w:szCs w:val="22"/>
              </w:rPr>
              <w:t>2</w:t>
            </w:r>
            <w:r w:rsidRPr="00296330">
              <w:rPr>
                <w:color w:val="000000"/>
                <w:sz w:val="22"/>
                <w:szCs w:val="22"/>
              </w:rPr>
              <w:t>%</w:t>
            </w:r>
          </w:p>
        </w:tc>
        <w:tc>
          <w:tcPr>
            <w:tcW w:w="1652" w:type="dxa"/>
            <w:tcBorders>
              <w:top w:val="nil"/>
              <w:left w:val="nil"/>
              <w:bottom w:val="nil"/>
              <w:right w:val="nil"/>
            </w:tcBorders>
            <w:shd w:val="clear" w:color="auto" w:fill="auto"/>
            <w:vAlign w:val="center"/>
            <w:hideMark/>
          </w:tcPr>
          <w:p w14:paraId="03A7AA61" w14:textId="44D9B79F" w:rsidR="00776DFC" w:rsidRPr="00296330" w:rsidRDefault="00776DFC">
            <w:pPr>
              <w:jc w:val="center"/>
              <w:rPr>
                <w:color w:val="000000"/>
                <w:sz w:val="22"/>
                <w:szCs w:val="22"/>
              </w:rPr>
            </w:pPr>
            <w:r w:rsidRPr="00296330">
              <w:rPr>
                <w:color w:val="000000"/>
                <w:sz w:val="22"/>
                <w:szCs w:val="22"/>
              </w:rPr>
              <w:t>13.4%</w:t>
            </w:r>
          </w:p>
        </w:tc>
        <w:tc>
          <w:tcPr>
            <w:tcW w:w="1652" w:type="dxa"/>
            <w:gridSpan w:val="2"/>
            <w:tcBorders>
              <w:top w:val="nil"/>
              <w:left w:val="nil"/>
              <w:bottom w:val="nil"/>
              <w:right w:val="nil"/>
            </w:tcBorders>
            <w:shd w:val="clear" w:color="auto" w:fill="auto"/>
            <w:noWrap/>
            <w:vAlign w:val="center"/>
            <w:hideMark/>
          </w:tcPr>
          <w:p w14:paraId="52400F1F" w14:textId="2CC390C4" w:rsidR="00776DFC" w:rsidRPr="00296330" w:rsidRDefault="00776DFC">
            <w:pPr>
              <w:jc w:val="center"/>
              <w:rPr>
                <w:color w:val="000000"/>
                <w:sz w:val="22"/>
                <w:szCs w:val="22"/>
              </w:rPr>
            </w:pPr>
            <w:r w:rsidRPr="00296330">
              <w:rPr>
                <w:color w:val="000000"/>
                <w:sz w:val="22"/>
                <w:szCs w:val="22"/>
              </w:rPr>
              <w:t>18.2%</w:t>
            </w:r>
          </w:p>
        </w:tc>
        <w:tc>
          <w:tcPr>
            <w:tcW w:w="1652" w:type="dxa"/>
            <w:tcBorders>
              <w:top w:val="nil"/>
              <w:left w:val="nil"/>
              <w:bottom w:val="nil"/>
              <w:right w:val="nil"/>
            </w:tcBorders>
          </w:tcPr>
          <w:p w14:paraId="2AEEDEA1" w14:textId="70435793" w:rsidR="00776DFC" w:rsidRPr="00296330" w:rsidRDefault="00776DFC">
            <w:pPr>
              <w:jc w:val="center"/>
              <w:rPr>
                <w:color w:val="000000"/>
                <w:sz w:val="22"/>
                <w:szCs w:val="22"/>
              </w:rPr>
            </w:pPr>
            <w:r>
              <w:rPr>
                <w:color w:val="000000"/>
                <w:sz w:val="22"/>
                <w:szCs w:val="22"/>
              </w:rPr>
              <w:t>19.2%</w:t>
            </w:r>
          </w:p>
        </w:tc>
      </w:tr>
      <w:tr w:rsidR="00776DFC" w:rsidRPr="00296330" w14:paraId="26DAF9F2" w14:textId="28DF916B" w:rsidTr="002871DE">
        <w:trPr>
          <w:trHeight w:val="310"/>
        </w:trPr>
        <w:tc>
          <w:tcPr>
            <w:tcW w:w="2290" w:type="dxa"/>
            <w:tcBorders>
              <w:top w:val="nil"/>
              <w:left w:val="nil"/>
              <w:bottom w:val="nil"/>
              <w:right w:val="nil"/>
            </w:tcBorders>
            <w:shd w:val="clear" w:color="auto" w:fill="auto"/>
            <w:vAlign w:val="center"/>
            <w:hideMark/>
          </w:tcPr>
          <w:p w14:paraId="1CE63B9D" w14:textId="77777777" w:rsidR="00776DFC" w:rsidRPr="00296330" w:rsidRDefault="00776DFC">
            <w:pPr>
              <w:jc w:val="right"/>
              <w:rPr>
                <w:color w:val="000000"/>
                <w:sz w:val="22"/>
                <w:szCs w:val="22"/>
              </w:rPr>
            </w:pPr>
            <w:r w:rsidRPr="00296330">
              <w:rPr>
                <w:color w:val="000000"/>
                <w:sz w:val="22"/>
                <w:szCs w:val="22"/>
              </w:rPr>
              <w:t>Gold</w:t>
            </w:r>
          </w:p>
        </w:tc>
        <w:tc>
          <w:tcPr>
            <w:tcW w:w="1652" w:type="dxa"/>
            <w:tcBorders>
              <w:top w:val="nil"/>
              <w:left w:val="nil"/>
              <w:bottom w:val="nil"/>
              <w:right w:val="nil"/>
            </w:tcBorders>
            <w:shd w:val="clear" w:color="auto" w:fill="auto"/>
            <w:vAlign w:val="center"/>
            <w:hideMark/>
          </w:tcPr>
          <w:p w14:paraId="4789C994" w14:textId="3879BB8E" w:rsidR="00776DFC" w:rsidRPr="00296330" w:rsidRDefault="00776DFC">
            <w:pPr>
              <w:jc w:val="center"/>
              <w:rPr>
                <w:color w:val="000000"/>
                <w:sz w:val="22"/>
                <w:szCs w:val="22"/>
              </w:rPr>
            </w:pPr>
            <w:r w:rsidRPr="00296330">
              <w:rPr>
                <w:color w:val="000000"/>
                <w:sz w:val="22"/>
                <w:szCs w:val="22"/>
              </w:rPr>
              <w:t>20.1%</w:t>
            </w:r>
          </w:p>
        </w:tc>
        <w:tc>
          <w:tcPr>
            <w:tcW w:w="1652" w:type="dxa"/>
            <w:tcBorders>
              <w:top w:val="nil"/>
              <w:left w:val="nil"/>
              <w:bottom w:val="nil"/>
              <w:right w:val="nil"/>
            </w:tcBorders>
            <w:shd w:val="clear" w:color="auto" w:fill="auto"/>
            <w:vAlign w:val="center"/>
            <w:hideMark/>
          </w:tcPr>
          <w:p w14:paraId="0C0720EA" w14:textId="43DE64B1" w:rsidR="00776DFC" w:rsidRPr="00296330" w:rsidRDefault="00776DFC">
            <w:pPr>
              <w:jc w:val="center"/>
              <w:rPr>
                <w:color w:val="000000"/>
                <w:sz w:val="22"/>
                <w:szCs w:val="22"/>
              </w:rPr>
            </w:pPr>
            <w:r w:rsidRPr="00296330">
              <w:rPr>
                <w:color w:val="000000"/>
                <w:sz w:val="22"/>
                <w:szCs w:val="22"/>
              </w:rPr>
              <w:t>21.6%</w:t>
            </w:r>
          </w:p>
        </w:tc>
        <w:tc>
          <w:tcPr>
            <w:tcW w:w="1652" w:type="dxa"/>
            <w:gridSpan w:val="2"/>
            <w:tcBorders>
              <w:top w:val="nil"/>
              <w:left w:val="nil"/>
              <w:bottom w:val="nil"/>
              <w:right w:val="nil"/>
            </w:tcBorders>
            <w:shd w:val="clear" w:color="auto" w:fill="auto"/>
            <w:noWrap/>
            <w:vAlign w:val="center"/>
            <w:hideMark/>
          </w:tcPr>
          <w:p w14:paraId="088664F0" w14:textId="60398182" w:rsidR="00776DFC" w:rsidRPr="00296330" w:rsidRDefault="00776DFC">
            <w:pPr>
              <w:jc w:val="center"/>
              <w:rPr>
                <w:color w:val="000000"/>
                <w:sz w:val="22"/>
                <w:szCs w:val="22"/>
              </w:rPr>
            </w:pPr>
            <w:r w:rsidRPr="00296330">
              <w:rPr>
                <w:color w:val="000000"/>
                <w:sz w:val="22"/>
                <w:szCs w:val="22"/>
              </w:rPr>
              <w:t>18.2%</w:t>
            </w:r>
          </w:p>
        </w:tc>
        <w:tc>
          <w:tcPr>
            <w:tcW w:w="1652" w:type="dxa"/>
            <w:tcBorders>
              <w:top w:val="nil"/>
              <w:left w:val="nil"/>
              <w:bottom w:val="nil"/>
              <w:right w:val="nil"/>
            </w:tcBorders>
          </w:tcPr>
          <w:p w14:paraId="23DA81ED" w14:textId="52759FCC" w:rsidR="00776DFC" w:rsidRPr="00296330" w:rsidRDefault="00776DFC">
            <w:pPr>
              <w:jc w:val="center"/>
              <w:rPr>
                <w:color w:val="000000"/>
                <w:sz w:val="22"/>
                <w:szCs w:val="22"/>
              </w:rPr>
            </w:pPr>
            <w:r>
              <w:rPr>
                <w:color w:val="000000"/>
                <w:sz w:val="22"/>
                <w:szCs w:val="22"/>
              </w:rPr>
              <w:t>26.9%</w:t>
            </w:r>
          </w:p>
        </w:tc>
      </w:tr>
      <w:tr w:rsidR="00776DFC" w:rsidRPr="00296330" w14:paraId="19801949" w14:textId="10B72297" w:rsidTr="002871DE">
        <w:trPr>
          <w:trHeight w:val="310"/>
        </w:trPr>
        <w:tc>
          <w:tcPr>
            <w:tcW w:w="2290" w:type="dxa"/>
            <w:tcBorders>
              <w:top w:val="nil"/>
              <w:left w:val="nil"/>
              <w:bottom w:val="nil"/>
              <w:right w:val="nil"/>
            </w:tcBorders>
            <w:shd w:val="clear" w:color="auto" w:fill="auto"/>
            <w:vAlign w:val="center"/>
            <w:hideMark/>
          </w:tcPr>
          <w:p w14:paraId="39B37994" w14:textId="77777777" w:rsidR="00776DFC" w:rsidRPr="00296330" w:rsidRDefault="00776DFC">
            <w:pPr>
              <w:rPr>
                <w:b/>
                <w:bCs/>
                <w:color w:val="000000"/>
                <w:sz w:val="22"/>
                <w:szCs w:val="22"/>
              </w:rPr>
            </w:pPr>
            <w:r w:rsidRPr="00296330">
              <w:rPr>
                <w:b/>
                <w:bCs/>
                <w:color w:val="000000"/>
                <w:sz w:val="22"/>
                <w:szCs w:val="22"/>
              </w:rPr>
              <w:t xml:space="preserve">Funding </w:t>
            </w:r>
          </w:p>
        </w:tc>
        <w:tc>
          <w:tcPr>
            <w:tcW w:w="1652" w:type="dxa"/>
            <w:tcBorders>
              <w:top w:val="nil"/>
              <w:left w:val="nil"/>
              <w:bottom w:val="nil"/>
              <w:right w:val="nil"/>
            </w:tcBorders>
            <w:shd w:val="clear" w:color="auto" w:fill="auto"/>
            <w:vAlign w:val="center"/>
            <w:hideMark/>
          </w:tcPr>
          <w:p w14:paraId="354BF33D" w14:textId="77777777" w:rsidR="00776DFC" w:rsidRPr="00296330" w:rsidRDefault="00776DFC">
            <w:pPr>
              <w:jc w:val="center"/>
              <w:rPr>
                <w:b/>
                <w:bCs/>
                <w:color w:val="000000"/>
                <w:sz w:val="22"/>
                <w:szCs w:val="22"/>
              </w:rPr>
            </w:pPr>
          </w:p>
        </w:tc>
        <w:tc>
          <w:tcPr>
            <w:tcW w:w="1652" w:type="dxa"/>
            <w:tcBorders>
              <w:top w:val="nil"/>
              <w:left w:val="nil"/>
              <w:bottom w:val="nil"/>
              <w:right w:val="nil"/>
            </w:tcBorders>
            <w:shd w:val="clear" w:color="auto" w:fill="auto"/>
            <w:vAlign w:val="center"/>
            <w:hideMark/>
          </w:tcPr>
          <w:p w14:paraId="3DBF4826" w14:textId="77777777" w:rsidR="00776DFC" w:rsidRPr="00296330" w:rsidRDefault="00776DFC">
            <w:pPr>
              <w:jc w:val="center"/>
              <w:rPr>
                <w:sz w:val="22"/>
                <w:szCs w:val="22"/>
              </w:rPr>
            </w:pPr>
          </w:p>
        </w:tc>
        <w:tc>
          <w:tcPr>
            <w:tcW w:w="1652" w:type="dxa"/>
            <w:gridSpan w:val="2"/>
            <w:tcBorders>
              <w:top w:val="nil"/>
              <w:left w:val="nil"/>
              <w:bottom w:val="nil"/>
              <w:right w:val="nil"/>
            </w:tcBorders>
            <w:shd w:val="clear" w:color="auto" w:fill="auto"/>
            <w:noWrap/>
            <w:vAlign w:val="center"/>
            <w:hideMark/>
          </w:tcPr>
          <w:p w14:paraId="6E3F9D3D" w14:textId="77777777" w:rsidR="00776DFC" w:rsidRPr="00296330" w:rsidRDefault="00776DFC">
            <w:pPr>
              <w:jc w:val="center"/>
              <w:rPr>
                <w:sz w:val="22"/>
                <w:szCs w:val="22"/>
              </w:rPr>
            </w:pPr>
          </w:p>
        </w:tc>
        <w:tc>
          <w:tcPr>
            <w:tcW w:w="1652" w:type="dxa"/>
            <w:tcBorders>
              <w:top w:val="nil"/>
              <w:left w:val="nil"/>
              <w:bottom w:val="nil"/>
              <w:right w:val="nil"/>
            </w:tcBorders>
          </w:tcPr>
          <w:p w14:paraId="5CB6A4E4" w14:textId="77777777" w:rsidR="00776DFC" w:rsidRPr="00296330" w:rsidRDefault="00776DFC">
            <w:pPr>
              <w:jc w:val="center"/>
              <w:rPr>
                <w:sz w:val="22"/>
                <w:szCs w:val="22"/>
              </w:rPr>
            </w:pPr>
          </w:p>
        </w:tc>
      </w:tr>
      <w:tr w:rsidR="00776DFC" w:rsidRPr="00296330" w14:paraId="481F0C8C" w14:textId="65E094D8" w:rsidTr="002871DE">
        <w:trPr>
          <w:trHeight w:val="310"/>
        </w:trPr>
        <w:tc>
          <w:tcPr>
            <w:tcW w:w="2290" w:type="dxa"/>
            <w:tcBorders>
              <w:top w:val="nil"/>
              <w:left w:val="nil"/>
              <w:bottom w:val="single" w:sz="4" w:space="0" w:color="auto"/>
              <w:right w:val="nil"/>
            </w:tcBorders>
            <w:shd w:val="clear" w:color="auto" w:fill="auto"/>
            <w:vAlign w:val="center"/>
            <w:hideMark/>
          </w:tcPr>
          <w:p w14:paraId="6256BD31" w14:textId="77777777" w:rsidR="00776DFC" w:rsidRPr="00296330" w:rsidRDefault="00776DFC">
            <w:pPr>
              <w:jc w:val="right"/>
              <w:rPr>
                <w:color w:val="000000"/>
                <w:sz w:val="22"/>
                <w:szCs w:val="22"/>
              </w:rPr>
            </w:pPr>
            <w:r w:rsidRPr="00296330">
              <w:rPr>
                <w:color w:val="000000"/>
                <w:sz w:val="22"/>
                <w:szCs w:val="22"/>
              </w:rPr>
              <w:t>Accepts some tuition</w:t>
            </w:r>
          </w:p>
        </w:tc>
        <w:tc>
          <w:tcPr>
            <w:tcW w:w="1652" w:type="dxa"/>
            <w:tcBorders>
              <w:top w:val="nil"/>
              <w:left w:val="nil"/>
              <w:bottom w:val="single" w:sz="4" w:space="0" w:color="auto"/>
              <w:right w:val="nil"/>
            </w:tcBorders>
            <w:shd w:val="clear" w:color="auto" w:fill="auto"/>
            <w:vAlign w:val="center"/>
            <w:hideMark/>
          </w:tcPr>
          <w:p w14:paraId="34A4D911" w14:textId="413A4C38" w:rsidR="00776DFC" w:rsidRPr="00296330" w:rsidRDefault="00776DFC">
            <w:pPr>
              <w:jc w:val="center"/>
              <w:rPr>
                <w:color w:val="000000"/>
                <w:sz w:val="22"/>
                <w:szCs w:val="22"/>
              </w:rPr>
            </w:pPr>
            <w:r w:rsidRPr="00296330">
              <w:rPr>
                <w:color w:val="000000"/>
                <w:sz w:val="22"/>
                <w:szCs w:val="22"/>
              </w:rPr>
              <w:t>62.3%</w:t>
            </w:r>
          </w:p>
        </w:tc>
        <w:tc>
          <w:tcPr>
            <w:tcW w:w="1652" w:type="dxa"/>
            <w:tcBorders>
              <w:top w:val="nil"/>
              <w:left w:val="nil"/>
              <w:bottom w:val="single" w:sz="4" w:space="0" w:color="auto"/>
              <w:right w:val="nil"/>
            </w:tcBorders>
            <w:shd w:val="clear" w:color="auto" w:fill="auto"/>
            <w:vAlign w:val="center"/>
            <w:hideMark/>
          </w:tcPr>
          <w:p w14:paraId="332839F8" w14:textId="1D394522" w:rsidR="00776DFC" w:rsidRPr="00296330" w:rsidRDefault="00776DFC">
            <w:pPr>
              <w:jc w:val="center"/>
              <w:rPr>
                <w:color w:val="000000"/>
                <w:sz w:val="22"/>
                <w:szCs w:val="22"/>
              </w:rPr>
            </w:pPr>
            <w:r w:rsidRPr="00296330">
              <w:rPr>
                <w:color w:val="000000"/>
                <w:sz w:val="22"/>
                <w:szCs w:val="22"/>
              </w:rPr>
              <w:t>72.0%</w:t>
            </w:r>
          </w:p>
        </w:tc>
        <w:tc>
          <w:tcPr>
            <w:tcW w:w="1652" w:type="dxa"/>
            <w:gridSpan w:val="2"/>
            <w:tcBorders>
              <w:top w:val="nil"/>
              <w:left w:val="nil"/>
              <w:bottom w:val="single" w:sz="4" w:space="0" w:color="auto"/>
              <w:right w:val="nil"/>
            </w:tcBorders>
            <w:shd w:val="clear" w:color="auto" w:fill="auto"/>
            <w:noWrap/>
            <w:vAlign w:val="center"/>
            <w:hideMark/>
          </w:tcPr>
          <w:p w14:paraId="29449BF0" w14:textId="411F1370" w:rsidR="00776DFC" w:rsidRPr="00296330" w:rsidRDefault="00776DFC">
            <w:pPr>
              <w:jc w:val="center"/>
              <w:rPr>
                <w:color w:val="000000"/>
                <w:sz w:val="22"/>
                <w:szCs w:val="22"/>
              </w:rPr>
            </w:pPr>
            <w:r w:rsidRPr="00296330">
              <w:rPr>
                <w:color w:val="000000"/>
                <w:sz w:val="22"/>
                <w:szCs w:val="22"/>
              </w:rPr>
              <w:t>56.8%</w:t>
            </w:r>
          </w:p>
        </w:tc>
        <w:tc>
          <w:tcPr>
            <w:tcW w:w="1652" w:type="dxa"/>
            <w:tcBorders>
              <w:top w:val="nil"/>
              <w:left w:val="nil"/>
              <w:bottom w:val="single" w:sz="4" w:space="0" w:color="auto"/>
              <w:right w:val="nil"/>
            </w:tcBorders>
          </w:tcPr>
          <w:p w14:paraId="73BB1063" w14:textId="5E5EEC57" w:rsidR="00776DFC" w:rsidRPr="00296330" w:rsidRDefault="00776DFC">
            <w:pPr>
              <w:jc w:val="center"/>
              <w:rPr>
                <w:color w:val="000000"/>
                <w:sz w:val="22"/>
                <w:szCs w:val="22"/>
              </w:rPr>
            </w:pPr>
            <w:r>
              <w:rPr>
                <w:color w:val="000000"/>
                <w:sz w:val="22"/>
                <w:szCs w:val="22"/>
              </w:rPr>
              <w:t>73.0%</w:t>
            </w:r>
          </w:p>
        </w:tc>
      </w:tr>
    </w:tbl>
    <w:p w14:paraId="6578368C" w14:textId="7011DF04" w:rsidR="00624F27" w:rsidRPr="00296330" w:rsidRDefault="00624F27">
      <w:pPr>
        <w:spacing w:line="480" w:lineRule="auto"/>
        <w:ind w:left="720" w:hanging="720"/>
        <w:rPr>
          <w:sz w:val="22"/>
          <w:szCs w:val="22"/>
        </w:rPr>
      </w:pPr>
    </w:p>
    <w:p w14:paraId="7D3DABE7" w14:textId="77777777" w:rsidR="001205A3" w:rsidRDefault="00624F27" w:rsidP="00E141A0">
      <w:pPr>
        <w:spacing w:line="259" w:lineRule="auto"/>
        <w:rPr>
          <w:sz w:val="22"/>
          <w:szCs w:val="22"/>
        </w:rPr>
        <w:sectPr w:rsidR="001205A3" w:rsidSect="005F38D5">
          <w:headerReference w:type="default" r:id="rId28"/>
          <w:headerReference w:type="first" r:id="rId29"/>
          <w:footerReference w:type="first" r:id="rId30"/>
          <w:pgSz w:w="12240" w:h="15840"/>
          <w:pgMar w:top="1440" w:right="1440" w:bottom="1440" w:left="1440" w:header="720" w:footer="720" w:gutter="0"/>
          <w:cols w:space="720"/>
          <w:titlePg/>
          <w:docGrid w:linePitch="360"/>
        </w:sectPr>
      </w:pPr>
      <w:r w:rsidRPr="00296330">
        <w:rPr>
          <w:sz w:val="22"/>
          <w:szCs w:val="22"/>
        </w:rPr>
        <w:br w:type="page"/>
      </w:r>
    </w:p>
    <w:p w14:paraId="126555B0" w14:textId="74414733" w:rsidR="00E45089" w:rsidRDefault="00D2335C" w:rsidP="00E141A0">
      <w:pPr>
        <w:spacing w:line="259" w:lineRule="auto"/>
        <w:rPr>
          <w:iCs/>
          <w:color w:val="000000"/>
          <w:sz w:val="22"/>
          <w:szCs w:val="22"/>
        </w:rPr>
      </w:pPr>
      <w:r w:rsidRPr="00E45089">
        <w:rPr>
          <w:iCs/>
          <w:color w:val="000000"/>
          <w:sz w:val="22"/>
          <w:szCs w:val="22"/>
        </w:rPr>
        <w:lastRenderedPageBreak/>
        <w:t>Table 2</w:t>
      </w:r>
    </w:p>
    <w:p w14:paraId="07556F95" w14:textId="77777777" w:rsidR="00E45089" w:rsidRPr="00E45089" w:rsidRDefault="00E45089" w:rsidP="00E141A0">
      <w:pPr>
        <w:spacing w:line="259" w:lineRule="auto"/>
        <w:rPr>
          <w:iCs/>
          <w:color w:val="000000"/>
          <w:sz w:val="22"/>
          <w:szCs w:val="22"/>
        </w:rPr>
      </w:pPr>
    </w:p>
    <w:p w14:paraId="78A58978" w14:textId="63641ACF" w:rsidR="00624F27" w:rsidRPr="00296330" w:rsidRDefault="00D2335C" w:rsidP="00E141A0">
      <w:pPr>
        <w:spacing w:line="259" w:lineRule="auto"/>
        <w:rPr>
          <w:i/>
          <w:sz w:val="22"/>
          <w:szCs w:val="22"/>
        </w:rPr>
      </w:pPr>
      <w:r w:rsidRPr="00E141A0">
        <w:rPr>
          <w:i/>
          <w:color w:val="000000"/>
          <w:sz w:val="22"/>
          <w:szCs w:val="22"/>
        </w:rPr>
        <w:t>Rates of Exclusionary Discipline</w:t>
      </w:r>
    </w:p>
    <w:tbl>
      <w:tblPr>
        <w:tblW w:w="11598" w:type="dxa"/>
        <w:tblLook w:val="04A0" w:firstRow="1" w:lastRow="0" w:firstColumn="1" w:lastColumn="0" w:noHBand="0" w:noVBand="1"/>
      </w:tblPr>
      <w:tblGrid>
        <w:gridCol w:w="2714"/>
        <w:gridCol w:w="792"/>
        <w:gridCol w:w="720"/>
        <w:gridCol w:w="711"/>
        <w:gridCol w:w="900"/>
        <w:gridCol w:w="1170"/>
        <w:gridCol w:w="271"/>
        <w:gridCol w:w="720"/>
        <w:gridCol w:w="720"/>
        <w:gridCol w:w="900"/>
        <w:gridCol w:w="810"/>
        <w:gridCol w:w="1170"/>
      </w:tblGrid>
      <w:tr w:rsidR="008A0AAB" w:rsidRPr="00296330" w14:paraId="2CBF95BC" w14:textId="77777777" w:rsidTr="000660B4">
        <w:trPr>
          <w:trHeight w:val="310"/>
        </w:trPr>
        <w:tc>
          <w:tcPr>
            <w:tcW w:w="2714" w:type="dxa"/>
            <w:tcBorders>
              <w:top w:val="nil"/>
              <w:left w:val="nil"/>
              <w:bottom w:val="nil"/>
              <w:right w:val="nil"/>
            </w:tcBorders>
            <w:shd w:val="clear" w:color="auto" w:fill="auto"/>
            <w:vAlign w:val="bottom"/>
          </w:tcPr>
          <w:p w14:paraId="5AB45EE1" w14:textId="77777777" w:rsidR="008A0AAB" w:rsidRPr="00E141A0" w:rsidRDefault="008A0AAB">
            <w:pPr>
              <w:rPr>
                <w:sz w:val="22"/>
                <w:szCs w:val="22"/>
              </w:rPr>
            </w:pPr>
          </w:p>
        </w:tc>
        <w:tc>
          <w:tcPr>
            <w:tcW w:w="4293" w:type="dxa"/>
            <w:gridSpan w:val="5"/>
            <w:tcBorders>
              <w:top w:val="nil"/>
              <w:left w:val="nil"/>
              <w:bottom w:val="nil"/>
              <w:right w:val="nil"/>
            </w:tcBorders>
            <w:shd w:val="clear" w:color="auto" w:fill="auto"/>
            <w:noWrap/>
            <w:vAlign w:val="bottom"/>
          </w:tcPr>
          <w:p w14:paraId="54A8D33A" w14:textId="472EA6D5" w:rsidR="008A0AAB" w:rsidRPr="00E141A0" w:rsidRDefault="008A0AAB">
            <w:pPr>
              <w:jc w:val="center"/>
              <w:rPr>
                <w:b/>
                <w:bCs/>
                <w:color w:val="000000"/>
                <w:sz w:val="22"/>
                <w:szCs w:val="22"/>
              </w:rPr>
            </w:pPr>
            <w:r>
              <w:rPr>
                <w:b/>
                <w:bCs/>
                <w:color w:val="000000"/>
                <w:sz w:val="22"/>
                <w:szCs w:val="22"/>
              </w:rPr>
              <w:t>Year 1</w:t>
            </w:r>
          </w:p>
        </w:tc>
        <w:tc>
          <w:tcPr>
            <w:tcW w:w="4591" w:type="dxa"/>
            <w:gridSpan w:val="6"/>
            <w:tcBorders>
              <w:top w:val="nil"/>
              <w:left w:val="nil"/>
              <w:bottom w:val="nil"/>
              <w:right w:val="nil"/>
            </w:tcBorders>
            <w:shd w:val="clear" w:color="auto" w:fill="auto"/>
            <w:noWrap/>
            <w:vAlign w:val="bottom"/>
          </w:tcPr>
          <w:p w14:paraId="6BBC2AB7" w14:textId="4C44733C" w:rsidR="008A0AAB" w:rsidRPr="00E141A0" w:rsidRDefault="008A0AAB">
            <w:pPr>
              <w:jc w:val="center"/>
              <w:rPr>
                <w:b/>
                <w:bCs/>
                <w:color w:val="000000"/>
                <w:sz w:val="22"/>
                <w:szCs w:val="22"/>
              </w:rPr>
            </w:pPr>
            <w:r>
              <w:rPr>
                <w:b/>
                <w:bCs/>
                <w:color w:val="000000"/>
                <w:sz w:val="22"/>
                <w:szCs w:val="22"/>
              </w:rPr>
              <w:t>Year 2</w:t>
            </w:r>
          </w:p>
        </w:tc>
      </w:tr>
      <w:tr w:rsidR="00D2335C" w:rsidRPr="00296330" w14:paraId="549595D8" w14:textId="77777777" w:rsidTr="000660B4">
        <w:trPr>
          <w:trHeight w:val="310"/>
        </w:trPr>
        <w:tc>
          <w:tcPr>
            <w:tcW w:w="2714" w:type="dxa"/>
            <w:tcBorders>
              <w:top w:val="nil"/>
              <w:left w:val="nil"/>
              <w:bottom w:val="nil"/>
              <w:right w:val="nil"/>
            </w:tcBorders>
            <w:shd w:val="clear" w:color="auto" w:fill="auto"/>
            <w:vAlign w:val="bottom"/>
            <w:hideMark/>
          </w:tcPr>
          <w:p w14:paraId="1FF6AFAC" w14:textId="77777777" w:rsidR="00D2335C" w:rsidRPr="00E141A0" w:rsidRDefault="00D2335C">
            <w:pPr>
              <w:rPr>
                <w:sz w:val="22"/>
                <w:szCs w:val="22"/>
              </w:rPr>
            </w:pPr>
          </w:p>
        </w:tc>
        <w:tc>
          <w:tcPr>
            <w:tcW w:w="4293" w:type="dxa"/>
            <w:gridSpan w:val="5"/>
            <w:tcBorders>
              <w:top w:val="nil"/>
              <w:left w:val="nil"/>
              <w:bottom w:val="nil"/>
              <w:right w:val="nil"/>
            </w:tcBorders>
            <w:shd w:val="clear" w:color="auto" w:fill="auto"/>
            <w:noWrap/>
            <w:vAlign w:val="bottom"/>
            <w:hideMark/>
          </w:tcPr>
          <w:p w14:paraId="794E70A7" w14:textId="7206090E" w:rsidR="00D2335C" w:rsidRPr="00E141A0" w:rsidRDefault="00D2335C">
            <w:pPr>
              <w:jc w:val="center"/>
              <w:rPr>
                <w:b/>
                <w:bCs/>
                <w:color w:val="000000"/>
                <w:sz w:val="22"/>
                <w:szCs w:val="22"/>
              </w:rPr>
            </w:pPr>
            <w:r w:rsidRPr="00E141A0">
              <w:rPr>
                <w:b/>
                <w:bCs/>
                <w:color w:val="000000"/>
                <w:sz w:val="22"/>
                <w:szCs w:val="22"/>
              </w:rPr>
              <w:t>2017-2018 (N=154)</w:t>
            </w:r>
          </w:p>
        </w:tc>
        <w:tc>
          <w:tcPr>
            <w:tcW w:w="4591" w:type="dxa"/>
            <w:gridSpan w:val="6"/>
            <w:tcBorders>
              <w:top w:val="nil"/>
              <w:left w:val="nil"/>
              <w:bottom w:val="nil"/>
              <w:right w:val="nil"/>
            </w:tcBorders>
            <w:shd w:val="clear" w:color="auto" w:fill="auto"/>
            <w:noWrap/>
            <w:vAlign w:val="bottom"/>
            <w:hideMark/>
          </w:tcPr>
          <w:p w14:paraId="5144B9B8" w14:textId="77777777" w:rsidR="00D2335C" w:rsidRPr="00E141A0" w:rsidRDefault="00D2335C">
            <w:pPr>
              <w:jc w:val="center"/>
              <w:rPr>
                <w:b/>
                <w:bCs/>
                <w:color w:val="000000"/>
                <w:sz w:val="22"/>
                <w:szCs w:val="22"/>
              </w:rPr>
            </w:pPr>
            <w:r w:rsidRPr="00E141A0">
              <w:rPr>
                <w:b/>
                <w:bCs/>
                <w:color w:val="000000"/>
                <w:sz w:val="22"/>
                <w:szCs w:val="22"/>
              </w:rPr>
              <w:t>2018-2019 (N=94)</w:t>
            </w:r>
          </w:p>
        </w:tc>
      </w:tr>
      <w:tr w:rsidR="00D2335C" w:rsidRPr="00296330" w14:paraId="5CD032F2" w14:textId="77777777" w:rsidTr="000660B4">
        <w:trPr>
          <w:trHeight w:val="576"/>
        </w:trPr>
        <w:tc>
          <w:tcPr>
            <w:tcW w:w="2714" w:type="dxa"/>
            <w:tcBorders>
              <w:top w:val="nil"/>
              <w:left w:val="nil"/>
              <w:bottom w:val="single" w:sz="4" w:space="0" w:color="auto"/>
              <w:right w:val="nil"/>
            </w:tcBorders>
            <w:shd w:val="clear" w:color="auto" w:fill="auto"/>
            <w:vAlign w:val="bottom"/>
            <w:hideMark/>
          </w:tcPr>
          <w:p w14:paraId="09A25CAF" w14:textId="77777777" w:rsidR="00D2335C" w:rsidRPr="00E141A0" w:rsidRDefault="00D2335C">
            <w:pPr>
              <w:rPr>
                <w:b/>
                <w:bCs/>
                <w:color w:val="000000"/>
                <w:sz w:val="22"/>
                <w:szCs w:val="22"/>
              </w:rPr>
            </w:pPr>
            <w:r w:rsidRPr="00E141A0">
              <w:rPr>
                <w:b/>
                <w:bCs/>
                <w:color w:val="000000"/>
                <w:sz w:val="22"/>
                <w:szCs w:val="22"/>
              </w:rPr>
              <w:t>Full Samples</w:t>
            </w:r>
          </w:p>
        </w:tc>
        <w:tc>
          <w:tcPr>
            <w:tcW w:w="792" w:type="dxa"/>
            <w:tcBorders>
              <w:top w:val="nil"/>
              <w:left w:val="nil"/>
              <w:bottom w:val="single" w:sz="4" w:space="0" w:color="auto"/>
              <w:right w:val="nil"/>
            </w:tcBorders>
            <w:shd w:val="clear" w:color="auto" w:fill="auto"/>
            <w:noWrap/>
            <w:vAlign w:val="bottom"/>
            <w:hideMark/>
          </w:tcPr>
          <w:p w14:paraId="34CA578D" w14:textId="77777777" w:rsidR="00D2335C" w:rsidRPr="00E141A0" w:rsidRDefault="00D2335C">
            <w:pPr>
              <w:jc w:val="center"/>
              <w:rPr>
                <w:color w:val="000000"/>
                <w:sz w:val="22"/>
                <w:szCs w:val="22"/>
              </w:rPr>
            </w:pPr>
            <w:r w:rsidRPr="00E141A0">
              <w:rPr>
                <w:color w:val="000000"/>
                <w:sz w:val="22"/>
                <w:szCs w:val="22"/>
              </w:rPr>
              <w:t>Total</w:t>
            </w:r>
          </w:p>
        </w:tc>
        <w:tc>
          <w:tcPr>
            <w:tcW w:w="720" w:type="dxa"/>
            <w:tcBorders>
              <w:top w:val="nil"/>
              <w:left w:val="nil"/>
              <w:bottom w:val="single" w:sz="4" w:space="0" w:color="auto"/>
              <w:right w:val="nil"/>
            </w:tcBorders>
            <w:shd w:val="clear" w:color="auto" w:fill="auto"/>
            <w:noWrap/>
            <w:vAlign w:val="bottom"/>
            <w:hideMark/>
          </w:tcPr>
          <w:p w14:paraId="518D9BFB" w14:textId="77777777" w:rsidR="00D2335C" w:rsidRPr="00E141A0" w:rsidRDefault="00D2335C">
            <w:pPr>
              <w:jc w:val="center"/>
              <w:rPr>
                <w:i/>
                <w:iCs/>
                <w:color w:val="000000"/>
                <w:sz w:val="22"/>
                <w:szCs w:val="22"/>
              </w:rPr>
            </w:pPr>
            <w:r w:rsidRPr="00E141A0">
              <w:rPr>
                <w:i/>
                <w:iCs/>
                <w:color w:val="000000"/>
                <w:sz w:val="22"/>
                <w:szCs w:val="22"/>
              </w:rPr>
              <w:t>M</w:t>
            </w:r>
          </w:p>
        </w:tc>
        <w:tc>
          <w:tcPr>
            <w:tcW w:w="711" w:type="dxa"/>
            <w:tcBorders>
              <w:top w:val="nil"/>
              <w:left w:val="nil"/>
              <w:bottom w:val="single" w:sz="4" w:space="0" w:color="auto"/>
              <w:right w:val="nil"/>
            </w:tcBorders>
            <w:shd w:val="clear" w:color="auto" w:fill="auto"/>
            <w:noWrap/>
            <w:vAlign w:val="bottom"/>
            <w:hideMark/>
          </w:tcPr>
          <w:p w14:paraId="40A5CB45" w14:textId="77777777" w:rsidR="00D2335C" w:rsidRPr="00E141A0" w:rsidRDefault="00D2335C">
            <w:pPr>
              <w:jc w:val="center"/>
              <w:rPr>
                <w:color w:val="000000"/>
                <w:sz w:val="22"/>
                <w:szCs w:val="22"/>
              </w:rPr>
            </w:pPr>
            <w:r w:rsidRPr="00E141A0">
              <w:rPr>
                <w:color w:val="000000"/>
                <w:sz w:val="22"/>
                <w:szCs w:val="22"/>
              </w:rPr>
              <w:t>SD</w:t>
            </w:r>
          </w:p>
        </w:tc>
        <w:tc>
          <w:tcPr>
            <w:tcW w:w="900" w:type="dxa"/>
            <w:tcBorders>
              <w:top w:val="nil"/>
              <w:left w:val="nil"/>
              <w:bottom w:val="single" w:sz="4" w:space="0" w:color="auto"/>
              <w:right w:val="nil"/>
            </w:tcBorders>
            <w:shd w:val="clear" w:color="auto" w:fill="auto"/>
            <w:noWrap/>
            <w:vAlign w:val="bottom"/>
            <w:hideMark/>
          </w:tcPr>
          <w:p w14:paraId="3373DCCD" w14:textId="77777777" w:rsidR="00D2335C" w:rsidRPr="00E141A0" w:rsidRDefault="00D2335C">
            <w:pPr>
              <w:jc w:val="center"/>
              <w:rPr>
                <w:color w:val="000000"/>
                <w:sz w:val="22"/>
                <w:szCs w:val="22"/>
              </w:rPr>
            </w:pPr>
            <w:r w:rsidRPr="00E141A0">
              <w:rPr>
                <w:color w:val="000000"/>
                <w:sz w:val="22"/>
                <w:szCs w:val="22"/>
              </w:rPr>
              <w:t>per 1,000</w:t>
            </w:r>
          </w:p>
        </w:tc>
        <w:tc>
          <w:tcPr>
            <w:tcW w:w="1170" w:type="dxa"/>
            <w:tcBorders>
              <w:top w:val="nil"/>
              <w:left w:val="nil"/>
              <w:bottom w:val="single" w:sz="4" w:space="0" w:color="auto"/>
              <w:right w:val="nil"/>
            </w:tcBorders>
            <w:shd w:val="clear" w:color="auto" w:fill="auto"/>
            <w:vAlign w:val="bottom"/>
            <w:hideMark/>
          </w:tcPr>
          <w:p w14:paraId="7EEA69ED" w14:textId="77777777" w:rsidR="00D2335C" w:rsidRPr="00E141A0" w:rsidRDefault="00D2335C">
            <w:pPr>
              <w:jc w:val="center"/>
              <w:rPr>
                <w:color w:val="000000"/>
                <w:sz w:val="22"/>
                <w:szCs w:val="22"/>
              </w:rPr>
            </w:pPr>
            <w:r w:rsidRPr="00E141A0">
              <w:rPr>
                <w:i/>
                <w:iCs/>
                <w:color w:val="000000"/>
                <w:sz w:val="22"/>
                <w:szCs w:val="22"/>
              </w:rPr>
              <w:t xml:space="preserve">M </w:t>
            </w:r>
            <w:r w:rsidRPr="00E141A0">
              <w:rPr>
                <w:color w:val="000000"/>
                <w:sz w:val="22"/>
                <w:szCs w:val="22"/>
              </w:rPr>
              <w:t>% enrollment</w:t>
            </w:r>
          </w:p>
        </w:tc>
        <w:tc>
          <w:tcPr>
            <w:tcW w:w="271" w:type="dxa"/>
            <w:tcBorders>
              <w:top w:val="nil"/>
              <w:left w:val="nil"/>
              <w:bottom w:val="single" w:sz="4" w:space="0" w:color="auto"/>
              <w:right w:val="nil"/>
            </w:tcBorders>
            <w:shd w:val="clear" w:color="auto" w:fill="auto"/>
            <w:noWrap/>
            <w:vAlign w:val="bottom"/>
            <w:hideMark/>
          </w:tcPr>
          <w:p w14:paraId="01EEB7EA" w14:textId="77777777" w:rsidR="00D2335C" w:rsidRPr="00E141A0" w:rsidRDefault="00D2335C">
            <w:pPr>
              <w:jc w:val="center"/>
              <w:rPr>
                <w:color w:val="000000"/>
                <w:sz w:val="22"/>
                <w:szCs w:val="22"/>
              </w:rPr>
            </w:pPr>
            <w:r w:rsidRPr="00E141A0">
              <w:rPr>
                <w:color w:val="000000"/>
                <w:sz w:val="22"/>
                <w:szCs w:val="22"/>
              </w:rPr>
              <w:t> </w:t>
            </w:r>
          </w:p>
        </w:tc>
        <w:tc>
          <w:tcPr>
            <w:tcW w:w="720" w:type="dxa"/>
            <w:tcBorders>
              <w:top w:val="nil"/>
              <w:left w:val="nil"/>
              <w:bottom w:val="single" w:sz="4" w:space="0" w:color="auto"/>
              <w:right w:val="nil"/>
            </w:tcBorders>
            <w:shd w:val="clear" w:color="auto" w:fill="auto"/>
            <w:noWrap/>
            <w:vAlign w:val="bottom"/>
            <w:hideMark/>
          </w:tcPr>
          <w:p w14:paraId="3E124794" w14:textId="77777777" w:rsidR="00D2335C" w:rsidRPr="00E141A0" w:rsidRDefault="00D2335C">
            <w:pPr>
              <w:jc w:val="center"/>
              <w:rPr>
                <w:color w:val="000000"/>
                <w:sz w:val="22"/>
                <w:szCs w:val="22"/>
              </w:rPr>
            </w:pPr>
            <w:r w:rsidRPr="00E141A0">
              <w:rPr>
                <w:color w:val="000000"/>
                <w:sz w:val="22"/>
                <w:szCs w:val="22"/>
              </w:rPr>
              <w:t>Total</w:t>
            </w:r>
          </w:p>
        </w:tc>
        <w:tc>
          <w:tcPr>
            <w:tcW w:w="720" w:type="dxa"/>
            <w:tcBorders>
              <w:top w:val="nil"/>
              <w:left w:val="nil"/>
              <w:bottom w:val="single" w:sz="4" w:space="0" w:color="auto"/>
              <w:right w:val="nil"/>
            </w:tcBorders>
            <w:shd w:val="clear" w:color="auto" w:fill="auto"/>
            <w:noWrap/>
            <w:vAlign w:val="bottom"/>
            <w:hideMark/>
          </w:tcPr>
          <w:p w14:paraId="5E50BBC1" w14:textId="77777777" w:rsidR="00D2335C" w:rsidRPr="00E141A0" w:rsidRDefault="00D2335C">
            <w:pPr>
              <w:jc w:val="center"/>
              <w:rPr>
                <w:i/>
                <w:iCs/>
                <w:color w:val="000000"/>
                <w:sz w:val="22"/>
                <w:szCs w:val="22"/>
              </w:rPr>
            </w:pPr>
            <w:r w:rsidRPr="00E141A0">
              <w:rPr>
                <w:i/>
                <w:iCs/>
                <w:color w:val="000000"/>
                <w:sz w:val="22"/>
                <w:szCs w:val="22"/>
              </w:rPr>
              <w:t>M</w:t>
            </w:r>
          </w:p>
        </w:tc>
        <w:tc>
          <w:tcPr>
            <w:tcW w:w="900" w:type="dxa"/>
            <w:tcBorders>
              <w:top w:val="nil"/>
              <w:left w:val="nil"/>
              <w:bottom w:val="single" w:sz="4" w:space="0" w:color="auto"/>
              <w:right w:val="nil"/>
            </w:tcBorders>
            <w:shd w:val="clear" w:color="auto" w:fill="auto"/>
            <w:noWrap/>
            <w:vAlign w:val="bottom"/>
            <w:hideMark/>
          </w:tcPr>
          <w:p w14:paraId="5A3FB46D" w14:textId="77777777" w:rsidR="00D2335C" w:rsidRPr="00E141A0" w:rsidRDefault="00D2335C">
            <w:pPr>
              <w:jc w:val="center"/>
              <w:rPr>
                <w:color w:val="000000"/>
                <w:sz w:val="22"/>
                <w:szCs w:val="22"/>
              </w:rPr>
            </w:pPr>
            <w:r w:rsidRPr="00E141A0">
              <w:rPr>
                <w:color w:val="000000"/>
                <w:sz w:val="22"/>
                <w:szCs w:val="22"/>
              </w:rPr>
              <w:t>SD</w:t>
            </w:r>
          </w:p>
        </w:tc>
        <w:tc>
          <w:tcPr>
            <w:tcW w:w="810" w:type="dxa"/>
            <w:tcBorders>
              <w:top w:val="nil"/>
              <w:left w:val="nil"/>
              <w:bottom w:val="single" w:sz="4" w:space="0" w:color="auto"/>
              <w:right w:val="nil"/>
            </w:tcBorders>
            <w:shd w:val="clear" w:color="auto" w:fill="auto"/>
            <w:noWrap/>
            <w:vAlign w:val="bottom"/>
            <w:hideMark/>
          </w:tcPr>
          <w:p w14:paraId="58F9A737" w14:textId="77777777" w:rsidR="00D2335C" w:rsidRPr="00E141A0" w:rsidRDefault="00D2335C">
            <w:pPr>
              <w:jc w:val="center"/>
              <w:rPr>
                <w:color w:val="000000"/>
                <w:sz w:val="22"/>
                <w:szCs w:val="22"/>
              </w:rPr>
            </w:pPr>
            <w:r w:rsidRPr="00E141A0">
              <w:rPr>
                <w:color w:val="000000"/>
                <w:sz w:val="22"/>
                <w:szCs w:val="22"/>
              </w:rPr>
              <w:t>per 1,000</w:t>
            </w:r>
          </w:p>
        </w:tc>
        <w:tc>
          <w:tcPr>
            <w:tcW w:w="1170" w:type="dxa"/>
            <w:tcBorders>
              <w:top w:val="nil"/>
              <w:left w:val="nil"/>
              <w:bottom w:val="single" w:sz="4" w:space="0" w:color="auto"/>
              <w:right w:val="nil"/>
            </w:tcBorders>
            <w:shd w:val="clear" w:color="auto" w:fill="auto"/>
            <w:vAlign w:val="bottom"/>
            <w:hideMark/>
          </w:tcPr>
          <w:p w14:paraId="7C90DF37" w14:textId="77777777" w:rsidR="00D2335C" w:rsidRPr="00E141A0" w:rsidRDefault="00D2335C">
            <w:pPr>
              <w:jc w:val="center"/>
              <w:rPr>
                <w:color w:val="000000"/>
                <w:sz w:val="22"/>
                <w:szCs w:val="22"/>
              </w:rPr>
            </w:pPr>
            <w:r w:rsidRPr="00E141A0">
              <w:rPr>
                <w:i/>
                <w:iCs/>
                <w:color w:val="000000"/>
                <w:sz w:val="22"/>
                <w:szCs w:val="22"/>
              </w:rPr>
              <w:t xml:space="preserve">M </w:t>
            </w:r>
            <w:r w:rsidRPr="00E141A0">
              <w:rPr>
                <w:color w:val="000000"/>
                <w:sz w:val="22"/>
                <w:szCs w:val="22"/>
              </w:rPr>
              <w:t>% enrollment</w:t>
            </w:r>
          </w:p>
        </w:tc>
      </w:tr>
      <w:tr w:rsidR="00D2335C" w:rsidRPr="00296330" w14:paraId="3C519B06" w14:textId="77777777" w:rsidTr="00546C32">
        <w:trPr>
          <w:trHeight w:val="288"/>
        </w:trPr>
        <w:tc>
          <w:tcPr>
            <w:tcW w:w="2714" w:type="dxa"/>
            <w:tcBorders>
              <w:top w:val="nil"/>
              <w:left w:val="nil"/>
              <w:bottom w:val="nil"/>
              <w:right w:val="nil"/>
            </w:tcBorders>
            <w:shd w:val="clear" w:color="auto" w:fill="auto"/>
            <w:vAlign w:val="bottom"/>
            <w:hideMark/>
          </w:tcPr>
          <w:p w14:paraId="3A3F5265" w14:textId="77777777" w:rsidR="00D2335C" w:rsidRPr="00E141A0" w:rsidRDefault="00D2335C">
            <w:pPr>
              <w:rPr>
                <w:color w:val="000000"/>
                <w:sz w:val="22"/>
                <w:szCs w:val="22"/>
              </w:rPr>
            </w:pPr>
            <w:r w:rsidRPr="00E141A0">
              <w:rPr>
                <w:color w:val="000000"/>
                <w:sz w:val="22"/>
                <w:szCs w:val="22"/>
              </w:rPr>
              <w:t>Enrollment</w:t>
            </w:r>
          </w:p>
        </w:tc>
        <w:tc>
          <w:tcPr>
            <w:tcW w:w="792" w:type="dxa"/>
            <w:tcBorders>
              <w:top w:val="nil"/>
              <w:left w:val="nil"/>
              <w:bottom w:val="nil"/>
              <w:right w:val="nil"/>
            </w:tcBorders>
            <w:shd w:val="clear" w:color="auto" w:fill="auto"/>
            <w:noWrap/>
            <w:vAlign w:val="center"/>
            <w:hideMark/>
          </w:tcPr>
          <w:p w14:paraId="2A48B66C" w14:textId="77777777" w:rsidR="00D2335C" w:rsidRPr="00E141A0" w:rsidRDefault="00D2335C" w:rsidP="00546C32">
            <w:pPr>
              <w:jc w:val="center"/>
              <w:rPr>
                <w:color w:val="000000"/>
                <w:sz w:val="22"/>
                <w:szCs w:val="22"/>
              </w:rPr>
            </w:pPr>
            <w:r w:rsidRPr="00E141A0">
              <w:rPr>
                <w:color w:val="000000"/>
                <w:sz w:val="22"/>
                <w:szCs w:val="22"/>
              </w:rPr>
              <w:t>7373</w:t>
            </w:r>
          </w:p>
        </w:tc>
        <w:tc>
          <w:tcPr>
            <w:tcW w:w="720" w:type="dxa"/>
            <w:tcBorders>
              <w:top w:val="nil"/>
              <w:left w:val="nil"/>
              <w:bottom w:val="nil"/>
              <w:right w:val="nil"/>
            </w:tcBorders>
            <w:shd w:val="clear" w:color="auto" w:fill="auto"/>
            <w:noWrap/>
            <w:vAlign w:val="center"/>
            <w:hideMark/>
          </w:tcPr>
          <w:p w14:paraId="428B1CE2" w14:textId="77777777" w:rsidR="00D2335C" w:rsidRPr="00E141A0" w:rsidRDefault="00D2335C" w:rsidP="00546C32">
            <w:pPr>
              <w:jc w:val="center"/>
              <w:rPr>
                <w:color w:val="000000"/>
                <w:sz w:val="22"/>
                <w:szCs w:val="22"/>
              </w:rPr>
            </w:pPr>
            <w:r w:rsidRPr="00E141A0">
              <w:rPr>
                <w:color w:val="000000"/>
                <w:sz w:val="22"/>
                <w:szCs w:val="22"/>
              </w:rPr>
              <w:t>47.87</w:t>
            </w:r>
          </w:p>
        </w:tc>
        <w:tc>
          <w:tcPr>
            <w:tcW w:w="711" w:type="dxa"/>
            <w:tcBorders>
              <w:top w:val="nil"/>
              <w:left w:val="nil"/>
              <w:bottom w:val="nil"/>
              <w:right w:val="nil"/>
            </w:tcBorders>
            <w:shd w:val="clear" w:color="auto" w:fill="auto"/>
            <w:noWrap/>
            <w:vAlign w:val="center"/>
            <w:hideMark/>
          </w:tcPr>
          <w:p w14:paraId="6DDFE729" w14:textId="77777777" w:rsidR="00D2335C" w:rsidRPr="00E141A0" w:rsidRDefault="00D2335C" w:rsidP="00546C32">
            <w:pPr>
              <w:jc w:val="center"/>
              <w:rPr>
                <w:color w:val="000000"/>
                <w:sz w:val="22"/>
                <w:szCs w:val="22"/>
              </w:rPr>
            </w:pPr>
            <w:r w:rsidRPr="00E141A0">
              <w:rPr>
                <w:color w:val="000000"/>
                <w:sz w:val="22"/>
                <w:szCs w:val="22"/>
              </w:rPr>
              <w:t>41.86</w:t>
            </w:r>
          </w:p>
        </w:tc>
        <w:tc>
          <w:tcPr>
            <w:tcW w:w="900" w:type="dxa"/>
            <w:tcBorders>
              <w:top w:val="nil"/>
              <w:left w:val="nil"/>
              <w:bottom w:val="nil"/>
              <w:right w:val="nil"/>
            </w:tcBorders>
            <w:shd w:val="clear" w:color="auto" w:fill="auto"/>
            <w:noWrap/>
            <w:vAlign w:val="center"/>
            <w:hideMark/>
          </w:tcPr>
          <w:p w14:paraId="41B400A9" w14:textId="77777777" w:rsidR="00D2335C" w:rsidRPr="00E141A0" w:rsidRDefault="00D2335C" w:rsidP="00546C32">
            <w:pPr>
              <w:jc w:val="center"/>
              <w:rPr>
                <w:color w:val="000000"/>
                <w:sz w:val="22"/>
                <w:szCs w:val="22"/>
              </w:rPr>
            </w:pPr>
            <w:r w:rsidRPr="00E141A0">
              <w:rPr>
                <w:color w:val="000000"/>
                <w:sz w:val="22"/>
                <w:szCs w:val="22"/>
              </w:rPr>
              <w:t>--</w:t>
            </w:r>
          </w:p>
        </w:tc>
        <w:tc>
          <w:tcPr>
            <w:tcW w:w="1170" w:type="dxa"/>
            <w:tcBorders>
              <w:top w:val="nil"/>
              <w:left w:val="nil"/>
              <w:bottom w:val="nil"/>
              <w:right w:val="nil"/>
            </w:tcBorders>
            <w:shd w:val="clear" w:color="auto" w:fill="auto"/>
            <w:noWrap/>
            <w:vAlign w:val="center"/>
            <w:hideMark/>
          </w:tcPr>
          <w:p w14:paraId="318A3B79" w14:textId="77777777" w:rsidR="00D2335C" w:rsidRPr="00E141A0" w:rsidRDefault="00D2335C" w:rsidP="00546C32">
            <w:pPr>
              <w:jc w:val="center"/>
              <w:rPr>
                <w:color w:val="000000"/>
                <w:sz w:val="22"/>
                <w:szCs w:val="22"/>
              </w:rPr>
            </w:pPr>
            <w:r w:rsidRPr="00E141A0">
              <w:rPr>
                <w:color w:val="000000"/>
                <w:sz w:val="22"/>
                <w:szCs w:val="22"/>
              </w:rPr>
              <w:t>--</w:t>
            </w:r>
          </w:p>
        </w:tc>
        <w:tc>
          <w:tcPr>
            <w:tcW w:w="271" w:type="dxa"/>
            <w:tcBorders>
              <w:top w:val="nil"/>
              <w:left w:val="nil"/>
              <w:bottom w:val="nil"/>
              <w:right w:val="nil"/>
            </w:tcBorders>
            <w:shd w:val="clear" w:color="auto" w:fill="auto"/>
            <w:noWrap/>
            <w:vAlign w:val="center"/>
            <w:hideMark/>
          </w:tcPr>
          <w:p w14:paraId="1F184FE6" w14:textId="06915283" w:rsidR="00D2335C" w:rsidRPr="00E141A0" w:rsidRDefault="00D2335C" w:rsidP="00546C32">
            <w:pPr>
              <w:jc w:val="center"/>
              <w:rPr>
                <w:color w:val="000000"/>
                <w:sz w:val="22"/>
                <w:szCs w:val="22"/>
              </w:rPr>
            </w:pPr>
          </w:p>
        </w:tc>
        <w:tc>
          <w:tcPr>
            <w:tcW w:w="720" w:type="dxa"/>
            <w:tcBorders>
              <w:top w:val="nil"/>
              <w:left w:val="nil"/>
              <w:bottom w:val="nil"/>
              <w:right w:val="nil"/>
            </w:tcBorders>
            <w:shd w:val="clear" w:color="auto" w:fill="auto"/>
            <w:noWrap/>
            <w:vAlign w:val="center"/>
            <w:hideMark/>
          </w:tcPr>
          <w:p w14:paraId="02BDF437" w14:textId="77777777" w:rsidR="00D2335C" w:rsidRPr="00E141A0" w:rsidRDefault="00D2335C" w:rsidP="00546C32">
            <w:pPr>
              <w:jc w:val="center"/>
              <w:rPr>
                <w:color w:val="000000"/>
                <w:sz w:val="22"/>
                <w:szCs w:val="22"/>
              </w:rPr>
            </w:pPr>
            <w:r w:rsidRPr="00E141A0">
              <w:rPr>
                <w:color w:val="000000"/>
                <w:sz w:val="22"/>
                <w:szCs w:val="22"/>
              </w:rPr>
              <w:t>6774</w:t>
            </w:r>
          </w:p>
        </w:tc>
        <w:tc>
          <w:tcPr>
            <w:tcW w:w="720" w:type="dxa"/>
            <w:tcBorders>
              <w:top w:val="nil"/>
              <w:left w:val="nil"/>
              <w:bottom w:val="nil"/>
              <w:right w:val="nil"/>
            </w:tcBorders>
            <w:shd w:val="clear" w:color="auto" w:fill="auto"/>
            <w:noWrap/>
            <w:vAlign w:val="center"/>
            <w:hideMark/>
          </w:tcPr>
          <w:p w14:paraId="4C4E844C" w14:textId="77777777" w:rsidR="00D2335C" w:rsidRPr="00E141A0" w:rsidRDefault="00D2335C" w:rsidP="00546C32">
            <w:pPr>
              <w:jc w:val="center"/>
              <w:rPr>
                <w:color w:val="000000"/>
                <w:sz w:val="22"/>
                <w:szCs w:val="22"/>
              </w:rPr>
            </w:pPr>
            <w:r w:rsidRPr="00E141A0">
              <w:rPr>
                <w:color w:val="000000"/>
                <w:sz w:val="22"/>
                <w:szCs w:val="22"/>
              </w:rPr>
              <w:t>69.12</w:t>
            </w:r>
          </w:p>
        </w:tc>
        <w:tc>
          <w:tcPr>
            <w:tcW w:w="900" w:type="dxa"/>
            <w:tcBorders>
              <w:top w:val="nil"/>
              <w:left w:val="nil"/>
              <w:bottom w:val="nil"/>
              <w:right w:val="nil"/>
            </w:tcBorders>
            <w:shd w:val="clear" w:color="auto" w:fill="auto"/>
            <w:noWrap/>
            <w:vAlign w:val="center"/>
            <w:hideMark/>
          </w:tcPr>
          <w:p w14:paraId="7B3638CA" w14:textId="77777777" w:rsidR="00D2335C" w:rsidRPr="00E141A0" w:rsidRDefault="00D2335C" w:rsidP="00546C32">
            <w:pPr>
              <w:jc w:val="center"/>
              <w:rPr>
                <w:color w:val="000000"/>
                <w:sz w:val="22"/>
                <w:szCs w:val="22"/>
              </w:rPr>
            </w:pPr>
            <w:r w:rsidRPr="00E141A0">
              <w:rPr>
                <w:color w:val="000000"/>
                <w:sz w:val="22"/>
                <w:szCs w:val="22"/>
              </w:rPr>
              <w:t>127.57</w:t>
            </w:r>
          </w:p>
        </w:tc>
        <w:tc>
          <w:tcPr>
            <w:tcW w:w="810" w:type="dxa"/>
            <w:tcBorders>
              <w:top w:val="nil"/>
              <w:left w:val="nil"/>
              <w:bottom w:val="nil"/>
              <w:right w:val="nil"/>
            </w:tcBorders>
            <w:shd w:val="clear" w:color="auto" w:fill="auto"/>
            <w:noWrap/>
            <w:vAlign w:val="center"/>
            <w:hideMark/>
          </w:tcPr>
          <w:p w14:paraId="6A2DA4C7" w14:textId="77777777" w:rsidR="00D2335C" w:rsidRPr="00E141A0" w:rsidRDefault="00D2335C" w:rsidP="00546C32">
            <w:pPr>
              <w:jc w:val="center"/>
              <w:rPr>
                <w:color w:val="000000"/>
                <w:sz w:val="22"/>
                <w:szCs w:val="22"/>
              </w:rPr>
            </w:pPr>
            <w:r w:rsidRPr="00E141A0">
              <w:rPr>
                <w:color w:val="000000"/>
                <w:sz w:val="22"/>
                <w:szCs w:val="22"/>
              </w:rPr>
              <w:t>--</w:t>
            </w:r>
          </w:p>
        </w:tc>
        <w:tc>
          <w:tcPr>
            <w:tcW w:w="1170" w:type="dxa"/>
            <w:tcBorders>
              <w:top w:val="nil"/>
              <w:left w:val="nil"/>
              <w:bottom w:val="nil"/>
              <w:right w:val="nil"/>
            </w:tcBorders>
            <w:shd w:val="clear" w:color="auto" w:fill="auto"/>
            <w:vAlign w:val="center"/>
            <w:hideMark/>
          </w:tcPr>
          <w:p w14:paraId="741748D2" w14:textId="77777777" w:rsidR="00D2335C" w:rsidRPr="00E141A0" w:rsidRDefault="00D2335C" w:rsidP="00546C32">
            <w:pPr>
              <w:jc w:val="center"/>
              <w:rPr>
                <w:color w:val="000000"/>
                <w:sz w:val="22"/>
                <w:szCs w:val="22"/>
              </w:rPr>
            </w:pPr>
            <w:r w:rsidRPr="00E141A0">
              <w:rPr>
                <w:color w:val="000000"/>
                <w:sz w:val="22"/>
                <w:szCs w:val="22"/>
              </w:rPr>
              <w:t>--</w:t>
            </w:r>
          </w:p>
        </w:tc>
      </w:tr>
      <w:tr w:rsidR="00D2335C" w:rsidRPr="00296330" w14:paraId="02F6EE1B" w14:textId="77777777" w:rsidTr="00546C32">
        <w:trPr>
          <w:trHeight w:val="288"/>
        </w:trPr>
        <w:tc>
          <w:tcPr>
            <w:tcW w:w="2714" w:type="dxa"/>
            <w:tcBorders>
              <w:top w:val="nil"/>
              <w:left w:val="nil"/>
              <w:bottom w:val="nil"/>
              <w:right w:val="nil"/>
            </w:tcBorders>
            <w:shd w:val="clear" w:color="auto" w:fill="auto"/>
            <w:vAlign w:val="bottom"/>
            <w:hideMark/>
          </w:tcPr>
          <w:p w14:paraId="21B4FD0A" w14:textId="77777777" w:rsidR="00D2335C" w:rsidRPr="00E141A0" w:rsidRDefault="00D2335C">
            <w:pPr>
              <w:rPr>
                <w:color w:val="000000"/>
                <w:sz w:val="22"/>
                <w:szCs w:val="22"/>
              </w:rPr>
            </w:pPr>
            <w:r w:rsidRPr="00E141A0">
              <w:rPr>
                <w:color w:val="000000"/>
                <w:sz w:val="22"/>
                <w:szCs w:val="22"/>
              </w:rPr>
              <w:t>Sent Home Early</w:t>
            </w:r>
          </w:p>
        </w:tc>
        <w:tc>
          <w:tcPr>
            <w:tcW w:w="792" w:type="dxa"/>
            <w:tcBorders>
              <w:top w:val="nil"/>
              <w:left w:val="nil"/>
              <w:bottom w:val="nil"/>
              <w:right w:val="nil"/>
            </w:tcBorders>
            <w:shd w:val="clear" w:color="auto" w:fill="auto"/>
            <w:noWrap/>
            <w:vAlign w:val="center"/>
            <w:hideMark/>
          </w:tcPr>
          <w:p w14:paraId="375C2387" w14:textId="77777777" w:rsidR="00D2335C" w:rsidRPr="00E141A0" w:rsidRDefault="00D2335C" w:rsidP="00546C32">
            <w:pPr>
              <w:jc w:val="center"/>
              <w:rPr>
                <w:color w:val="000000"/>
                <w:sz w:val="22"/>
                <w:szCs w:val="22"/>
              </w:rPr>
            </w:pPr>
            <w:r w:rsidRPr="00E141A0">
              <w:rPr>
                <w:color w:val="000000"/>
                <w:sz w:val="22"/>
                <w:szCs w:val="22"/>
              </w:rPr>
              <w:t>460</w:t>
            </w:r>
          </w:p>
        </w:tc>
        <w:tc>
          <w:tcPr>
            <w:tcW w:w="720" w:type="dxa"/>
            <w:tcBorders>
              <w:top w:val="nil"/>
              <w:left w:val="nil"/>
              <w:bottom w:val="nil"/>
              <w:right w:val="nil"/>
            </w:tcBorders>
            <w:shd w:val="clear" w:color="auto" w:fill="auto"/>
            <w:noWrap/>
            <w:vAlign w:val="center"/>
            <w:hideMark/>
          </w:tcPr>
          <w:p w14:paraId="64CBC30A" w14:textId="77777777" w:rsidR="00D2335C" w:rsidRPr="00E141A0" w:rsidRDefault="00D2335C" w:rsidP="00546C32">
            <w:pPr>
              <w:jc w:val="center"/>
              <w:rPr>
                <w:color w:val="000000"/>
                <w:sz w:val="22"/>
                <w:szCs w:val="22"/>
              </w:rPr>
            </w:pPr>
            <w:r w:rsidRPr="00E141A0">
              <w:rPr>
                <w:color w:val="000000"/>
                <w:sz w:val="22"/>
                <w:szCs w:val="22"/>
              </w:rPr>
              <w:t>3.07</w:t>
            </w:r>
          </w:p>
        </w:tc>
        <w:tc>
          <w:tcPr>
            <w:tcW w:w="711" w:type="dxa"/>
            <w:tcBorders>
              <w:top w:val="nil"/>
              <w:left w:val="nil"/>
              <w:bottom w:val="nil"/>
              <w:right w:val="nil"/>
            </w:tcBorders>
            <w:shd w:val="clear" w:color="auto" w:fill="auto"/>
            <w:noWrap/>
            <w:vAlign w:val="center"/>
            <w:hideMark/>
          </w:tcPr>
          <w:p w14:paraId="78063E08" w14:textId="77777777" w:rsidR="00D2335C" w:rsidRPr="00E141A0" w:rsidRDefault="00D2335C" w:rsidP="00546C32">
            <w:pPr>
              <w:jc w:val="center"/>
              <w:rPr>
                <w:color w:val="000000"/>
                <w:sz w:val="22"/>
                <w:szCs w:val="22"/>
              </w:rPr>
            </w:pPr>
            <w:r w:rsidRPr="00E141A0">
              <w:rPr>
                <w:color w:val="000000"/>
                <w:sz w:val="22"/>
                <w:szCs w:val="22"/>
              </w:rPr>
              <w:t>5.23</w:t>
            </w:r>
          </w:p>
        </w:tc>
        <w:tc>
          <w:tcPr>
            <w:tcW w:w="900" w:type="dxa"/>
            <w:tcBorders>
              <w:top w:val="nil"/>
              <w:left w:val="nil"/>
              <w:bottom w:val="nil"/>
              <w:right w:val="nil"/>
            </w:tcBorders>
            <w:shd w:val="clear" w:color="auto" w:fill="auto"/>
            <w:noWrap/>
            <w:vAlign w:val="center"/>
            <w:hideMark/>
          </w:tcPr>
          <w:p w14:paraId="2286AC39" w14:textId="77777777" w:rsidR="00D2335C" w:rsidRPr="00E141A0" w:rsidRDefault="00D2335C" w:rsidP="00546C32">
            <w:pPr>
              <w:jc w:val="center"/>
              <w:rPr>
                <w:color w:val="000000"/>
                <w:sz w:val="22"/>
                <w:szCs w:val="22"/>
              </w:rPr>
            </w:pPr>
            <w:r w:rsidRPr="00E141A0">
              <w:rPr>
                <w:color w:val="000000"/>
                <w:sz w:val="22"/>
                <w:szCs w:val="22"/>
              </w:rPr>
              <w:t>62.39</w:t>
            </w:r>
          </w:p>
        </w:tc>
        <w:tc>
          <w:tcPr>
            <w:tcW w:w="1170" w:type="dxa"/>
            <w:tcBorders>
              <w:top w:val="nil"/>
              <w:left w:val="nil"/>
              <w:bottom w:val="nil"/>
              <w:right w:val="nil"/>
            </w:tcBorders>
            <w:shd w:val="clear" w:color="auto" w:fill="auto"/>
            <w:noWrap/>
            <w:vAlign w:val="center"/>
            <w:hideMark/>
          </w:tcPr>
          <w:p w14:paraId="2389CF2A" w14:textId="77777777" w:rsidR="00D2335C" w:rsidRPr="00E141A0" w:rsidRDefault="00D2335C" w:rsidP="00546C32">
            <w:pPr>
              <w:jc w:val="center"/>
              <w:rPr>
                <w:color w:val="000000"/>
                <w:sz w:val="22"/>
                <w:szCs w:val="22"/>
              </w:rPr>
            </w:pPr>
            <w:r w:rsidRPr="00E141A0">
              <w:rPr>
                <w:color w:val="000000"/>
                <w:sz w:val="22"/>
                <w:szCs w:val="22"/>
              </w:rPr>
              <w:t>8.00%</w:t>
            </w:r>
          </w:p>
        </w:tc>
        <w:tc>
          <w:tcPr>
            <w:tcW w:w="271" w:type="dxa"/>
            <w:tcBorders>
              <w:top w:val="nil"/>
              <w:left w:val="nil"/>
              <w:bottom w:val="nil"/>
              <w:right w:val="nil"/>
            </w:tcBorders>
            <w:shd w:val="clear" w:color="auto" w:fill="auto"/>
            <w:noWrap/>
            <w:vAlign w:val="center"/>
            <w:hideMark/>
          </w:tcPr>
          <w:p w14:paraId="78DD4A88" w14:textId="10171BFF" w:rsidR="00D2335C" w:rsidRPr="00E141A0" w:rsidRDefault="00D2335C" w:rsidP="00546C32">
            <w:pPr>
              <w:jc w:val="center"/>
              <w:rPr>
                <w:color w:val="000000"/>
                <w:sz w:val="22"/>
                <w:szCs w:val="22"/>
              </w:rPr>
            </w:pPr>
          </w:p>
        </w:tc>
        <w:tc>
          <w:tcPr>
            <w:tcW w:w="720" w:type="dxa"/>
            <w:tcBorders>
              <w:top w:val="nil"/>
              <w:left w:val="nil"/>
              <w:bottom w:val="nil"/>
              <w:right w:val="nil"/>
            </w:tcBorders>
            <w:shd w:val="clear" w:color="auto" w:fill="auto"/>
            <w:noWrap/>
            <w:vAlign w:val="center"/>
            <w:hideMark/>
          </w:tcPr>
          <w:p w14:paraId="5C814029" w14:textId="1A1CC0C4" w:rsidR="00D2335C" w:rsidRPr="00E141A0" w:rsidRDefault="00D2335C" w:rsidP="00546C32">
            <w:pPr>
              <w:jc w:val="center"/>
              <w:rPr>
                <w:sz w:val="22"/>
                <w:szCs w:val="22"/>
              </w:rPr>
            </w:pPr>
            <w:r w:rsidRPr="00E141A0">
              <w:rPr>
                <w:sz w:val="22"/>
                <w:szCs w:val="22"/>
              </w:rPr>
              <w:t>163</w:t>
            </w:r>
          </w:p>
        </w:tc>
        <w:tc>
          <w:tcPr>
            <w:tcW w:w="720" w:type="dxa"/>
            <w:tcBorders>
              <w:top w:val="nil"/>
              <w:left w:val="nil"/>
              <w:bottom w:val="nil"/>
              <w:right w:val="nil"/>
            </w:tcBorders>
            <w:shd w:val="clear" w:color="auto" w:fill="auto"/>
            <w:noWrap/>
            <w:vAlign w:val="center"/>
            <w:hideMark/>
          </w:tcPr>
          <w:p w14:paraId="65874F5E" w14:textId="77777777" w:rsidR="00D2335C" w:rsidRPr="00E141A0" w:rsidRDefault="00D2335C" w:rsidP="00546C32">
            <w:pPr>
              <w:jc w:val="center"/>
              <w:rPr>
                <w:sz w:val="22"/>
                <w:szCs w:val="22"/>
              </w:rPr>
            </w:pPr>
            <w:r w:rsidRPr="00E141A0">
              <w:rPr>
                <w:sz w:val="22"/>
                <w:szCs w:val="22"/>
              </w:rPr>
              <w:t>1.72</w:t>
            </w:r>
          </w:p>
        </w:tc>
        <w:tc>
          <w:tcPr>
            <w:tcW w:w="900" w:type="dxa"/>
            <w:tcBorders>
              <w:top w:val="nil"/>
              <w:left w:val="nil"/>
              <w:bottom w:val="nil"/>
              <w:right w:val="nil"/>
            </w:tcBorders>
            <w:shd w:val="clear" w:color="auto" w:fill="auto"/>
            <w:noWrap/>
            <w:vAlign w:val="center"/>
            <w:hideMark/>
          </w:tcPr>
          <w:p w14:paraId="12FCA743" w14:textId="77777777" w:rsidR="00D2335C" w:rsidRPr="00E141A0" w:rsidRDefault="00D2335C" w:rsidP="00546C32">
            <w:pPr>
              <w:jc w:val="center"/>
              <w:rPr>
                <w:sz w:val="22"/>
                <w:szCs w:val="22"/>
              </w:rPr>
            </w:pPr>
            <w:r w:rsidRPr="00E141A0">
              <w:rPr>
                <w:sz w:val="22"/>
                <w:szCs w:val="22"/>
              </w:rPr>
              <w:t>4.24</w:t>
            </w:r>
          </w:p>
        </w:tc>
        <w:tc>
          <w:tcPr>
            <w:tcW w:w="810" w:type="dxa"/>
            <w:tcBorders>
              <w:top w:val="nil"/>
              <w:left w:val="nil"/>
              <w:bottom w:val="nil"/>
              <w:right w:val="nil"/>
            </w:tcBorders>
            <w:shd w:val="clear" w:color="auto" w:fill="auto"/>
            <w:noWrap/>
            <w:vAlign w:val="center"/>
            <w:hideMark/>
          </w:tcPr>
          <w:p w14:paraId="01A96E37" w14:textId="77777777" w:rsidR="00D2335C" w:rsidRPr="00E141A0" w:rsidRDefault="00D2335C" w:rsidP="00546C32">
            <w:pPr>
              <w:jc w:val="center"/>
              <w:rPr>
                <w:color w:val="000000"/>
                <w:sz w:val="22"/>
                <w:szCs w:val="22"/>
              </w:rPr>
            </w:pPr>
            <w:r w:rsidRPr="00E141A0">
              <w:rPr>
                <w:color w:val="000000"/>
                <w:sz w:val="22"/>
                <w:szCs w:val="22"/>
              </w:rPr>
              <w:t>24.06</w:t>
            </w:r>
          </w:p>
        </w:tc>
        <w:tc>
          <w:tcPr>
            <w:tcW w:w="1170" w:type="dxa"/>
            <w:tcBorders>
              <w:top w:val="nil"/>
              <w:left w:val="nil"/>
              <w:bottom w:val="nil"/>
              <w:right w:val="nil"/>
            </w:tcBorders>
            <w:shd w:val="clear" w:color="auto" w:fill="auto"/>
            <w:vAlign w:val="center"/>
            <w:hideMark/>
          </w:tcPr>
          <w:p w14:paraId="5BF5E249" w14:textId="77777777" w:rsidR="00D2335C" w:rsidRPr="00E141A0" w:rsidRDefault="00D2335C" w:rsidP="00546C32">
            <w:pPr>
              <w:jc w:val="center"/>
              <w:rPr>
                <w:color w:val="000000"/>
                <w:sz w:val="22"/>
                <w:szCs w:val="22"/>
              </w:rPr>
            </w:pPr>
            <w:r w:rsidRPr="00E141A0">
              <w:rPr>
                <w:color w:val="000000"/>
                <w:sz w:val="22"/>
                <w:szCs w:val="22"/>
              </w:rPr>
              <w:t>2.78%</w:t>
            </w:r>
          </w:p>
        </w:tc>
      </w:tr>
      <w:tr w:rsidR="00D2335C" w:rsidRPr="00296330" w14:paraId="35B5AFA2" w14:textId="77777777" w:rsidTr="00546C32">
        <w:trPr>
          <w:trHeight w:val="288"/>
        </w:trPr>
        <w:tc>
          <w:tcPr>
            <w:tcW w:w="2714" w:type="dxa"/>
            <w:tcBorders>
              <w:top w:val="nil"/>
              <w:left w:val="nil"/>
              <w:bottom w:val="nil"/>
              <w:right w:val="nil"/>
            </w:tcBorders>
            <w:shd w:val="clear" w:color="auto" w:fill="auto"/>
            <w:vAlign w:val="bottom"/>
            <w:hideMark/>
          </w:tcPr>
          <w:p w14:paraId="561929BF" w14:textId="77777777" w:rsidR="00D2335C" w:rsidRPr="00E141A0" w:rsidRDefault="00D2335C">
            <w:pPr>
              <w:rPr>
                <w:color w:val="000000"/>
                <w:sz w:val="22"/>
                <w:szCs w:val="22"/>
              </w:rPr>
            </w:pPr>
            <w:r w:rsidRPr="00E141A0">
              <w:rPr>
                <w:color w:val="000000"/>
                <w:sz w:val="22"/>
                <w:szCs w:val="22"/>
              </w:rPr>
              <w:t>Suspended</w:t>
            </w:r>
          </w:p>
        </w:tc>
        <w:tc>
          <w:tcPr>
            <w:tcW w:w="792" w:type="dxa"/>
            <w:tcBorders>
              <w:top w:val="nil"/>
              <w:left w:val="nil"/>
              <w:bottom w:val="nil"/>
              <w:right w:val="nil"/>
            </w:tcBorders>
            <w:shd w:val="clear" w:color="auto" w:fill="auto"/>
            <w:noWrap/>
            <w:vAlign w:val="center"/>
            <w:hideMark/>
          </w:tcPr>
          <w:p w14:paraId="1E63571D" w14:textId="77777777" w:rsidR="00D2335C" w:rsidRPr="00E141A0" w:rsidRDefault="00D2335C" w:rsidP="00546C32">
            <w:pPr>
              <w:jc w:val="center"/>
              <w:rPr>
                <w:color w:val="000000"/>
                <w:sz w:val="22"/>
                <w:szCs w:val="22"/>
              </w:rPr>
            </w:pPr>
            <w:r w:rsidRPr="00E141A0">
              <w:rPr>
                <w:color w:val="000000"/>
                <w:sz w:val="22"/>
                <w:szCs w:val="22"/>
              </w:rPr>
              <w:t>184</w:t>
            </w:r>
          </w:p>
        </w:tc>
        <w:tc>
          <w:tcPr>
            <w:tcW w:w="720" w:type="dxa"/>
            <w:tcBorders>
              <w:top w:val="nil"/>
              <w:left w:val="nil"/>
              <w:bottom w:val="nil"/>
              <w:right w:val="nil"/>
            </w:tcBorders>
            <w:shd w:val="clear" w:color="auto" w:fill="auto"/>
            <w:noWrap/>
            <w:vAlign w:val="center"/>
            <w:hideMark/>
          </w:tcPr>
          <w:p w14:paraId="6411AC07" w14:textId="77777777" w:rsidR="00D2335C" w:rsidRPr="00E141A0" w:rsidRDefault="00D2335C" w:rsidP="00546C32">
            <w:pPr>
              <w:jc w:val="center"/>
              <w:rPr>
                <w:color w:val="000000"/>
                <w:sz w:val="22"/>
                <w:szCs w:val="22"/>
              </w:rPr>
            </w:pPr>
            <w:r w:rsidRPr="00E141A0">
              <w:rPr>
                <w:color w:val="000000"/>
                <w:sz w:val="22"/>
                <w:szCs w:val="22"/>
              </w:rPr>
              <w:t>1.23</w:t>
            </w:r>
          </w:p>
        </w:tc>
        <w:tc>
          <w:tcPr>
            <w:tcW w:w="711" w:type="dxa"/>
            <w:tcBorders>
              <w:top w:val="nil"/>
              <w:left w:val="nil"/>
              <w:bottom w:val="nil"/>
              <w:right w:val="nil"/>
            </w:tcBorders>
            <w:shd w:val="clear" w:color="auto" w:fill="auto"/>
            <w:noWrap/>
            <w:vAlign w:val="center"/>
            <w:hideMark/>
          </w:tcPr>
          <w:p w14:paraId="1501871A" w14:textId="77777777" w:rsidR="00D2335C" w:rsidRPr="00E141A0" w:rsidRDefault="00D2335C" w:rsidP="00546C32">
            <w:pPr>
              <w:jc w:val="center"/>
              <w:rPr>
                <w:color w:val="000000"/>
                <w:sz w:val="22"/>
                <w:szCs w:val="22"/>
              </w:rPr>
            </w:pPr>
            <w:r w:rsidRPr="00E141A0">
              <w:rPr>
                <w:color w:val="000000"/>
                <w:sz w:val="22"/>
                <w:szCs w:val="22"/>
              </w:rPr>
              <w:t>2.75</w:t>
            </w:r>
          </w:p>
        </w:tc>
        <w:tc>
          <w:tcPr>
            <w:tcW w:w="900" w:type="dxa"/>
            <w:tcBorders>
              <w:top w:val="nil"/>
              <w:left w:val="nil"/>
              <w:bottom w:val="nil"/>
              <w:right w:val="nil"/>
            </w:tcBorders>
            <w:shd w:val="clear" w:color="auto" w:fill="auto"/>
            <w:noWrap/>
            <w:vAlign w:val="center"/>
            <w:hideMark/>
          </w:tcPr>
          <w:p w14:paraId="76A89BE7" w14:textId="77777777" w:rsidR="00D2335C" w:rsidRPr="00E141A0" w:rsidRDefault="00D2335C" w:rsidP="00546C32">
            <w:pPr>
              <w:jc w:val="center"/>
              <w:rPr>
                <w:color w:val="000000"/>
                <w:sz w:val="22"/>
                <w:szCs w:val="22"/>
              </w:rPr>
            </w:pPr>
            <w:r w:rsidRPr="00E141A0">
              <w:rPr>
                <w:color w:val="000000"/>
                <w:sz w:val="22"/>
                <w:szCs w:val="22"/>
              </w:rPr>
              <w:t>24.96</w:t>
            </w:r>
          </w:p>
        </w:tc>
        <w:tc>
          <w:tcPr>
            <w:tcW w:w="1170" w:type="dxa"/>
            <w:tcBorders>
              <w:top w:val="nil"/>
              <w:left w:val="nil"/>
              <w:bottom w:val="nil"/>
              <w:right w:val="nil"/>
            </w:tcBorders>
            <w:shd w:val="clear" w:color="auto" w:fill="auto"/>
            <w:noWrap/>
            <w:vAlign w:val="center"/>
            <w:hideMark/>
          </w:tcPr>
          <w:p w14:paraId="3D71D43F" w14:textId="77777777" w:rsidR="00D2335C" w:rsidRPr="00E141A0" w:rsidRDefault="00D2335C" w:rsidP="00546C32">
            <w:pPr>
              <w:jc w:val="center"/>
              <w:rPr>
                <w:color w:val="000000"/>
                <w:sz w:val="22"/>
                <w:szCs w:val="22"/>
              </w:rPr>
            </w:pPr>
            <w:r w:rsidRPr="00E141A0">
              <w:rPr>
                <w:color w:val="000000"/>
                <w:sz w:val="22"/>
                <w:szCs w:val="22"/>
              </w:rPr>
              <w:t>4.14%</w:t>
            </w:r>
          </w:p>
        </w:tc>
        <w:tc>
          <w:tcPr>
            <w:tcW w:w="271" w:type="dxa"/>
            <w:tcBorders>
              <w:top w:val="nil"/>
              <w:left w:val="nil"/>
              <w:bottom w:val="nil"/>
              <w:right w:val="nil"/>
            </w:tcBorders>
            <w:shd w:val="clear" w:color="auto" w:fill="auto"/>
            <w:noWrap/>
            <w:vAlign w:val="center"/>
            <w:hideMark/>
          </w:tcPr>
          <w:p w14:paraId="52E83AF2" w14:textId="6199C626" w:rsidR="00D2335C" w:rsidRPr="00E141A0" w:rsidRDefault="00D2335C" w:rsidP="00546C32">
            <w:pPr>
              <w:jc w:val="center"/>
              <w:rPr>
                <w:color w:val="000000"/>
                <w:sz w:val="22"/>
                <w:szCs w:val="22"/>
              </w:rPr>
            </w:pPr>
          </w:p>
        </w:tc>
        <w:tc>
          <w:tcPr>
            <w:tcW w:w="720" w:type="dxa"/>
            <w:tcBorders>
              <w:top w:val="nil"/>
              <w:left w:val="nil"/>
              <w:bottom w:val="nil"/>
              <w:right w:val="nil"/>
            </w:tcBorders>
            <w:shd w:val="clear" w:color="auto" w:fill="auto"/>
            <w:noWrap/>
            <w:vAlign w:val="center"/>
            <w:hideMark/>
          </w:tcPr>
          <w:p w14:paraId="322A2963" w14:textId="0A674F2A" w:rsidR="00D2335C" w:rsidRPr="00E141A0" w:rsidRDefault="00D2335C" w:rsidP="00546C32">
            <w:pPr>
              <w:jc w:val="center"/>
              <w:rPr>
                <w:sz w:val="22"/>
                <w:szCs w:val="22"/>
              </w:rPr>
            </w:pPr>
            <w:r w:rsidRPr="00E141A0">
              <w:rPr>
                <w:sz w:val="22"/>
                <w:szCs w:val="22"/>
              </w:rPr>
              <w:t>45</w:t>
            </w:r>
          </w:p>
        </w:tc>
        <w:tc>
          <w:tcPr>
            <w:tcW w:w="720" w:type="dxa"/>
            <w:tcBorders>
              <w:top w:val="nil"/>
              <w:left w:val="nil"/>
              <w:bottom w:val="nil"/>
              <w:right w:val="nil"/>
            </w:tcBorders>
            <w:shd w:val="clear" w:color="auto" w:fill="auto"/>
            <w:noWrap/>
            <w:vAlign w:val="center"/>
            <w:hideMark/>
          </w:tcPr>
          <w:p w14:paraId="16827BC8" w14:textId="77777777" w:rsidR="00D2335C" w:rsidRPr="00E141A0" w:rsidRDefault="00D2335C" w:rsidP="00546C32">
            <w:pPr>
              <w:jc w:val="center"/>
              <w:rPr>
                <w:sz w:val="22"/>
                <w:szCs w:val="22"/>
              </w:rPr>
            </w:pPr>
            <w:r w:rsidRPr="00E141A0">
              <w:rPr>
                <w:sz w:val="22"/>
                <w:szCs w:val="22"/>
              </w:rPr>
              <w:t>0.48</w:t>
            </w:r>
          </w:p>
        </w:tc>
        <w:tc>
          <w:tcPr>
            <w:tcW w:w="900" w:type="dxa"/>
            <w:tcBorders>
              <w:top w:val="nil"/>
              <w:left w:val="nil"/>
              <w:bottom w:val="nil"/>
              <w:right w:val="nil"/>
            </w:tcBorders>
            <w:shd w:val="clear" w:color="auto" w:fill="auto"/>
            <w:noWrap/>
            <w:vAlign w:val="center"/>
            <w:hideMark/>
          </w:tcPr>
          <w:p w14:paraId="26D35FB4" w14:textId="77777777" w:rsidR="00D2335C" w:rsidRPr="00E141A0" w:rsidRDefault="00D2335C" w:rsidP="00546C32">
            <w:pPr>
              <w:jc w:val="center"/>
              <w:rPr>
                <w:sz w:val="22"/>
                <w:szCs w:val="22"/>
              </w:rPr>
            </w:pPr>
            <w:r w:rsidRPr="00E141A0">
              <w:rPr>
                <w:sz w:val="22"/>
                <w:szCs w:val="22"/>
              </w:rPr>
              <w:t>1.39</w:t>
            </w:r>
          </w:p>
        </w:tc>
        <w:tc>
          <w:tcPr>
            <w:tcW w:w="810" w:type="dxa"/>
            <w:tcBorders>
              <w:top w:val="nil"/>
              <w:left w:val="nil"/>
              <w:bottom w:val="nil"/>
              <w:right w:val="nil"/>
            </w:tcBorders>
            <w:shd w:val="clear" w:color="auto" w:fill="auto"/>
            <w:noWrap/>
            <w:vAlign w:val="center"/>
            <w:hideMark/>
          </w:tcPr>
          <w:p w14:paraId="160B5123" w14:textId="77777777" w:rsidR="00D2335C" w:rsidRPr="00E141A0" w:rsidRDefault="00D2335C" w:rsidP="00546C32">
            <w:pPr>
              <w:jc w:val="center"/>
              <w:rPr>
                <w:color w:val="000000"/>
                <w:sz w:val="22"/>
                <w:szCs w:val="22"/>
              </w:rPr>
            </w:pPr>
            <w:r w:rsidRPr="00E141A0">
              <w:rPr>
                <w:color w:val="000000"/>
                <w:sz w:val="22"/>
                <w:szCs w:val="22"/>
              </w:rPr>
              <w:t>6.64</w:t>
            </w:r>
          </w:p>
        </w:tc>
        <w:tc>
          <w:tcPr>
            <w:tcW w:w="1170" w:type="dxa"/>
            <w:tcBorders>
              <w:top w:val="nil"/>
              <w:left w:val="nil"/>
              <w:bottom w:val="nil"/>
              <w:right w:val="nil"/>
            </w:tcBorders>
            <w:shd w:val="clear" w:color="auto" w:fill="auto"/>
            <w:vAlign w:val="center"/>
            <w:hideMark/>
          </w:tcPr>
          <w:p w14:paraId="4B346FE6" w14:textId="77777777" w:rsidR="00D2335C" w:rsidRPr="00E141A0" w:rsidRDefault="00D2335C" w:rsidP="00546C32">
            <w:pPr>
              <w:jc w:val="center"/>
              <w:rPr>
                <w:color w:val="000000"/>
                <w:sz w:val="22"/>
                <w:szCs w:val="22"/>
              </w:rPr>
            </w:pPr>
            <w:r w:rsidRPr="00E141A0">
              <w:rPr>
                <w:color w:val="000000"/>
                <w:sz w:val="22"/>
                <w:szCs w:val="22"/>
              </w:rPr>
              <w:t>1.29%</w:t>
            </w:r>
          </w:p>
        </w:tc>
      </w:tr>
      <w:tr w:rsidR="00D2335C" w:rsidRPr="00296330" w14:paraId="4E8DDB3A" w14:textId="77777777" w:rsidTr="00546C32">
        <w:trPr>
          <w:trHeight w:val="288"/>
        </w:trPr>
        <w:tc>
          <w:tcPr>
            <w:tcW w:w="2714" w:type="dxa"/>
            <w:tcBorders>
              <w:top w:val="nil"/>
              <w:left w:val="nil"/>
              <w:bottom w:val="nil"/>
              <w:right w:val="nil"/>
            </w:tcBorders>
            <w:shd w:val="clear" w:color="auto" w:fill="auto"/>
            <w:vAlign w:val="bottom"/>
            <w:hideMark/>
          </w:tcPr>
          <w:p w14:paraId="161FB4F8" w14:textId="77777777" w:rsidR="00D2335C" w:rsidRPr="00E141A0" w:rsidRDefault="00D2335C">
            <w:pPr>
              <w:rPr>
                <w:color w:val="000000"/>
                <w:sz w:val="22"/>
                <w:szCs w:val="22"/>
              </w:rPr>
            </w:pPr>
            <w:r w:rsidRPr="00E141A0">
              <w:rPr>
                <w:color w:val="000000"/>
                <w:sz w:val="22"/>
                <w:szCs w:val="22"/>
              </w:rPr>
              <w:t>Expelled</w:t>
            </w:r>
          </w:p>
        </w:tc>
        <w:tc>
          <w:tcPr>
            <w:tcW w:w="792" w:type="dxa"/>
            <w:tcBorders>
              <w:top w:val="nil"/>
              <w:left w:val="nil"/>
              <w:bottom w:val="nil"/>
              <w:right w:val="nil"/>
            </w:tcBorders>
            <w:shd w:val="clear" w:color="auto" w:fill="auto"/>
            <w:noWrap/>
            <w:vAlign w:val="center"/>
            <w:hideMark/>
          </w:tcPr>
          <w:p w14:paraId="596E3CC6" w14:textId="77777777" w:rsidR="00D2335C" w:rsidRPr="00E141A0" w:rsidRDefault="00D2335C" w:rsidP="00546C32">
            <w:pPr>
              <w:jc w:val="center"/>
              <w:rPr>
                <w:color w:val="000000"/>
                <w:sz w:val="22"/>
                <w:szCs w:val="22"/>
              </w:rPr>
            </w:pPr>
            <w:r w:rsidRPr="00E141A0">
              <w:rPr>
                <w:color w:val="000000"/>
                <w:sz w:val="22"/>
                <w:szCs w:val="22"/>
              </w:rPr>
              <w:t>93</w:t>
            </w:r>
          </w:p>
        </w:tc>
        <w:tc>
          <w:tcPr>
            <w:tcW w:w="720" w:type="dxa"/>
            <w:tcBorders>
              <w:top w:val="nil"/>
              <w:left w:val="nil"/>
              <w:bottom w:val="nil"/>
              <w:right w:val="nil"/>
            </w:tcBorders>
            <w:shd w:val="clear" w:color="auto" w:fill="auto"/>
            <w:noWrap/>
            <w:vAlign w:val="center"/>
            <w:hideMark/>
          </w:tcPr>
          <w:p w14:paraId="751E57FC" w14:textId="77777777" w:rsidR="00D2335C" w:rsidRPr="00E141A0" w:rsidRDefault="00D2335C" w:rsidP="00546C32">
            <w:pPr>
              <w:jc w:val="center"/>
              <w:rPr>
                <w:color w:val="000000"/>
                <w:sz w:val="22"/>
                <w:szCs w:val="22"/>
              </w:rPr>
            </w:pPr>
            <w:r w:rsidRPr="00E141A0">
              <w:rPr>
                <w:color w:val="000000"/>
                <w:sz w:val="22"/>
                <w:szCs w:val="22"/>
              </w:rPr>
              <w:t>0.62</w:t>
            </w:r>
          </w:p>
        </w:tc>
        <w:tc>
          <w:tcPr>
            <w:tcW w:w="711" w:type="dxa"/>
            <w:tcBorders>
              <w:top w:val="nil"/>
              <w:left w:val="nil"/>
              <w:bottom w:val="nil"/>
              <w:right w:val="nil"/>
            </w:tcBorders>
            <w:shd w:val="clear" w:color="auto" w:fill="auto"/>
            <w:noWrap/>
            <w:vAlign w:val="center"/>
            <w:hideMark/>
          </w:tcPr>
          <w:p w14:paraId="28225982" w14:textId="77777777" w:rsidR="00D2335C" w:rsidRPr="00E141A0" w:rsidRDefault="00D2335C" w:rsidP="00546C32">
            <w:pPr>
              <w:jc w:val="center"/>
              <w:rPr>
                <w:color w:val="000000"/>
                <w:sz w:val="22"/>
                <w:szCs w:val="22"/>
              </w:rPr>
            </w:pPr>
            <w:r w:rsidRPr="00E141A0">
              <w:rPr>
                <w:color w:val="000000"/>
                <w:sz w:val="22"/>
                <w:szCs w:val="22"/>
              </w:rPr>
              <w:t>1.05</w:t>
            </w:r>
          </w:p>
        </w:tc>
        <w:tc>
          <w:tcPr>
            <w:tcW w:w="900" w:type="dxa"/>
            <w:tcBorders>
              <w:top w:val="nil"/>
              <w:left w:val="nil"/>
              <w:bottom w:val="nil"/>
              <w:right w:val="nil"/>
            </w:tcBorders>
            <w:shd w:val="clear" w:color="auto" w:fill="auto"/>
            <w:noWrap/>
            <w:vAlign w:val="center"/>
            <w:hideMark/>
          </w:tcPr>
          <w:p w14:paraId="48D0868D" w14:textId="77777777" w:rsidR="00D2335C" w:rsidRPr="00E141A0" w:rsidRDefault="00D2335C" w:rsidP="00546C32">
            <w:pPr>
              <w:jc w:val="center"/>
              <w:rPr>
                <w:color w:val="000000"/>
                <w:sz w:val="22"/>
                <w:szCs w:val="22"/>
              </w:rPr>
            </w:pPr>
            <w:r w:rsidRPr="00E141A0">
              <w:rPr>
                <w:color w:val="000000"/>
                <w:sz w:val="22"/>
                <w:szCs w:val="22"/>
              </w:rPr>
              <w:t>12.61</w:t>
            </w:r>
          </w:p>
        </w:tc>
        <w:tc>
          <w:tcPr>
            <w:tcW w:w="1170" w:type="dxa"/>
            <w:tcBorders>
              <w:top w:val="nil"/>
              <w:left w:val="nil"/>
              <w:bottom w:val="nil"/>
              <w:right w:val="nil"/>
            </w:tcBorders>
            <w:shd w:val="clear" w:color="auto" w:fill="auto"/>
            <w:noWrap/>
            <w:vAlign w:val="center"/>
            <w:hideMark/>
          </w:tcPr>
          <w:p w14:paraId="02C69D27" w14:textId="77777777" w:rsidR="00D2335C" w:rsidRPr="00E141A0" w:rsidRDefault="00D2335C" w:rsidP="00546C32">
            <w:pPr>
              <w:jc w:val="center"/>
              <w:rPr>
                <w:color w:val="000000"/>
                <w:sz w:val="22"/>
                <w:szCs w:val="22"/>
              </w:rPr>
            </w:pPr>
            <w:r w:rsidRPr="00E141A0">
              <w:rPr>
                <w:color w:val="000000"/>
                <w:sz w:val="22"/>
                <w:szCs w:val="22"/>
              </w:rPr>
              <w:t>2.24%</w:t>
            </w:r>
          </w:p>
        </w:tc>
        <w:tc>
          <w:tcPr>
            <w:tcW w:w="271" w:type="dxa"/>
            <w:tcBorders>
              <w:top w:val="nil"/>
              <w:left w:val="nil"/>
              <w:bottom w:val="nil"/>
              <w:right w:val="nil"/>
            </w:tcBorders>
            <w:shd w:val="clear" w:color="auto" w:fill="auto"/>
            <w:noWrap/>
            <w:vAlign w:val="center"/>
            <w:hideMark/>
          </w:tcPr>
          <w:p w14:paraId="1887910D" w14:textId="635388B4" w:rsidR="00D2335C" w:rsidRPr="00E141A0" w:rsidRDefault="00D2335C" w:rsidP="00546C32">
            <w:pPr>
              <w:jc w:val="center"/>
              <w:rPr>
                <w:color w:val="000000"/>
                <w:sz w:val="22"/>
                <w:szCs w:val="22"/>
              </w:rPr>
            </w:pPr>
          </w:p>
        </w:tc>
        <w:tc>
          <w:tcPr>
            <w:tcW w:w="720" w:type="dxa"/>
            <w:tcBorders>
              <w:top w:val="nil"/>
              <w:left w:val="nil"/>
              <w:bottom w:val="nil"/>
              <w:right w:val="nil"/>
            </w:tcBorders>
            <w:shd w:val="clear" w:color="auto" w:fill="auto"/>
            <w:noWrap/>
            <w:vAlign w:val="center"/>
            <w:hideMark/>
          </w:tcPr>
          <w:p w14:paraId="23D455D3" w14:textId="3F87D8B7" w:rsidR="00D2335C" w:rsidRPr="00E141A0" w:rsidRDefault="00D2335C" w:rsidP="00546C32">
            <w:pPr>
              <w:jc w:val="center"/>
              <w:rPr>
                <w:sz w:val="22"/>
                <w:szCs w:val="22"/>
              </w:rPr>
            </w:pPr>
            <w:r w:rsidRPr="00E141A0">
              <w:rPr>
                <w:sz w:val="22"/>
                <w:szCs w:val="22"/>
              </w:rPr>
              <w:t>14</w:t>
            </w:r>
          </w:p>
        </w:tc>
        <w:tc>
          <w:tcPr>
            <w:tcW w:w="720" w:type="dxa"/>
            <w:tcBorders>
              <w:top w:val="nil"/>
              <w:left w:val="nil"/>
              <w:bottom w:val="nil"/>
              <w:right w:val="nil"/>
            </w:tcBorders>
            <w:shd w:val="clear" w:color="auto" w:fill="auto"/>
            <w:noWrap/>
            <w:vAlign w:val="center"/>
            <w:hideMark/>
          </w:tcPr>
          <w:p w14:paraId="23ED4FAE" w14:textId="77777777" w:rsidR="00D2335C" w:rsidRPr="00E141A0" w:rsidRDefault="00D2335C" w:rsidP="00546C32">
            <w:pPr>
              <w:jc w:val="center"/>
              <w:rPr>
                <w:sz w:val="22"/>
                <w:szCs w:val="22"/>
              </w:rPr>
            </w:pPr>
            <w:r w:rsidRPr="00E141A0">
              <w:rPr>
                <w:sz w:val="22"/>
                <w:szCs w:val="22"/>
              </w:rPr>
              <w:t>0.19</w:t>
            </w:r>
          </w:p>
        </w:tc>
        <w:tc>
          <w:tcPr>
            <w:tcW w:w="900" w:type="dxa"/>
            <w:tcBorders>
              <w:top w:val="nil"/>
              <w:left w:val="nil"/>
              <w:bottom w:val="nil"/>
              <w:right w:val="nil"/>
            </w:tcBorders>
            <w:shd w:val="clear" w:color="auto" w:fill="auto"/>
            <w:noWrap/>
            <w:vAlign w:val="center"/>
            <w:hideMark/>
          </w:tcPr>
          <w:p w14:paraId="62167963" w14:textId="77777777" w:rsidR="00D2335C" w:rsidRPr="00E141A0" w:rsidRDefault="00D2335C" w:rsidP="00546C32">
            <w:pPr>
              <w:jc w:val="center"/>
              <w:rPr>
                <w:sz w:val="22"/>
                <w:szCs w:val="22"/>
              </w:rPr>
            </w:pPr>
            <w:r w:rsidRPr="00E141A0">
              <w:rPr>
                <w:sz w:val="22"/>
                <w:szCs w:val="22"/>
              </w:rPr>
              <w:t>0.63</w:t>
            </w:r>
          </w:p>
        </w:tc>
        <w:tc>
          <w:tcPr>
            <w:tcW w:w="810" w:type="dxa"/>
            <w:tcBorders>
              <w:top w:val="nil"/>
              <w:left w:val="nil"/>
              <w:bottom w:val="nil"/>
              <w:right w:val="nil"/>
            </w:tcBorders>
            <w:shd w:val="clear" w:color="auto" w:fill="auto"/>
            <w:noWrap/>
            <w:vAlign w:val="center"/>
            <w:hideMark/>
          </w:tcPr>
          <w:p w14:paraId="133BA721" w14:textId="77777777" w:rsidR="00D2335C" w:rsidRPr="00E141A0" w:rsidRDefault="00D2335C" w:rsidP="00546C32">
            <w:pPr>
              <w:jc w:val="center"/>
              <w:rPr>
                <w:color w:val="000000"/>
                <w:sz w:val="22"/>
                <w:szCs w:val="22"/>
              </w:rPr>
            </w:pPr>
            <w:r w:rsidRPr="00E141A0">
              <w:rPr>
                <w:color w:val="000000"/>
                <w:sz w:val="22"/>
                <w:szCs w:val="22"/>
              </w:rPr>
              <w:t>2.07</w:t>
            </w:r>
          </w:p>
        </w:tc>
        <w:tc>
          <w:tcPr>
            <w:tcW w:w="1170" w:type="dxa"/>
            <w:tcBorders>
              <w:top w:val="nil"/>
              <w:left w:val="nil"/>
              <w:bottom w:val="nil"/>
              <w:right w:val="nil"/>
            </w:tcBorders>
            <w:shd w:val="clear" w:color="auto" w:fill="auto"/>
            <w:noWrap/>
            <w:vAlign w:val="center"/>
            <w:hideMark/>
          </w:tcPr>
          <w:p w14:paraId="7287607F" w14:textId="77777777" w:rsidR="00D2335C" w:rsidRPr="00E141A0" w:rsidRDefault="00D2335C" w:rsidP="00546C32">
            <w:pPr>
              <w:jc w:val="center"/>
              <w:rPr>
                <w:color w:val="993300"/>
                <w:sz w:val="22"/>
                <w:szCs w:val="22"/>
              </w:rPr>
            </w:pPr>
            <w:r w:rsidRPr="00E141A0">
              <w:rPr>
                <w:sz w:val="22"/>
                <w:szCs w:val="22"/>
              </w:rPr>
              <w:t>1.12%</w:t>
            </w:r>
          </w:p>
        </w:tc>
      </w:tr>
      <w:tr w:rsidR="00D2335C" w:rsidRPr="00296330" w14:paraId="603628FA" w14:textId="77777777" w:rsidTr="00546C32">
        <w:trPr>
          <w:trHeight w:val="288"/>
        </w:trPr>
        <w:tc>
          <w:tcPr>
            <w:tcW w:w="2714" w:type="dxa"/>
            <w:tcBorders>
              <w:top w:val="nil"/>
              <w:left w:val="nil"/>
              <w:bottom w:val="nil"/>
              <w:right w:val="nil"/>
            </w:tcBorders>
            <w:shd w:val="clear" w:color="auto" w:fill="auto"/>
            <w:vAlign w:val="center"/>
            <w:hideMark/>
          </w:tcPr>
          <w:p w14:paraId="332019E9" w14:textId="77777777" w:rsidR="00D2335C" w:rsidRPr="00E141A0" w:rsidRDefault="00D2335C">
            <w:pPr>
              <w:rPr>
                <w:color w:val="000000"/>
                <w:sz w:val="22"/>
                <w:szCs w:val="22"/>
              </w:rPr>
            </w:pPr>
            <w:r w:rsidRPr="00E141A0">
              <w:rPr>
                <w:color w:val="000000"/>
                <w:sz w:val="22"/>
                <w:szCs w:val="22"/>
              </w:rPr>
              <w:t>Planned Transition</w:t>
            </w:r>
          </w:p>
        </w:tc>
        <w:tc>
          <w:tcPr>
            <w:tcW w:w="792" w:type="dxa"/>
            <w:tcBorders>
              <w:top w:val="nil"/>
              <w:left w:val="nil"/>
              <w:bottom w:val="nil"/>
              <w:right w:val="nil"/>
            </w:tcBorders>
            <w:shd w:val="clear" w:color="auto" w:fill="auto"/>
            <w:noWrap/>
            <w:vAlign w:val="center"/>
            <w:hideMark/>
          </w:tcPr>
          <w:p w14:paraId="718ED150" w14:textId="323A122A" w:rsidR="00D2335C" w:rsidRPr="00E141A0" w:rsidRDefault="000660B4" w:rsidP="00546C32">
            <w:pPr>
              <w:jc w:val="center"/>
              <w:rPr>
                <w:color w:val="000000"/>
                <w:sz w:val="22"/>
                <w:szCs w:val="22"/>
              </w:rPr>
            </w:pPr>
            <w:r>
              <w:rPr>
                <w:color w:val="000000"/>
                <w:sz w:val="22"/>
                <w:szCs w:val="22"/>
              </w:rPr>
              <w:t>--</w:t>
            </w:r>
          </w:p>
        </w:tc>
        <w:tc>
          <w:tcPr>
            <w:tcW w:w="720" w:type="dxa"/>
            <w:tcBorders>
              <w:top w:val="nil"/>
              <w:left w:val="nil"/>
              <w:bottom w:val="nil"/>
              <w:right w:val="nil"/>
            </w:tcBorders>
            <w:shd w:val="clear" w:color="auto" w:fill="auto"/>
            <w:noWrap/>
            <w:vAlign w:val="center"/>
            <w:hideMark/>
          </w:tcPr>
          <w:p w14:paraId="0F00E9D2" w14:textId="77777777" w:rsidR="00D2335C" w:rsidRPr="00E141A0" w:rsidRDefault="00D2335C" w:rsidP="00546C32">
            <w:pPr>
              <w:jc w:val="center"/>
              <w:rPr>
                <w:color w:val="000000"/>
                <w:sz w:val="22"/>
                <w:szCs w:val="22"/>
              </w:rPr>
            </w:pPr>
            <w:r w:rsidRPr="00E141A0">
              <w:rPr>
                <w:color w:val="000000"/>
                <w:sz w:val="22"/>
                <w:szCs w:val="22"/>
              </w:rPr>
              <w:t>--</w:t>
            </w:r>
          </w:p>
        </w:tc>
        <w:tc>
          <w:tcPr>
            <w:tcW w:w="711" w:type="dxa"/>
            <w:tcBorders>
              <w:top w:val="nil"/>
              <w:left w:val="nil"/>
              <w:bottom w:val="nil"/>
              <w:right w:val="nil"/>
            </w:tcBorders>
            <w:shd w:val="clear" w:color="auto" w:fill="auto"/>
            <w:noWrap/>
            <w:vAlign w:val="center"/>
            <w:hideMark/>
          </w:tcPr>
          <w:p w14:paraId="3116C53A" w14:textId="77777777" w:rsidR="00D2335C" w:rsidRPr="00E141A0" w:rsidRDefault="00D2335C" w:rsidP="00546C32">
            <w:pPr>
              <w:jc w:val="center"/>
              <w:rPr>
                <w:color w:val="000000"/>
                <w:sz w:val="22"/>
                <w:szCs w:val="22"/>
              </w:rPr>
            </w:pPr>
            <w:r w:rsidRPr="00E141A0">
              <w:rPr>
                <w:color w:val="000000"/>
                <w:sz w:val="22"/>
                <w:szCs w:val="22"/>
              </w:rPr>
              <w:t>--</w:t>
            </w:r>
          </w:p>
        </w:tc>
        <w:tc>
          <w:tcPr>
            <w:tcW w:w="900" w:type="dxa"/>
            <w:tcBorders>
              <w:top w:val="nil"/>
              <w:left w:val="nil"/>
              <w:bottom w:val="nil"/>
              <w:right w:val="nil"/>
            </w:tcBorders>
            <w:shd w:val="clear" w:color="auto" w:fill="auto"/>
            <w:noWrap/>
            <w:vAlign w:val="center"/>
            <w:hideMark/>
          </w:tcPr>
          <w:p w14:paraId="519914CA" w14:textId="77777777" w:rsidR="00D2335C" w:rsidRPr="00E141A0" w:rsidRDefault="00D2335C" w:rsidP="00546C32">
            <w:pPr>
              <w:jc w:val="center"/>
              <w:rPr>
                <w:color w:val="000000"/>
                <w:sz w:val="22"/>
                <w:szCs w:val="22"/>
              </w:rPr>
            </w:pPr>
            <w:r w:rsidRPr="00E141A0">
              <w:rPr>
                <w:color w:val="000000"/>
                <w:sz w:val="22"/>
                <w:szCs w:val="22"/>
              </w:rPr>
              <w:t>--</w:t>
            </w:r>
          </w:p>
        </w:tc>
        <w:tc>
          <w:tcPr>
            <w:tcW w:w="1170" w:type="dxa"/>
            <w:tcBorders>
              <w:top w:val="nil"/>
              <w:left w:val="nil"/>
              <w:bottom w:val="nil"/>
              <w:right w:val="nil"/>
            </w:tcBorders>
            <w:shd w:val="clear" w:color="auto" w:fill="auto"/>
            <w:noWrap/>
            <w:vAlign w:val="center"/>
            <w:hideMark/>
          </w:tcPr>
          <w:p w14:paraId="78BF7799" w14:textId="77777777" w:rsidR="00D2335C" w:rsidRPr="00E141A0" w:rsidRDefault="00D2335C" w:rsidP="00546C32">
            <w:pPr>
              <w:jc w:val="center"/>
              <w:rPr>
                <w:color w:val="000000"/>
                <w:sz w:val="22"/>
                <w:szCs w:val="22"/>
              </w:rPr>
            </w:pPr>
            <w:r w:rsidRPr="00E141A0">
              <w:rPr>
                <w:color w:val="000000"/>
                <w:sz w:val="22"/>
                <w:szCs w:val="22"/>
              </w:rPr>
              <w:t>--</w:t>
            </w:r>
          </w:p>
        </w:tc>
        <w:tc>
          <w:tcPr>
            <w:tcW w:w="271" w:type="dxa"/>
            <w:tcBorders>
              <w:top w:val="nil"/>
              <w:left w:val="nil"/>
              <w:bottom w:val="nil"/>
              <w:right w:val="nil"/>
            </w:tcBorders>
            <w:shd w:val="clear" w:color="auto" w:fill="auto"/>
            <w:noWrap/>
            <w:vAlign w:val="center"/>
            <w:hideMark/>
          </w:tcPr>
          <w:p w14:paraId="645C3033" w14:textId="16B0469F" w:rsidR="00D2335C" w:rsidRPr="00E141A0" w:rsidRDefault="00D2335C" w:rsidP="00546C32">
            <w:pPr>
              <w:jc w:val="center"/>
              <w:rPr>
                <w:color w:val="000000"/>
                <w:sz w:val="22"/>
                <w:szCs w:val="22"/>
              </w:rPr>
            </w:pPr>
          </w:p>
        </w:tc>
        <w:tc>
          <w:tcPr>
            <w:tcW w:w="720" w:type="dxa"/>
            <w:tcBorders>
              <w:top w:val="nil"/>
              <w:left w:val="nil"/>
              <w:right w:val="nil"/>
            </w:tcBorders>
            <w:shd w:val="clear" w:color="auto" w:fill="auto"/>
            <w:noWrap/>
            <w:vAlign w:val="center"/>
            <w:hideMark/>
          </w:tcPr>
          <w:p w14:paraId="3FB20C0A" w14:textId="07BCF060" w:rsidR="00D2335C" w:rsidRPr="00E141A0" w:rsidRDefault="00D2335C" w:rsidP="00546C32">
            <w:pPr>
              <w:jc w:val="center"/>
              <w:rPr>
                <w:sz w:val="22"/>
                <w:szCs w:val="22"/>
              </w:rPr>
            </w:pPr>
            <w:r w:rsidRPr="00E141A0">
              <w:rPr>
                <w:sz w:val="22"/>
                <w:szCs w:val="22"/>
              </w:rPr>
              <w:t>20</w:t>
            </w:r>
          </w:p>
        </w:tc>
        <w:tc>
          <w:tcPr>
            <w:tcW w:w="720" w:type="dxa"/>
            <w:tcBorders>
              <w:top w:val="nil"/>
              <w:left w:val="nil"/>
              <w:right w:val="nil"/>
            </w:tcBorders>
            <w:shd w:val="clear" w:color="auto" w:fill="auto"/>
            <w:noWrap/>
            <w:vAlign w:val="center"/>
            <w:hideMark/>
          </w:tcPr>
          <w:p w14:paraId="2C84AA9C" w14:textId="77777777" w:rsidR="00D2335C" w:rsidRPr="00E141A0" w:rsidRDefault="00D2335C" w:rsidP="00546C32">
            <w:pPr>
              <w:jc w:val="center"/>
              <w:rPr>
                <w:sz w:val="22"/>
                <w:szCs w:val="22"/>
              </w:rPr>
            </w:pPr>
            <w:r w:rsidRPr="00E141A0">
              <w:rPr>
                <w:sz w:val="22"/>
                <w:szCs w:val="22"/>
              </w:rPr>
              <w:t>0.26</w:t>
            </w:r>
          </w:p>
        </w:tc>
        <w:tc>
          <w:tcPr>
            <w:tcW w:w="900" w:type="dxa"/>
            <w:tcBorders>
              <w:top w:val="nil"/>
              <w:left w:val="nil"/>
              <w:right w:val="nil"/>
            </w:tcBorders>
            <w:shd w:val="clear" w:color="auto" w:fill="auto"/>
            <w:noWrap/>
            <w:vAlign w:val="center"/>
            <w:hideMark/>
          </w:tcPr>
          <w:p w14:paraId="7891E761" w14:textId="77777777" w:rsidR="00D2335C" w:rsidRPr="00E141A0" w:rsidRDefault="00D2335C" w:rsidP="00546C32">
            <w:pPr>
              <w:jc w:val="center"/>
              <w:rPr>
                <w:sz w:val="22"/>
                <w:szCs w:val="22"/>
              </w:rPr>
            </w:pPr>
            <w:r w:rsidRPr="00E141A0">
              <w:rPr>
                <w:sz w:val="22"/>
                <w:szCs w:val="22"/>
              </w:rPr>
              <w:t>0.62</w:t>
            </w:r>
          </w:p>
        </w:tc>
        <w:tc>
          <w:tcPr>
            <w:tcW w:w="810" w:type="dxa"/>
            <w:tcBorders>
              <w:top w:val="nil"/>
              <w:left w:val="nil"/>
              <w:bottom w:val="nil"/>
              <w:right w:val="nil"/>
            </w:tcBorders>
            <w:shd w:val="clear" w:color="auto" w:fill="auto"/>
            <w:noWrap/>
            <w:vAlign w:val="center"/>
            <w:hideMark/>
          </w:tcPr>
          <w:p w14:paraId="106663BC" w14:textId="77777777" w:rsidR="00D2335C" w:rsidRPr="00E141A0" w:rsidRDefault="00D2335C" w:rsidP="00546C32">
            <w:pPr>
              <w:jc w:val="center"/>
              <w:rPr>
                <w:color w:val="000000"/>
                <w:sz w:val="22"/>
                <w:szCs w:val="22"/>
              </w:rPr>
            </w:pPr>
            <w:r w:rsidRPr="00E141A0">
              <w:rPr>
                <w:color w:val="000000"/>
                <w:sz w:val="22"/>
                <w:szCs w:val="22"/>
              </w:rPr>
              <w:t>2.95</w:t>
            </w:r>
          </w:p>
        </w:tc>
        <w:tc>
          <w:tcPr>
            <w:tcW w:w="1170" w:type="dxa"/>
            <w:tcBorders>
              <w:top w:val="nil"/>
              <w:left w:val="nil"/>
              <w:bottom w:val="nil"/>
              <w:right w:val="nil"/>
            </w:tcBorders>
            <w:shd w:val="clear" w:color="auto" w:fill="auto"/>
            <w:vAlign w:val="center"/>
            <w:hideMark/>
          </w:tcPr>
          <w:p w14:paraId="430CE190" w14:textId="77777777" w:rsidR="00D2335C" w:rsidRPr="00E141A0" w:rsidRDefault="00D2335C" w:rsidP="00546C32">
            <w:pPr>
              <w:jc w:val="center"/>
              <w:rPr>
                <w:color w:val="000000"/>
                <w:sz w:val="22"/>
                <w:szCs w:val="22"/>
              </w:rPr>
            </w:pPr>
            <w:r w:rsidRPr="00E141A0">
              <w:rPr>
                <w:color w:val="000000"/>
                <w:sz w:val="22"/>
                <w:szCs w:val="22"/>
              </w:rPr>
              <w:t>0.09%</w:t>
            </w:r>
          </w:p>
        </w:tc>
      </w:tr>
      <w:tr w:rsidR="00D2335C" w:rsidRPr="00296330" w14:paraId="085CE6E5" w14:textId="77777777" w:rsidTr="00546C32">
        <w:trPr>
          <w:trHeight w:val="288"/>
        </w:trPr>
        <w:tc>
          <w:tcPr>
            <w:tcW w:w="2714" w:type="dxa"/>
            <w:tcBorders>
              <w:top w:val="nil"/>
              <w:left w:val="nil"/>
              <w:bottom w:val="nil"/>
              <w:right w:val="nil"/>
            </w:tcBorders>
            <w:shd w:val="clear" w:color="auto" w:fill="auto"/>
            <w:vAlign w:val="center"/>
            <w:hideMark/>
          </w:tcPr>
          <w:p w14:paraId="18CEEC98" w14:textId="4C7EDAED" w:rsidR="00D2335C" w:rsidRPr="00E141A0" w:rsidRDefault="00D2335C">
            <w:pPr>
              <w:rPr>
                <w:color w:val="000000"/>
                <w:sz w:val="22"/>
                <w:szCs w:val="22"/>
              </w:rPr>
            </w:pPr>
            <w:r w:rsidRPr="00E141A0">
              <w:rPr>
                <w:color w:val="000000"/>
                <w:sz w:val="22"/>
                <w:szCs w:val="22"/>
              </w:rPr>
              <w:t>Voluntary Withdrawal</w:t>
            </w:r>
          </w:p>
        </w:tc>
        <w:tc>
          <w:tcPr>
            <w:tcW w:w="792" w:type="dxa"/>
            <w:tcBorders>
              <w:top w:val="nil"/>
              <w:left w:val="nil"/>
              <w:bottom w:val="nil"/>
              <w:right w:val="nil"/>
            </w:tcBorders>
            <w:shd w:val="clear" w:color="auto" w:fill="auto"/>
            <w:noWrap/>
            <w:vAlign w:val="center"/>
            <w:hideMark/>
          </w:tcPr>
          <w:p w14:paraId="55573AAA" w14:textId="77777777" w:rsidR="00D2335C" w:rsidRPr="00E141A0" w:rsidRDefault="00D2335C" w:rsidP="00546C32">
            <w:pPr>
              <w:jc w:val="center"/>
              <w:rPr>
                <w:color w:val="000000"/>
                <w:sz w:val="22"/>
                <w:szCs w:val="22"/>
              </w:rPr>
            </w:pPr>
            <w:r w:rsidRPr="00E141A0">
              <w:rPr>
                <w:color w:val="000000"/>
                <w:sz w:val="22"/>
                <w:szCs w:val="22"/>
              </w:rPr>
              <w:t>--</w:t>
            </w:r>
          </w:p>
        </w:tc>
        <w:tc>
          <w:tcPr>
            <w:tcW w:w="720" w:type="dxa"/>
            <w:tcBorders>
              <w:top w:val="nil"/>
              <w:left w:val="nil"/>
              <w:bottom w:val="nil"/>
              <w:right w:val="nil"/>
            </w:tcBorders>
            <w:shd w:val="clear" w:color="auto" w:fill="auto"/>
            <w:noWrap/>
            <w:vAlign w:val="center"/>
            <w:hideMark/>
          </w:tcPr>
          <w:p w14:paraId="0E72757C" w14:textId="77777777" w:rsidR="00D2335C" w:rsidRPr="00E141A0" w:rsidRDefault="00D2335C" w:rsidP="00546C32">
            <w:pPr>
              <w:jc w:val="center"/>
              <w:rPr>
                <w:color w:val="000000"/>
                <w:sz w:val="22"/>
                <w:szCs w:val="22"/>
              </w:rPr>
            </w:pPr>
            <w:r w:rsidRPr="00E141A0">
              <w:rPr>
                <w:color w:val="000000"/>
                <w:sz w:val="22"/>
                <w:szCs w:val="22"/>
              </w:rPr>
              <w:t>--</w:t>
            </w:r>
          </w:p>
        </w:tc>
        <w:tc>
          <w:tcPr>
            <w:tcW w:w="711" w:type="dxa"/>
            <w:tcBorders>
              <w:top w:val="nil"/>
              <w:left w:val="nil"/>
              <w:bottom w:val="nil"/>
              <w:right w:val="nil"/>
            </w:tcBorders>
            <w:shd w:val="clear" w:color="auto" w:fill="auto"/>
            <w:noWrap/>
            <w:vAlign w:val="center"/>
            <w:hideMark/>
          </w:tcPr>
          <w:p w14:paraId="5811D4D6" w14:textId="77777777" w:rsidR="00D2335C" w:rsidRPr="00E141A0" w:rsidRDefault="00D2335C" w:rsidP="00546C32">
            <w:pPr>
              <w:jc w:val="center"/>
              <w:rPr>
                <w:color w:val="000000"/>
                <w:sz w:val="22"/>
                <w:szCs w:val="22"/>
              </w:rPr>
            </w:pPr>
            <w:r w:rsidRPr="00E141A0">
              <w:rPr>
                <w:color w:val="000000"/>
                <w:sz w:val="22"/>
                <w:szCs w:val="22"/>
              </w:rPr>
              <w:t>--</w:t>
            </w:r>
          </w:p>
        </w:tc>
        <w:tc>
          <w:tcPr>
            <w:tcW w:w="900" w:type="dxa"/>
            <w:tcBorders>
              <w:top w:val="nil"/>
              <w:left w:val="nil"/>
              <w:bottom w:val="nil"/>
              <w:right w:val="nil"/>
            </w:tcBorders>
            <w:shd w:val="clear" w:color="auto" w:fill="auto"/>
            <w:noWrap/>
            <w:vAlign w:val="center"/>
            <w:hideMark/>
          </w:tcPr>
          <w:p w14:paraId="3F1EF7D3" w14:textId="77777777" w:rsidR="00D2335C" w:rsidRPr="00E141A0" w:rsidRDefault="00D2335C" w:rsidP="00546C32">
            <w:pPr>
              <w:jc w:val="center"/>
              <w:rPr>
                <w:color w:val="000000"/>
                <w:sz w:val="22"/>
                <w:szCs w:val="22"/>
              </w:rPr>
            </w:pPr>
            <w:r w:rsidRPr="00E141A0">
              <w:rPr>
                <w:color w:val="000000"/>
                <w:sz w:val="22"/>
                <w:szCs w:val="22"/>
              </w:rPr>
              <w:t>--</w:t>
            </w:r>
          </w:p>
        </w:tc>
        <w:tc>
          <w:tcPr>
            <w:tcW w:w="1170" w:type="dxa"/>
            <w:tcBorders>
              <w:top w:val="nil"/>
              <w:left w:val="nil"/>
              <w:bottom w:val="nil"/>
              <w:right w:val="nil"/>
            </w:tcBorders>
            <w:shd w:val="clear" w:color="auto" w:fill="auto"/>
            <w:noWrap/>
            <w:vAlign w:val="center"/>
            <w:hideMark/>
          </w:tcPr>
          <w:p w14:paraId="22162A94" w14:textId="77777777" w:rsidR="00D2335C" w:rsidRPr="00E141A0" w:rsidRDefault="00D2335C" w:rsidP="00546C32">
            <w:pPr>
              <w:jc w:val="center"/>
              <w:rPr>
                <w:color w:val="000000"/>
                <w:sz w:val="22"/>
                <w:szCs w:val="22"/>
              </w:rPr>
            </w:pPr>
            <w:r w:rsidRPr="00E141A0">
              <w:rPr>
                <w:color w:val="000000"/>
                <w:sz w:val="22"/>
                <w:szCs w:val="22"/>
              </w:rPr>
              <w:t>--</w:t>
            </w:r>
          </w:p>
        </w:tc>
        <w:tc>
          <w:tcPr>
            <w:tcW w:w="271" w:type="dxa"/>
            <w:tcBorders>
              <w:top w:val="nil"/>
              <w:left w:val="nil"/>
              <w:bottom w:val="nil"/>
              <w:right w:val="nil"/>
            </w:tcBorders>
            <w:shd w:val="clear" w:color="auto" w:fill="auto"/>
            <w:noWrap/>
            <w:vAlign w:val="center"/>
            <w:hideMark/>
          </w:tcPr>
          <w:p w14:paraId="476C29D6" w14:textId="03920474" w:rsidR="00D2335C" w:rsidRPr="00E141A0" w:rsidRDefault="00D2335C" w:rsidP="00546C32">
            <w:pPr>
              <w:jc w:val="center"/>
              <w:rPr>
                <w:color w:val="000000"/>
                <w:sz w:val="22"/>
                <w:szCs w:val="22"/>
              </w:rPr>
            </w:pPr>
          </w:p>
        </w:tc>
        <w:tc>
          <w:tcPr>
            <w:tcW w:w="720" w:type="dxa"/>
            <w:tcBorders>
              <w:top w:val="nil"/>
              <w:left w:val="nil"/>
              <w:right w:val="nil"/>
            </w:tcBorders>
            <w:shd w:val="clear" w:color="auto" w:fill="auto"/>
            <w:noWrap/>
            <w:vAlign w:val="center"/>
            <w:hideMark/>
          </w:tcPr>
          <w:p w14:paraId="1B8DC7D1" w14:textId="5BB88E32" w:rsidR="00D2335C" w:rsidRPr="00E141A0" w:rsidRDefault="00D2335C" w:rsidP="00546C32">
            <w:pPr>
              <w:jc w:val="center"/>
              <w:rPr>
                <w:sz w:val="22"/>
                <w:szCs w:val="22"/>
              </w:rPr>
            </w:pPr>
            <w:r w:rsidRPr="00E141A0">
              <w:rPr>
                <w:sz w:val="22"/>
                <w:szCs w:val="22"/>
              </w:rPr>
              <w:t>43</w:t>
            </w:r>
          </w:p>
        </w:tc>
        <w:tc>
          <w:tcPr>
            <w:tcW w:w="720" w:type="dxa"/>
            <w:tcBorders>
              <w:top w:val="nil"/>
              <w:left w:val="nil"/>
              <w:right w:val="nil"/>
            </w:tcBorders>
            <w:shd w:val="clear" w:color="auto" w:fill="auto"/>
            <w:noWrap/>
            <w:vAlign w:val="center"/>
            <w:hideMark/>
          </w:tcPr>
          <w:p w14:paraId="293764EF" w14:textId="77777777" w:rsidR="00D2335C" w:rsidRPr="00E141A0" w:rsidRDefault="00D2335C" w:rsidP="00546C32">
            <w:pPr>
              <w:jc w:val="center"/>
              <w:rPr>
                <w:sz w:val="22"/>
                <w:szCs w:val="22"/>
              </w:rPr>
            </w:pPr>
            <w:r w:rsidRPr="00E141A0">
              <w:rPr>
                <w:sz w:val="22"/>
                <w:szCs w:val="22"/>
              </w:rPr>
              <w:t>0.54</w:t>
            </w:r>
          </w:p>
        </w:tc>
        <w:tc>
          <w:tcPr>
            <w:tcW w:w="900" w:type="dxa"/>
            <w:tcBorders>
              <w:top w:val="nil"/>
              <w:left w:val="nil"/>
              <w:right w:val="nil"/>
            </w:tcBorders>
            <w:shd w:val="clear" w:color="auto" w:fill="auto"/>
            <w:noWrap/>
            <w:vAlign w:val="center"/>
            <w:hideMark/>
          </w:tcPr>
          <w:p w14:paraId="4D27EDA7" w14:textId="77777777" w:rsidR="00D2335C" w:rsidRPr="00E141A0" w:rsidRDefault="00D2335C" w:rsidP="00546C32">
            <w:pPr>
              <w:jc w:val="center"/>
              <w:rPr>
                <w:sz w:val="22"/>
                <w:szCs w:val="22"/>
              </w:rPr>
            </w:pPr>
            <w:r w:rsidRPr="00E141A0">
              <w:rPr>
                <w:sz w:val="22"/>
                <w:szCs w:val="22"/>
              </w:rPr>
              <w:t>1.01</w:t>
            </w:r>
          </w:p>
        </w:tc>
        <w:tc>
          <w:tcPr>
            <w:tcW w:w="810" w:type="dxa"/>
            <w:tcBorders>
              <w:top w:val="nil"/>
              <w:left w:val="nil"/>
              <w:bottom w:val="nil"/>
              <w:right w:val="nil"/>
            </w:tcBorders>
            <w:shd w:val="clear" w:color="auto" w:fill="auto"/>
            <w:noWrap/>
            <w:vAlign w:val="center"/>
            <w:hideMark/>
          </w:tcPr>
          <w:p w14:paraId="0FD50ECA" w14:textId="77777777" w:rsidR="00D2335C" w:rsidRPr="00E141A0" w:rsidRDefault="00D2335C" w:rsidP="00546C32">
            <w:pPr>
              <w:jc w:val="center"/>
              <w:rPr>
                <w:color w:val="000000"/>
                <w:sz w:val="22"/>
                <w:szCs w:val="22"/>
              </w:rPr>
            </w:pPr>
            <w:r w:rsidRPr="00E141A0">
              <w:rPr>
                <w:color w:val="000000"/>
                <w:sz w:val="22"/>
                <w:szCs w:val="22"/>
              </w:rPr>
              <w:t>6.35</w:t>
            </w:r>
          </w:p>
        </w:tc>
        <w:tc>
          <w:tcPr>
            <w:tcW w:w="1170" w:type="dxa"/>
            <w:tcBorders>
              <w:top w:val="nil"/>
              <w:left w:val="nil"/>
              <w:bottom w:val="nil"/>
              <w:right w:val="nil"/>
            </w:tcBorders>
            <w:shd w:val="clear" w:color="auto" w:fill="auto"/>
            <w:vAlign w:val="center"/>
            <w:hideMark/>
          </w:tcPr>
          <w:p w14:paraId="7BA51D2B" w14:textId="77777777" w:rsidR="00D2335C" w:rsidRPr="00E141A0" w:rsidRDefault="00D2335C" w:rsidP="00546C32">
            <w:pPr>
              <w:jc w:val="center"/>
              <w:rPr>
                <w:color w:val="000000"/>
                <w:sz w:val="22"/>
                <w:szCs w:val="22"/>
              </w:rPr>
            </w:pPr>
            <w:r w:rsidRPr="00E141A0">
              <w:rPr>
                <w:color w:val="000000"/>
                <w:sz w:val="22"/>
                <w:szCs w:val="22"/>
              </w:rPr>
              <w:t>1.19%</w:t>
            </w:r>
          </w:p>
        </w:tc>
      </w:tr>
      <w:tr w:rsidR="00D2335C" w:rsidRPr="00296330" w14:paraId="43E13613" w14:textId="77777777" w:rsidTr="00546C32">
        <w:trPr>
          <w:trHeight w:val="576"/>
        </w:trPr>
        <w:tc>
          <w:tcPr>
            <w:tcW w:w="2714" w:type="dxa"/>
            <w:tcBorders>
              <w:top w:val="nil"/>
              <w:left w:val="nil"/>
              <w:bottom w:val="single" w:sz="4" w:space="0" w:color="auto"/>
              <w:right w:val="nil"/>
            </w:tcBorders>
            <w:shd w:val="clear" w:color="auto" w:fill="auto"/>
            <w:vAlign w:val="bottom"/>
            <w:hideMark/>
          </w:tcPr>
          <w:p w14:paraId="68E40706" w14:textId="77777777" w:rsidR="00D2335C" w:rsidRPr="00E141A0" w:rsidRDefault="00D2335C">
            <w:pPr>
              <w:rPr>
                <w:b/>
                <w:bCs/>
                <w:color w:val="000000"/>
                <w:sz w:val="22"/>
                <w:szCs w:val="22"/>
              </w:rPr>
            </w:pPr>
            <w:r w:rsidRPr="00E141A0">
              <w:rPr>
                <w:b/>
                <w:bCs/>
                <w:color w:val="000000"/>
                <w:sz w:val="22"/>
                <w:szCs w:val="22"/>
              </w:rPr>
              <w:t>Repeat Participants (</w:t>
            </w:r>
            <w:r w:rsidRPr="00E141A0">
              <w:rPr>
                <w:b/>
                <w:bCs/>
                <w:i/>
                <w:iCs/>
                <w:color w:val="000000"/>
                <w:sz w:val="22"/>
                <w:szCs w:val="22"/>
              </w:rPr>
              <w:t>N</w:t>
            </w:r>
            <w:r w:rsidRPr="00E141A0">
              <w:rPr>
                <w:b/>
                <w:bCs/>
                <w:color w:val="000000"/>
                <w:sz w:val="22"/>
                <w:szCs w:val="22"/>
              </w:rPr>
              <w:t>=36)</w:t>
            </w:r>
          </w:p>
        </w:tc>
        <w:tc>
          <w:tcPr>
            <w:tcW w:w="792" w:type="dxa"/>
            <w:tcBorders>
              <w:top w:val="nil"/>
              <w:left w:val="nil"/>
              <w:bottom w:val="single" w:sz="4" w:space="0" w:color="auto"/>
              <w:right w:val="nil"/>
            </w:tcBorders>
            <w:shd w:val="clear" w:color="auto" w:fill="auto"/>
            <w:noWrap/>
            <w:vAlign w:val="center"/>
            <w:hideMark/>
          </w:tcPr>
          <w:p w14:paraId="0EEE70F0" w14:textId="77777777" w:rsidR="00D2335C" w:rsidRPr="00E141A0" w:rsidRDefault="00D2335C" w:rsidP="00546C32">
            <w:pPr>
              <w:jc w:val="center"/>
              <w:rPr>
                <w:color w:val="000000"/>
                <w:sz w:val="22"/>
                <w:szCs w:val="22"/>
              </w:rPr>
            </w:pPr>
            <w:r w:rsidRPr="00E141A0">
              <w:rPr>
                <w:color w:val="000000"/>
                <w:sz w:val="22"/>
                <w:szCs w:val="22"/>
              </w:rPr>
              <w:t>Total</w:t>
            </w:r>
          </w:p>
        </w:tc>
        <w:tc>
          <w:tcPr>
            <w:tcW w:w="720" w:type="dxa"/>
            <w:tcBorders>
              <w:top w:val="nil"/>
              <w:left w:val="nil"/>
              <w:bottom w:val="single" w:sz="4" w:space="0" w:color="auto"/>
              <w:right w:val="nil"/>
            </w:tcBorders>
            <w:shd w:val="clear" w:color="auto" w:fill="auto"/>
            <w:noWrap/>
            <w:vAlign w:val="center"/>
            <w:hideMark/>
          </w:tcPr>
          <w:p w14:paraId="6C6F4F0C" w14:textId="77777777" w:rsidR="00D2335C" w:rsidRPr="00E141A0" w:rsidRDefault="00D2335C" w:rsidP="00546C32">
            <w:pPr>
              <w:jc w:val="center"/>
              <w:rPr>
                <w:i/>
                <w:iCs/>
                <w:color w:val="000000"/>
                <w:sz w:val="22"/>
                <w:szCs w:val="22"/>
              </w:rPr>
            </w:pPr>
            <w:r w:rsidRPr="00E141A0">
              <w:rPr>
                <w:i/>
                <w:iCs/>
                <w:color w:val="000000"/>
                <w:sz w:val="22"/>
                <w:szCs w:val="22"/>
              </w:rPr>
              <w:t>M</w:t>
            </w:r>
          </w:p>
        </w:tc>
        <w:tc>
          <w:tcPr>
            <w:tcW w:w="711" w:type="dxa"/>
            <w:tcBorders>
              <w:top w:val="nil"/>
              <w:left w:val="nil"/>
              <w:bottom w:val="single" w:sz="4" w:space="0" w:color="auto"/>
              <w:right w:val="nil"/>
            </w:tcBorders>
            <w:shd w:val="clear" w:color="auto" w:fill="auto"/>
            <w:noWrap/>
            <w:vAlign w:val="center"/>
            <w:hideMark/>
          </w:tcPr>
          <w:p w14:paraId="0538717B" w14:textId="77777777" w:rsidR="00D2335C" w:rsidRPr="00E141A0" w:rsidRDefault="00D2335C" w:rsidP="00546C32">
            <w:pPr>
              <w:jc w:val="center"/>
              <w:rPr>
                <w:color w:val="000000"/>
                <w:sz w:val="22"/>
                <w:szCs w:val="22"/>
              </w:rPr>
            </w:pPr>
            <w:r w:rsidRPr="00E141A0">
              <w:rPr>
                <w:color w:val="000000"/>
                <w:sz w:val="22"/>
                <w:szCs w:val="22"/>
              </w:rPr>
              <w:t>SD</w:t>
            </w:r>
          </w:p>
        </w:tc>
        <w:tc>
          <w:tcPr>
            <w:tcW w:w="900" w:type="dxa"/>
            <w:tcBorders>
              <w:top w:val="nil"/>
              <w:left w:val="nil"/>
              <w:bottom w:val="single" w:sz="4" w:space="0" w:color="auto"/>
              <w:right w:val="nil"/>
            </w:tcBorders>
            <w:shd w:val="clear" w:color="auto" w:fill="auto"/>
            <w:noWrap/>
            <w:vAlign w:val="center"/>
            <w:hideMark/>
          </w:tcPr>
          <w:p w14:paraId="6166215F" w14:textId="77777777" w:rsidR="00D2335C" w:rsidRPr="00E141A0" w:rsidRDefault="00D2335C" w:rsidP="00546C32">
            <w:pPr>
              <w:jc w:val="center"/>
              <w:rPr>
                <w:color w:val="000000"/>
                <w:sz w:val="22"/>
                <w:szCs w:val="22"/>
              </w:rPr>
            </w:pPr>
            <w:r w:rsidRPr="00E141A0">
              <w:rPr>
                <w:color w:val="000000"/>
                <w:sz w:val="22"/>
                <w:szCs w:val="22"/>
              </w:rPr>
              <w:t>per 1,000</w:t>
            </w:r>
          </w:p>
        </w:tc>
        <w:tc>
          <w:tcPr>
            <w:tcW w:w="1170" w:type="dxa"/>
            <w:tcBorders>
              <w:top w:val="nil"/>
              <w:left w:val="nil"/>
              <w:bottom w:val="single" w:sz="4" w:space="0" w:color="auto"/>
              <w:right w:val="nil"/>
            </w:tcBorders>
            <w:shd w:val="clear" w:color="auto" w:fill="auto"/>
            <w:vAlign w:val="center"/>
            <w:hideMark/>
          </w:tcPr>
          <w:p w14:paraId="261B215D" w14:textId="77777777" w:rsidR="00D2335C" w:rsidRPr="00E141A0" w:rsidRDefault="00D2335C" w:rsidP="00546C32">
            <w:pPr>
              <w:jc w:val="center"/>
              <w:rPr>
                <w:color w:val="000000"/>
                <w:sz w:val="22"/>
                <w:szCs w:val="22"/>
              </w:rPr>
            </w:pPr>
            <w:r w:rsidRPr="00E141A0">
              <w:rPr>
                <w:i/>
                <w:iCs/>
                <w:color w:val="000000"/>
                <w:sz w:val="22"/>
                <w:szCs w:val="22"/>
              </w:rPr>
              <w:t xml:space="preserve">M </w:t>
            </w:r>
            <w:r w:rsidRPr="00E141A0">
              <w:rPr>
                <w:color w:val="000000"/>
                <w:sz w:val="22"/>
                <w:szCs w:val="22"/>
              </w:rPr>
              <w:t>% enrollment</w:t>
            </w:r>
          </w:p>
        </w:tc>
        <w:tc>
          <w:tcPr>
            <w:tcW w:w="271" w:type="dxa"/>
            <w:tcBorders>
              <w:top w:val="nil"/>
              <w:left w:val="nil"/>
              <w:bottom w:val="single" w:sz="4" w:space="0" w:color="auto"/>
              <w:right w:val="nil"/>
            </w:tcBorders>
            <w:shd w:val="clear" w:color="auto" w:fill="auto"/>
            <w:noWrap/>
            <w:vAlign w:val="center"/>
            <w:hideMark/>
          </w:tcPr>
          <w:p w14:paraId="79DBBD2E" w14:textId="13C17C95" w:rsidR="00D2335C" w:rsidRPr="00E141A0" w:rsidRDefault="00D2335C" w:rsidP="00546C32">
            <w:pPr>
              <w:jc w:val="center"/>
              <w:rPr>
                <w:color w:val="000000"/>
                <w:sz w:val="22"/>
                <w:szCs w:val="22"/>
              </w:rPr>
            </w:pPr>
          </w:p>
        </w:tc>
        <w:tc>
          <w:tcPr>
            <w:tcW w:w="720" w:type="dxa"/>
            <w:tcBorders>
              <w:left w:val="nil"/>
              <w:bottom w:val="single" w:sz="4" w:space="0" w:color="auto"/>
              <w:right w:val="nil"/>
            </w:tcBorders>
            <w:shd w:val="clear" w:color="auto" w:fill="auto"/>
            <w:noWrap/>
            <w:vAlign w:val="center"/>
            <w:hideMark/>
          </w:tcPr>
          <w:p w14:paraId="7DF58A17" w14:textId="77777777" w:rsidR="00D2335C" w:rsidRPr="00E141A0" w:rsidRDefault="00D2335C" w:rsidP="00546C32">
            <w:pPr>
              <w:jc w:val="center"/>
              <w:rPr>
                <w:color w:val="000000"/>
                <w:sz w:val="22"/>
                <w:szCs w:val="22"/>
              </w:rPr>
            </w:pPr>
            <w:r w:rsidRPr="00E141A0">
              <w:rPr>
                <w:color w:val="000000"/>
                <w:sz w:val="22"/>
                <w:szCs w:val="22"/>
              </w:rPr>
              <w:t>Total</w:t>
            </w:r>
          </w:p>
        </w:tc>
        <w:tc>
          <w:tcPr>
            <w:tcW w:w="720" w:type="dxa"/>
            <w:tcBorders>
              <w:left w:val="nil"/>
              <w:bottom w:val="single" w:sz="4" w:space="0" w:color="auto"/>
              <w:right w:val="nil"/>
            </w:tcBorders>
            <w:shd w:val="clear" w:color="auto" w:fill="auto"/>
            <w:noWrap/>
            <w:vAlign w:val="center"/>
            <w:hideMark/>
          </w:tcPr>
          <w:p w14:paraId="4FBF8246" w14:textId="77777777" w:rsidR="00D2335C" w:rsidRPr="00E141A0" w:rsidRDefault="00D2335C" w:rsidP="00546C32">
            <w:pPr>
              <w:jc w:val="center"/>
              <w:rPr>
                <w:i/>
                <w:iCs/>
                <w:color w:val="000000"/>
                <w:sz w:val="22"/>
                <w:szCs w:val="22"/>
              </w:rPr>
            </w:pPr>
            <w:r w:rsidRPr="00E141A0">
              <w:rPr>
                <w:i/>
                <w:iCs/>
                <w:color w:val="000000"/>
                <w:sz w:val="22"/>
                <w:szCs w:val="22"/>
              </w:rPr>
              <w:t>M</w:t>
            </w:r>
          </w:p>
        </w:tc>
        <w:tc>
          <w:tcPr>
            <w:tcW w:w="900" w:type="dxa"/>
            <w:tcBorders>
              <w:left w:val="nil"/>
              <w:bottom w:val="single" w:sz="4" w:space="0" w:color="auto"/>
              <w:right w:val="nil"/>
            </w:tcBorders>
            <w:shd w:val="clear" w:color="auto" w:fill="auto"/>
            <w:noWrap/>
            <w:vAlign w:val="center"/>
            <w:hideMark/>
          </w:tcPr>
          <w:p w14:paraId="00F5A341" w14:textId="77777777" w:rsidR="00D2335C" w:rsidRPr="00E141A0" w:rsidRDefault="00D2335C" w:rsidP="00546C32">
            <w:pPr>
              <w:jc w:val="center"/>
              <w:rPr>
                <w:color w:val="000000"/>
                <w:sz w:val="22"/>
                <w:szCs w:val="22"/>
              </w:rPr>
            </w:pPr>
            <w:r w:rsidRPr="00E141A0">
              <w:rPr>
                <w:color w:val="000000"/>
                <w:sz w:val="22"/>
                <w:szCs w:val="22"/>
              </w:rPr>
              <w:t>SD</w:t>
            </w:r>
          </w:p>
        </w:tc>
        <w:tc>
          <w:tcPr>
            <w:tcW w:w="810" w:type="dxa"/>
            <w:tcBorders>
              <w:top w:val="nil"/>
              <w:left w:val="nil"/>
              <w:bottom w:val="single" w:sz="4" w:space="0" w:color="auto"/>
              <w:right w:val="nil"/>
            </w:tcBorders>
            <w:shd w:val="clear" w:color="auto" w:fill="auto"/>
            <w:noWrap/>
            <w:vAlign w:val="center"/>
            <w:hideMark/>
          </w:tcPr>
          <w:p w14:paraId="6A84B6B3" w14:textId="77777777" w:rsidR="00D2335C" w:rsidRPr="00E141A0" w:rsidRDefault="00D2335C" w:rsidP="00546C32">
            <w:pPr>
              <w:jc w:val="center"/>
              <w:rPr>
                <w:color w:val="000000"/>
                <w:sz w:val="22"/>
                <w:szCs w:val="22"/>
              </w:rPr>
            </w:pPr>
            <w:r w:rsidRPr="00E141A0">
              <w:rPr>
                <w:color w:val="000000"/>
                <w:sz w:val="22"/>
                <w:szCs w:val="22"/>
              </w:rPr>
              <w:t>per 1,000</w:t>
            </w:r>
          </w:p>
        </w:tc>
        <w:tc>
          <w:tcPr>
            <w:tcW w:w="1170" w:type="dxa"/>
            <w:tcBorders>
              <w:top w:val="nil"/>
              <w:left w:val="nil"/>
              <w:bottom w:val="single" w:sz="4" w:space="0" w:color="auto"/>
              <w:right w:val="nil"/>
            </w:tcBorders>
            <w:shd w:val="clear" w:color="auto" w:fill="auto"/>
            <w:vAlign w:val="center"/>
            <w:hideMark/>
          </w:tcPr>
          <w:p w14:paraId="0061D2D0" w14:textId="77777777" w:rsidR="00D2335C" w:rsidRPr="00E141A0" w:rsidRDefault="00D2335C" w:rsidP="00546C32">
            <w:pPr>
              <w:jc w:val="center"/>
              <w:rPr>
                <w:color w:val="000000"/>
                <w:sz w:val="22"/>
                <w:szCs w:val="22"/>
              </w:rPr>
            </w:pPr>
            <w:r w:rsidRPr="00E141A0">
              <w:rPr>
                <w:i/>
                <w:iCs/>
                <w:color w:val="000000"/>
                <w:sz w:val="22"/>
                <w:szCs w:val="22"/>
              </w:rPr>
              <w:t xml:space="preserve">M </w:t>
            </w:r>
            <w:r w:rsidRPr="00E141A0">
              <w:rPr>
                <w:color w:val="000000"/>
                <w:sz w:val="22"/>
                <w:szCs w:val="22"/>
              </w:rPr>
              <w:t>% enrollment</w:t>
            </w:r>
          </w:p>
        </w:tc>
      </w:tr>
      <w:tr w:rsidR="000660B4" w:rsidRPr="00296330" w14:paraId="6B0B8717" w14:textId="77777777" w:rsidTr="00546C32">
        <w:trPr>
          <w:trHeight w:val="310"/>
        </w:trPr>
        <w:tc>
          <w:tcPr>
            <w:tcW w:w="2714" w:type="dxa"/>
            <w:tcBorders>
              <w:top w:val="nil"/>
              <w:left w:val="nil"/>
              <w:bottom w:val="nil"/>
              <w:right w:val="nil"/>
            </w:tcBorders>
            <w:shd w:val="clear" w:color="auto" w:fill="auto"/>
            <w:vAlign w:val="bottom"/>
            <w:hideMark/>
          </w:tcPr>
          <w:p w14:paraId="31E45FCE" w14:textId="77777777" w:rsidR="000660B4" w:rsidRPr="00E141A0" w:rsidRDefault="000660B4" w:rsidP="000660B4">
            <w:pPr>
              <w:rPr>
                <w:color w:val="000000"/>
                <w:sz w:val="22"/>
                <w:szCs w:val="22"/>
              </w:rPr>
            </w:pPr>
            <w:r w:rsidRPr="00E141A0">
              <w:rPr>
                <w:color w:val="000000"/>
                <w:sz w:val="22"/>
                <w:szCs w:val="22"/>
              </w:rPr>
              <w:t>Enrollment</w:t>
            </w:r>
          </w:p>
        </w:tc>
        <w:tc>
          <w:tcPr>
            <w:tcW w:w="792" w:type="dxa"/>
            <w:tcBorders>
              <w:top w:val="nil"/>
              <w:left w:val="nil"/>
              <w:bottom w:val="nil"/>
              <w:right w:val="nil"/>
            </w:tcBorders>
            <w:shd w:val="clear" w:color="auto" w:fill="auto"/>
            <w:noWrap/>
            <w:vAlign w:val="center"/>
            <w:hideMark/>
          </w:tcPr>
          <w:p w14:paraId="213C2F17" w14:textId="77777777" w:rsidR="000660B4" w:rsidRPr="00E141A0" w:rsidRDefault="000660B4" w:rsidP="00546C32">
            <w:pPr>
              <w:jc w:val="center"/>
              <w:rPr>
                <w:color w:val="000000"/>
                <w:sz w:val="22"/>
                <w:szCs w:val="22"/>
              </w:rPr>
            </w:pPr>
            <w:r w:rsidRPr="00E141A0">
              <w:rPr>
                <w:color w:val="000000"/>
                <w:sz w:val="22"/>
                <w:szCs w:val="22"/>
              </w:rPr>
              <w:t>1541</w:t>
            </w:r>
          </w:p>
        </w:tc>
        <w:tc>
          <w:tcPr>
            <w:tcW w:w="720" w:type="dxa"/>
            <w:tcBorders>
              <w:top w:val="nil"/>
              <w:left w:val="nil"/>
              <w:bottom w:val="nil"/>
              <w:right w:val="nil"/>
            </w:tcBorders>
            <w:shd w:val="clear" w:color="auto" w:fill="auto"/>
            <w:noWrap/>
            <w:vAlign w:val="center"/>
            <w:hideMark/>
          </w:tcPr>
          <w:p w14:paraId="1CE74340" w14:textId="77777777" w:rsidR="000660B4" w:rsidRPr="00E141A0" w:rsidRDefault="000660B4" w:rsidP="00546C32">
            <w:pPr>
              <w:jc w:val="center"/>
              <w:rPr>
                <w:color w:val="000000"/>
                <w:sz w:val="22"/>
                <w:szCs w:val="22"/>
              </w:rPr>
            </w:pPr>
            <w:r w:rsidRPr="00E141A0">
              <w:rPr>
                <w:color w:val="000000"/>
                <w:sz w:val="22"/>
                <w:szCs w:val="22"/>
              </w:rPr>
              <w:t>42.81</w:t>
            </w:r>
          </w:p>
        </w:tc>
        <w:tc>
          <w:tcPr>
            <w:tcW w:w="711" w:type="dxa"/>
            <w:tcBorders>
              <w:top w:val="nil"/>
              <w:left w:val="nil"/>
              <w:bottom w:val="nil"/>
              <w:right w:val="nil"/>
            </w:tcBorders>
            <w:shd w:val="clear" w:color="auto" w:fill="auto"/>
            <w:noWrap/>
            <w:vAlign w:val="center"/>
            <w:hideMark/>
          </w:tcPr>
          <w:p w14:paraId="6F0BA312" w14:textId="77777777" w:rsidR="000660B4" w:rsidRPr="00E141A0" w:rsidRDefault="000660B4" w:rsidP="00546C32">
            <w:pPr>
              <w:jc w:val="center"/>
              <w:rPr>
                <w:color w:val="000000"/>
                <w:sz w:val="22"/>
                <w:szCs w:val="22"/>
              </w:rPr>
            </w:pPr>
            <w:r w:rsidRPr="00E141A0">
              <w:rPr>
                <w:color w:val="000000"/>
                <w:sz w:val="22"/>
                <w:szCs w:val="22"/>
              </w:rPr>
              <w:t>33.42</w:t>
            </w:r>
          </w:p>
        </w:tc>
        <w:tc>
          <w:tcPr>
            <w:tcW w:w="900" w:type="dxa"/>
            <w:tcBorders>
              <w:top w:val="nil"/>
              <w:left w:val="nil"/>
              <w:bottom w:val="nil"/>
              <w:right w:val="nil"/>
            </w:tcBorders>
            <w:shd w:val="clear" w:color="auto" w:fill="auto"/>
            <w:noWrap/>
            <w:vAlign w:val="center"/>
            <w:hideMark/>
          </w:tcPr>
          <w:p w14:paraId="2C7BEBEA" w14:textId="30993F7E" w:rsidR="000660B4" w:rsidRPr="00E141A0" w:rsidRDefault="000660B4" w:rsidP="00546C32">
            <w:pPr>
              <w:jc w:val="center"/>
              <w:rPr>
                <w:color w:val="000000"/>
                <w:sz w:val="22"/>
                <w:szCs w:val="22"/>
              </w:rPr>
            </w:pPr>
            <w:r w:rsidRPr="00E141A0">
              <w:rPr>
                <w:color w:val="000000"/>
                <w:sz w:val="22"/>
                <w:szCs w:val="22"/>
              </w:rPr>
              <w:t>--</w:t>
            </w:r>
          </w:p>
        </w:tc>
        <w:tc>
          <w:tcPr>
            <w:tcW w:w="1170" w:type="dxa"/>
            <w:tcBorders>
              <w:top w:val="nil"/>
              <w:left w:val="nil"/>
              <w:bottom w:val="nil"/>
              <w:right w:val="nil"/>
            </w:tcBorders>
            <w:shd w:val="clear" w:color="auto" w:fill="auto"/>
            <w:noWrap/>
            <w:vAlign w:val="center"/>
            <w:hideMark/>
          </w:tcPr>
          <w:p w14:paraId="29164BF2" w14:textId="022581FE" w:rsidR="000660B4" w:rsidRPr="00E141A0" w:rsidRDefault="000660B4" w:rsidP="00546C32">
            <w:pPr>
              <w:jc w:val="center"/>
              <w:rPr>
                <w:sz w:val="22"/>
                <w:szCs w:val="22"/>
              </w:rPr>
            </w:pPr>
            <w:r w:rsidRPr="00E141A0">
              <w:rPr>
                <w:color w:val="000000"/>
                <w:sz w:val="22"/>
                <w:szCs w:val="22"/>
              </w:rPr>
              <w:t>--</w:t>
            </w:r>
          </w:p>
        </w:tc>
        <w:tc>
          <w:tcPr>
            <w:tcW w:w="271" w:type="dxa"/>
            <w:tcBorders>
              <w:top w:val="nil"/>
              <w:left w:val="nil"/>
              <w:bottom w:val="nil"/>
              <w:right w:val="nil"/>
            </w:tcBorders>
            <w:shd w:val="clear" w:color="auto" w:fill="auto"/>
            <w:noWrap/>
            <w:vAlign w:val="center"/>
            <w:hideMark/>
          </w:tcPr>
          <w:p w14:paraId="576C57E2" w14:textId="00D51A94" w:rsidR="000660B4" w:rsidRPr="00E141A0" w:rsidRDefault="000660B4" w:rsidP="00546C32">
            <w:pPr>
              <w:jc w:val="center"/>
              <w:rPr>
                <w:color w:val="000000"/>
                <w:sz w:val="22"/>
                <w:szCs w:val="22"/>
              </w:rPr>
            </w:pPr>
          </w:p>
        </w:tc>
        <w:tc>
          <w:tcPr>
            <w:tcW w:w="720" w:type="dxa"/>
            <w:tcBorders>
              <w:top w:val="nil"/>
              <w:left w:val="nil"/>
              <w:bottom w:val="nil"/>
              <w:right w:val="nil"/>
            </w:tcBorders>
            <w:shd w:val="clear" w:color="auto" w:fill="auto"/>
            <w:noWrap/>
            <w:vAlign w:val="center"/>
            <w:hideMark/>
          </w:tcPr>
          <w:p w14:paraId="72745230" w14:textId="77777777" w:rsidR="000660B4" w:rsidRPr="00E141A0" w:rsidRDefault="000660B4" w:rsidP="00546C32">
            <w:pPr>
              <w:jc w:val="center"/>
              <w:rPr>
                <w:color w:val="000000"/>
                <w:sz w:val="22"/>
                <w:szCs w:val="22"/>
              </w:rPr>
            </w:pPr>
            <w:r w:rsidRPr="00E141A0">
              <w:rPr>
                <w:color w:val="000000"/>
                <w:sz w:val="22"/>
                <w:szCs w:val="22"/>
              </w:rPr>
              <w:t>2203</w:t>
            </w:r>
          </w:p>
        </w:tc>
        <w:tc>
          <w:tcPr>
            <w:tcW w:w="720" w:type="dxa"/>
            <w:tcBorders>
              <w:top w:val="nil"/>
              <w:left w:val="nil"/>
              <w:bottom w:val="nil"/>
              <w:right w:val="nil"/>
            </w:tcBorders>
            <w:shd w:val="clear" w:color="auto" w:fill="auto"/>
            <w:noWrap/>
            <w:vAlign w:val="center"/>
            <w:hideMark/>
          </w:tcPr>
          <w:p w14:paraId="7381FA83" w14:textId="77777777" w:rsidR="000660B4" w:rsidRPr="00E141A0" w:rsidRDefault="000660B4" w:rsidP="00546C32">
            <w:pPr>
              <w:jc w:val="center"/>
              <w:rPr>
                <w:color w:val="000000"/>
                <w:sz w:val="22"/>
                <w:szCs w:val="22"/>
              </w:rPr>
            </w:pPr>
            <w:r w:rsidRPr="00E141A0">
              <w:rPr>
                <w:color w:val="000000"/>
                <w:sz w:val="22"/>
                <w:szCs w:val="22"/>
              </w:rPr>
              <w:t>48.96</w:t>
            </w:r>
          </w:p>
        </w:tc>
        <w:tc>
          <w:tcPr>
            <w:tcW w:w="900" w:type="dxa"/>
            <w:tcBorders>
              <w:top w:val="nil"/>
              <w:left w:val="nil"/>
              <w:bottom w:val="nil"/>
              <w:right w:val="nil"/>
            </w:tcBorders>
            <w:shd w:val="clear" w:color="auto" w:fill="auto"/>
            <w:noWrap/>
            <w:vAlign w:val="center"/>
            <w:hideMark/>
          </w:tcPr>
          <w:p w14:paraId="5C747630" w14:textId="77777777" w:rsidR="000660B4" w:rsidRPr="00E141A0" w:rsidRDefault="000660B4" w:rsidP="00546C32">
            <w:pPr>
              <w:jc w:val="center"/>
              <w:rPr>
                <w:color w:val="000000"/>
                <w:sz w:val="22"/>
                <w:szCs w:val="22"/>
              </w:rPr>
            </w:pPr>
            <w:r w:rsidRPr="00E141A0">
              <w:rPr>
                <w:color w:val="000000"/>
                <w:sz w:val="22"/>
                <w:szCs w:val="22"/>
              </w:rPr>
              <w:t>36.46</w:t>
            </w:r>
          </w:p>
        </w:tc>
        <w:tc>
          <w:tcPr>
            <w:tcW w:w="810" w:type="dxa"/>
            <w:tcBorders>
              <w:top w:val="nil"/>
              <w:left w:val="nil"/>
              <w:bottom w:val="nil"/>
              <w:right w:val="nil"/>
            </w:tcBorders>
            <w:shd w:val="clear" w:color="auto" w:fill="auto"/>
            <w:noWrap/>
            <w:vAlign w:val="center"/>
            <w:hideMark/>
          </w:tcPr>
          <w:p w14:paraId="7AE7005A" w14:textId="77777777" w:rsidR="000660B4" w:rsidRPr="00E141A0" w:rsidRDefault="000660B4" w:rsidP="00546C32">
            <w:pPr>
              <w:jc w:val="center"/>
              <w:rPr>
                <w:color w:val="000000"/>
                <w:sz w:val="22"/>
                <w:szCs w:val="22"/>
              </w:rPr>
            </w:pPr>
            <w:r w:rsidRPr="00E141A0">
              <w:rPr>
                <w:color w:val="000000"/>
                <w:sz w:val="22"/>
                <w:szCs w:val="22"/>
              </w:rPr>
              <w:t>--</w:t>
            </w:r>
          </w:p>
        </w:tc>
        <w:tc>
          <w:tcPr>
            <w:tcW w:w="1170" w:type="dxa"/>
            <w:tcBorders>
              <w:top w:val="nil"/>
              <w:left w:val="nil"/>
              <w:bottom w:val="nil"/>
              <w:right w:val="nil"/>
            </w:tcBorders>
            <w:shd w:val="clear" w:color="auto" w:fill="auto"/>
            <w:vAlign w:val="center"/>
            <w:hideMark/>
          </w:tcPr>
          <w:p w14:paraId="0B0572A3" w14:textId="77777777" w:rsidR="000660B4" w:rsidRPr="00E141A0" w:rsidRDefault="000660B4" w:rsidP="00546C32">
            <w:pPr>
              <w:jc w:val="center"/>
              <w:rPr>
                <w:color w:val="000000"/>
                <w:sz w:val="22"/>
                <w:szCs w:val="22"/>
              </w:rPr>
            </w:pPr>
            <w:r w:rsidRPr="00E141A0">
              <w:rPr>
                <w:color w:val="000000"/>
                <w:sz w:val="22"/>
                <w:szCs w:val="22"/>
              </w:rPr>
              <w:t>--</w:t>
            </w:r>
          </w:p>
        </w:tc>
      </w:tr>
      <w:tr w:rsidR="000660B4" w:rsidRPr="00296330" w14:paraId="34A18EA4" w14:textId="77777777" w:rsidTr="00546C32">
        <w:trPr>
          <w:trHeight w:val="310"/>
        </w:trPr>
        <w:tc>
          <w:tcPr>
            <w:tcW w:w="2714" w:type="dxa"/>
            <w:tcBorders>
              <w:top w:val="nil"/>
              <w:left w:val="nil"/>
              <w:bottom w:val="nil"/>
              <w:right w:val="nil"/>
            </w:tcBorders>
            <w:shd w:val="clear" w:color="auto" w:fill="auto"/>
            <w:vAlign w:val="bottom"/>
            <w:hideMark/>
          </w:tcPr>
          <w:p w14:paraId="344A802E" w14:textId="77777777" w:rsidR="000660B4" w:rsidRPr="00E141A0" w:rsidRDefault="000660B4" w:rsidP="000660B4">
            <w:pPr>
              <w:rPr>
                <w:color w:val="000000"/>
                <w:sz w:val="22"/>
                <w:szCs w:val="22"/>
              </w:rPr>
            </w:pPr>
            <w:r w:rsidRPr="00E141A0">
              <w:rPr>
                <w:color w:val="000000"/>
                <w:sz w:val="22"/>
                <w:szCs w:val="22"/>
              </w:rPr>
              <w:t>Sent Home Early</w:t>
            </w:r>
          </w:p>
        </w:tc>
        <w:tc>
          <w:tcPr>
            <w:tcW w:w="792" w:type="dxa"/>
            <w:tcBorders>
              <w:top w:val="nil"/>
              <w:left w:val="nil"/>
              <w:bottom w:val="nil"/>
              <w:right w:val="nil"/>
            </w:tcBorders>
            <w:shd w:val="clear" w:color="auto" w:fill="auto"/>
            <w:noWrap/>
            <w:vAlign w:val="center"/>
            <w:hideMark/>
          </w:tcPr>
          <w:p w14:paraId="2924443F" w14:textId="77777777" w:rsidR="000660B4" w:rsidRPr="00E141A0" w:rsidRDefault="000660B4" w:rsidP="00546C32">
            <w:pPr>
              <w:jc w:val="center"/>
              <w:rPr>
                <w:color w:val="000000"/>
                <w:sz w:val="22"/>
                <w:szCs w:val="22"/>
              </w:rPr>
            </w:pPr>
            <w:r w:rsidRPr="00E141A0">
              <w:rPr>
                <w:color w:val="000000"/>
                <w:sz w:val="22"/>
                <w:szCs w:val="22"/>
              </w:rPr>
              <w:t>88</w:t>
            </w:r>
          </w:p>
        </w:tc>
        <w:tc>
          <w:tcPr>
            <w:tcW w:w="720" w:type="dxa"/>
            <w:tcBorders>
              <w:top w:val="nil"/>
              <w:left w:val="nil"/>
              <w:bottom w:val="nil"/>
              <w:right w:val="nil"/>
            </w:tcBorders>
            <w:shd w:val="clear" w:color="auto" w:fill="auto"/>
            <w:noWrap/>
            <w:vAlign w:val="center"/>
            <w:hideMark/>
          </w:tcPr>
          <w:p w14:paraId="6F5AEF10" w14:textId="77777777" w:rsidR="000660B4" w:rsidRPr="00E141A0" w:rsidRDefault="000660B4" w:rsidP="00546C32">
            <w:pPr>
              <w:jc w:val="center"/>
              <w:rPr>
                <w:color w:val="000000"/>
                <w:sz w:val="22"/>
                <w:szCs w:val="22"/>
              </w:rPr>
            </w:pPr>
            <w:r w:rsidRPr="00E141A0">
              <w:rPr>
                <w:color w:val="000000"/>
                <w:sz w:val="22"/>
                <w:szCs w:val="22"/>
              </w:rPr>
              <w:t>2.44</w:t>
            </w:r>
          </w:p>
        </w:tc>
        <w:tc>
          <w:tcPr>
            <w:tcW w:w="711" w:type="dxa"/>
            <w:tcBorders>
              <w:top w:val="nil"/>
              <w:left w:val="nil"/>
              <w:bottom w:val="nil"/>
              <w:right w:val="nil"/>
            </w:tcBorders>
            <w:shd w:val="clear" w:color="auto" w:fill="auto"/>
            <w:noWrap/>
            <w:vAlign w:val="center"/>
            <w:hideMark/>
          </w:tcPr>
          <w:p w14:paraId="0E923246" w14:textId="77777777" w:rsidR="000660B4" w:rsidRPr="00E141A0" w:rsidRDefault="000660B4" w:rsidP="00546C32">
            <w:pPr>
              <w:jc w:val="center"/>
              <w:rPr>
                <w:color w:val="000000"/>
                <w:sz w:val="22"/>
                <w:szCs w:val="22"/>
              </w:rPr>
            </w:pPr>
            <w:r w:rsidRPr="00E141A0">
              <w:rPr>
                <w:color w:val="000000"/>
                <w:sz w:val="22"/>
                <w:szCs w:val="22"/>
              </w:rPr>
              <w:t>5.99</w:t>
            </w:r>
          </w:p>
        </w:tc>
        <w:tc>
          <w:tcPr>
            <w:tcW w:w="900" w:type="dxa"/>
            <w:tcBorders>
              <w:top w:val="nil"/>
              <w:left w:val="nil"/>
              <w:bottom w:val="nil"/>
              <w:right w:val="nil"/>
            </w:tcBorders>
            <w:shd w:val="clear" w:color="auto" w:fill="auto"/>
            <w:noWrap/>
            <w:vAlign w:val="center"/>
            <w:hideMark/>
          </w:tcPr>
          <w:p w14:paraId="199F6BD8" w14:textId="77777777" w:rsidR="000660B4" w:rsidRPr="00E141A0" w:rsidRDefault="000660B4" w:rsidP="00546C32">
            <w:pPr>
              <w:jc w:val="center"/>
              <w:rPr>
                <w:color w:val="000000"/>
                <w:sz w:val="22"/>
                <w:szCs w:val="22"/>
              </w:rPr>
            </w:pPr>
            <w:r w:rsidRPr="00E141A0">
              <w:rPr>
                <w:color w:val="000000"/>
                <w:sz w:val="22"/>
                <w:szCs w:val="22"/>
              </w:rPr>
              <w:t>57.11</w:t>
            </w:r>
          </w:p>
        </w:tc>
        <w:tc>
          <w:tcPr>
            <w:tcW w:w="1170" w:type="dxa"/>
            <w:tcBorders>
              <w:top w:val="nil"/>
              <w:left w:val="nil"/>
              <w:bottom w:val="nil"/>
              <w:right w:val="nil"/>
            </w:tcBorders>
            <w:shd w:val="clear" w:color="auto" w:fill="auto"/>
            <w:noWrap/>
            <w:vAlign w:val="center"/>
            <w:hideMark/>
          </w:tcPr>
          <w:p w14:paraId="13F8EABA" w14:textId="77777777" w:rsidR="000660B4" w:rsidRPr="00E141A0" w:rsidRDefault="000660B4" w:rsidP="00546C32">
            <w:pPr>
              <w:jc w:val="center"/>
              <w:rPr>
                <w:color w:val="000000"/>
                <w:sz w:val="22"/>
                <w:szCs w:val="22"/>
              </w:rPr>
            </w:pPr>
            <w:r w:rsidRPr="00E141A0">
              <w:rPr>
                <w:color w:val="000000"/>
                <w:sz w:val="22"/>
                <w:szCs w:val="22"/>
              </w:rPr>
              <w:t>6.13%</w:t>
            </w:r>
          </w:p>
        </w:tc>
        <w:tc>
          <w:tcPr>
            <w:tcW w:w="271" w:type="dxa"/>
            <w:tcBorders>
              <w:top w:val="nil"/>
              <w:left w:val="nil"/>
              <w:bottom w:val="nil"/>
              <w:right w:val="nil"/>
            </w:tcBorders>
            <w:shd w:val="clear" w:color="auto" w:fill="auto"/>
            <w:noWrap/>
            <w:vAlign w:val="center"/>
            <w:hideMark/>
          </w:tcPr>
          <w:p w14:paraId="4F51B052" w14:textId="0A6946F5" w:rsidR="000660B4" w:rsidRPr="00E141A0" w:rsidRDefault="000660B4" w:rsidP="00546C32">
            <w:pPr>
              <w:jc w:val="center"/>
              <w:rPr>
                <w:color w:val="000000"/>
                <w:sz w:val="22"/>
                <w:szCs w:val="22"/>
              </w:rPr>
            </w:pPr>
          </w:p>
        </w:tc>
        <w:tc>
          <w:tcPr>
            <w:tcW w:w="720" w:type="dxa"/>
            <w:tcBorders>
              <w:top w:val="nil"/>
              <w:left w:val="nil"/>
              <w:bottom w:val="nil"/>
              <w:right w:val="nil"/>
            </w:tcBorders>
            <w:shd w:val="clear" w:color="auto" w:fill="auto"/>
            <w:noWrap/>
            <w:vAlign w:val="center"/>
            <w:hideMark/>
          </w:tcPr>
          <w:p w14:paraId="0BE60FF6" w14:textId="77777777" w:rsidR="000660B4" w:rsidRPr="00E141A0" w:rsidRDefault="000660B4" w:rsidP="00546C32">
            <w:pPr>
              <w:jc w:val="center"/>
              <w:rPr>
                <w:color w:val="000000"/>
                <w:sz w:val="22"/>
                <w:szCs w:val="22"/>
              </w:rPr>
            </w:pPr>
            <w:r w:rsidRPr="00E141A0">
              <w:rPr>
                <w:color w:val="000000"/>
                <w:sz w:val="22"/>
                <w:szCs w:val="22"/>
              </w:rPr>
              <w:t>75</w:t>
            </w:r>
          </w:p>
        </w:tc>
        <w:tc>
          <w:tcPr>
            <w:tcW w:w="720" w:type="dxa"/>
            <w:tcBorders>
              <w:top w:val="nil"/>
              <w:left w:val="nil"/>
              <w:bottom w:val="nil"/>
              <w:right w:val="nil"/>
            </w:tcBorders>
            <w:shd w:val="clear" w:color="auto" w:fill="auto"/>
            <w:noWrap/>
            <w:vAlign w:val="center"/>
            <w:hideMark/>
          </w:tcPr>
          <w:p w14:paraId="13FEFF80" w14:textId="77777777" w:rsidR="000660B4" w:rsidRPr="00E141A0" w:rsidRDefault="000660B4" w:rsidP="00546C32">
            <w:pPr>
              <w:jc w:val="center"/>
              <w:rPr>
                <w:color w:val="000000"/>
                <w:sz w:val="22"/>
                <w:szCs w:val="22"/>
              </w:rPr>
            </w:pPr>
            <w:r w:rsidRPr="00E141A0">
              <w:rPr>
                <w:color w:val="000000"/>
                <w:sz w:val="22"/>
                <w:szCs w:val="22"/>
              </w:rPr>
              <w:t>1.64</w:t>
            </w:r>
          </w:p>
        </w:tc>
        <w:tc>
          <w:tcPr>
            <w:tcW w:w="900" w:type="dxa"/>
            <w:tcBorders>
              <w:top w:val="nil"/>
              <w:left w:val="nil"/>
              <w:bottom w:val="nil"/>
              <w:right w:val="nil"/>
            </w:tcBorders>
            <w:shd w:val="clear" w:color="auto" w:fill="auto"/>
            <w:noWrap/>
            <w:vAlign w:val="center"/>
            <w:hideMark/>
          </w:tcPr>
          <w:p w14:paraId="389C8EA4" w14:textId="77777777" w:rsidR="000660B4" w:rsidRPr="00E141A0" w:rsidRDefault="000660B4" w:rsidP="00546C32">
            <w:pPr>
              <w:jc w:val="center"/>
              <w:rPr>
                <w:color w:val="000000"/>
                <w:sz w:val="22"/>
                <w:szCs w:val="22"/>
              </w:rPr>
            </w:pPr>
            <w:r w:rsidRPr="00E141A0">
              <w:rPr>
                <w:color w:val="000000"/>
                <w:sz w:val="22"/>
                <w:szCs w:val="22"/>
              </w:rPr>
              <w:t>2.97</w:t>
            </w:r>
          </w:p>
        </w:tc>
        <w:tc>
          <w:tcPr>
            <w:tcW w:w="810" w:type="dxa"/>
            <w:tcBorders>
              <w:top w:val="nil"/>
              <w:left w:val="nil"/>
              <w:bottom w:val="nil"/>
              <w:right w:val="nil"/>
            </w:tcBorders>
            <w:shd w:val="clear" w:color="auto" w:fill="auto"/>
            <w:noWrap/>
            <w:vAlign w:val="center"/>
            <w:hideMark/>
          </w:tcPr>
          <w:p w14:paraId="69190BCF" w14:textId="77777777" w:rsidR="000660B4" w:rsidRPr="00E141A0" w:rsidRDefault="000660B4" w:rsidP="00546C32">
            <w:pPr>
              <w:jc w:val="center"/>
              <w:rPr>
                <w:color w:val="000000"/>
                <w:sz w:val="22"/>
                <w:szCs w:val="22"/>
              </w:rPr>
            </w:pPr>
            <w:r w:rsidRPr="00E141A0">
              <w:rPr>
                <w:color w:val="000000"/>
                <w:sz w:val="22"/>
                <w:szCs w:val="22"/>
              </w:rPr>
              <w:t>34.04</w:t>
            </w:r>
          </w:p>
        </w:tc>
        <w:tc>
          <w:tcPr>
            <w:tcW w:w="1170" w:type="dxa"/>
            <w:tcBorders>
              <w:top w:val="nil"/>
              <w:left w:val="nil"/>
              <w:bottom w:val="nil"/>
              <w:right w:val="nil"/>
            </w:tcBorders>
            <w:shd w:val="clear" w:color="auto" w:fill="auto"/>
            <w:vAlign w:val="center"/>
            <w:hideMark/>
          </w:tcPr>
          <w:p w14:paraId="00E6E310" w14:textId="77777777" w:rsidR="000660B4" w:rsidRPr="00E141A0" w:rsidRDefault="000660B4" w:rsidP="00546C32">
            <w:pPr>
              <w:jc w:val="center"/>
              <w:rPr>
                <w:color w:val="000000"/>
                <w:sz w:val="22"/>
                <w:szCs w:val="22"/>
              </w:rPr>
            </w:pPr>
            <w:r w:rsidRPr="00E141A0">
              <w:rPr>
                <w:color w:val="000000"/>
                <w:sz w:val="22"/>
                <w:szCs w:val="22"/>
              </w:rPr>
              <w:t>3.83%</w:t>
            </w:r>
          </w:p>
        </w:tc>
      </w:tr>
      <w:tr w:rsidR="000660B4" w:rsidRPr="00296330" w14:paraId="67F7503C" w14:textId="77777777" w:rsidTr="00546C32">
        <w:trPr>
          <w:trHeight w:val="310"/>
        </w:trPr>
        <w:tc>
          <w:tcPr>
            <w:tcW w:w="2714" w:type="dxa"/>
            <w:tcBorders>
              <w:top w:val="nil"/>
              <w:left w:val="nil"/>
              <w:bottom w:val="nil"/>
              <w:right w:val="nil"/>
            </w:tcBorders>
            <w:shd w:val="clear" w:color="auto" w:fill="auto"/>
            <w:vAlign w:val="bottom"/>
            <w:hideMark/>
          </w:tcPr>
          <w:p w14:paraId="34E9FB67" w14:textId="77777777" w:rsidR="000660B4" w:rsidRPr="00E141A0" w:rsidRDefault="000660B4" w:rsidP="000660B4">
            <w:pPr>
              <w:rPr>
                <w:color w:val="000000"/>
                <w:sz w:val="22"/>
                <w:szCs w:val="22"/>
              </w:rPr>
            </w:pPr>
            <w:r w:rsidRPr="00E141A0">
              <w:rPr>
                <w:color w:val="000000"/>
                <w:sz w:val="22"/>
                <w:szCs w:val="22"/>
              </w:rPr>
              <w:t>Suspended</w:t>
            </w:r>
          </w:p>
        </w:tc>
        <w:tc>
          <w:tcPr>
            <w:tcW w:w="792" w:type="dxa"/>
            <w:tcBorders>
              <w:top w:val="nil"/>
              <w:left w:val="nil"/>
              <w:bottom w:val="nil"/>
              <w:right w:val="nil"/>
            </w:tcBorders>
            <w:shd w:val="clear" w:color="auto" w:fill="auto"/>
            <w:noWrap/>
            <w:vAlign w:val="center"/>
            <w:hideMark/>
          </w:tcPr>
          <w:p w14:paraId="0F5E6AE3" w14:textId="77777777" w:rsidR="000660B4" w:rsidRPr="00E141A0" w:rsidRDefault="000660B4" w:rsidP="00546C32">
            <w:pPr>
              <w:jc w:val="center"/>
              <w:rPr>
                <w:color w:val="000000"/>
                <w:sz w:val="22"/>
                <w:szCs w:val="22"/>
              </w:rPr>
            </w:pPr>
            <w:r w:rsidRPr="00E141A0">
              <w:rPr>
                <w:color w:val="000000"/>
                <w:sz w:val="22"/>
                <w:szCs w:val="22"/>
              </w:rPr>
              <w:t>45</w:t>
            </w:r>
          </w:p>
        </w:tc>
        <w:tc>
          <w:tcPr>
            <w:tcW w:w="720" w:type="dxa"/>
            <w:tcBorders>
              <w:top w:val="nil"/>
              <w:left w:val="nil"/>
              <w:bottom w:val="nil"/>
              <w:right w:val="nil"/>
            </w:tcBorders>
            <w:shd w:val="clear" w:color="auto" w:fill="auto"/>
            <w:noWrap/>
            <w:vAlign w:val="center"/>
            <w:hideMark/>
          </w:tcPr>
          <w:p w14:paraId="343734BC" w14:textId="77777777" w:rsidR="000660B4" w:rsidRPr="00E141A0" w:rsidRDefault="000660B4" w:rsidP="00546C32">
            <w:pPr>
              <w:jc w:val="center"/>
              <w:rPr>
                <w:color w:val="000000"/>
                <w:sz w:val="22"/>
                <w:szCs w:val="22"/>
              </w:rPr>
            </w:pPr>
            <w:r w:rsidRPr="00E141A0">
              <w:rPr>
                <w:color w:val="000000"/>
                <w:sz w:val="22"/>
                <w:szCs w:val="22"/>
              </w:rPr>
              <w:t>1.25</w:t>
            </w:r>
          </w:p>
        </w:tc>
        <w:tc>
          <w:tcPr>
            <w:tcW w:w="711" w:type="dxa"/>
            <w:tcBorders>
              <w:top w:val="nil"/>
              <w:left w:val="nil"/>
              <w:bottom w:val="nil"/>
              <w:right w:val="nil"/>
            </w:tcBorders>
            <w:shd w:val="clear" w:color="auto" w:fill="auto"/>
            <w:noWrap/>
            <w:vAlign w:val="center"/>
            <w:hideMark/>
          </w:tcPr>
          <w:p w14:paraId="44EEDD36" w14:textId="77777777" w:rsidR="000660B4" w:rsidRPr="00E141A0" w:rsidRDefault="000660B4" w:rsidP="00546C32">
            <w:pPr>
              <w:jc w:val="center"/>
              <w:rPr>
                <w:color w:val="000000"/>
                <w:sz w:val="22"/>
                <w:szCs w:val="22"/>
              </w:rPr>
            </w:pPr>
            <w:r w:rsidRPr="00E141A0">
              <w:rPr>
                <w:color w:val="000000"/>
                <w:sz w:val="22"/>
                <w:szCs w:val="22"/>
              </w:rPr>
              <w:t>3.75</w:t>
            </w:r>
          </w:p>
        </w:tc>
        <w:tc>
          <w:tcPr>
            <w:tcW w:w="900" w:type="dxa"/>
            <w:tcBorders>
              <w:top w:val="nil"/>
              <w:left w:val="nil"/>
              <w:bottom w:val="nil"/>
              <w:right w:val="nil"/>
            </w:tcBorders>
            <w:shd w:val="clear" w:color="auto" w:fill="auto"/>
            <w:noWrap/>
            <w:vAlign w:val="center"/>
            <w:hideMark/>
          </w:tcPr>
          <w:p w14:paraId="1AA938B3" w14:textId="77777777" w:rsidR="000660B4" w:rsidRPr="00E141A0" w:rsidRDefault="000660B4" w:rsidP="00546C32">
            <w:pPr>
              <w:jc w:val="center"/>
              <w:rPr>
                <w:color w:val="000000"/>
                <w:sz w:val="22"/>
                <w:szCs w:val="22"/>
              </w:rPr>
            </w:pPr>
            <w:r w:rsidRPr="00E141A0">
              <w:rPr>
                <w:color w:val="000000"/>
                <w:sz w:val="22"/>
                <w:szCs w:val="22"/>
              </w:rPr>
              <w:t>29.20</w:t>
            </w:r>
          </w:p>
        </w:tc>
        <w:tc>
          <w:tcPr>
            <w:tcW w:w="1170" w:type="dxa"/>
            <w:tcBorders>
              <w:top w:val="nil"/>
              <w:left w:val="nil"/>
              <w:bottom w:val="nil"/>
              <w:right w:val="nil"/>
            </w:tcBorders>
            <w:shd w:val="clear" w:color="auto" w:fill="auto"/>
            <w:noWrap/>
            <w:vAlign w:val="center"/>
            <w:hideMark/>
          </w:tcPr>
          <w:p w14:paraId="68F0DF2D" w14:textId="77777777" w:rsidR="000660B4" w:rsidRPr="00E141A0" w:rsidRDefault="000660B4" w:rsidP="00546C32">
            <w:pPr>
              <w:jc w:val="center"/>
              <w:rPr>
                <w:color w:val="000000"/>
                <w:sz w:val="22"/>
                <w:szCs w:val="22"/>
              </w:rPr>
            </w:pPr>
            <w:r w:rsidRPr="00E141A0">
              <w:rPr>
                <w:color w:val="000000"/>
                <w:sz w:val="22"/>
                <w:szCs w:val="22"/>
              </w:rPr>
              <w:t>3.42%</w:t>
            </w:r>
          </w:p>
        </w:tc>
        <w:tc>
          <w:tcPr>
            <w:tcW w:w="271" w:type="dxa"/>
            <w:tcBorders>
              <w:top w:val="nil"/>
              <w:left w:val="nil"/>
              <w:bottom w:val="nil"/>
              <w:right w:val="nil"/>
            </w:tcBorders>
            <w:shd w:val="clear" w:color="auto" w:fill="auto"/>
            <w:noWrap/>
            <w:vAlign w:val="center"/>
            <w:hideMark/>
          </w:tcPr>
          <w:p w14:paraId="7BAEAB5E" w14:textId="03D3D869" w:rsidR="000660B4" w:rsidRPr="00E141A0" w:rsidRDefault="000660B4" w:rsidP="00546C32">
            <w:pPr>
              <w:jc w:val="center"/>
              <w:rPr>
                <w:color w:val="000000"/>
                <w:sz w:val="22"/>
                <w:szCs w:val="22"/>
              </w:rPr>
            </w:pPr>
          </w:p>
        </w:tc>
        <w:tc>
          <w:tcPr>
            <w:tcW w:w="720" w:type="dxa"/>
            <w:tcBorders>
              <w:top w:val="nil"/>
              <w:left w:val="nil"/>
              <w:bottom w:val="nil"/>
              <w:right w:val="nil"/>
            </w:tcBorders>
            <w:shd w:val="clear" w:color="auto" w:fill="auto"/>
            <w:noWrap/>
            <w:vAlign w:val="center"/>
            <w:hideMark/>
          </w:tcPr>
          <w:p w14:paraId="76F1362C" w14:textId="77777777" w:rsidR="000660B4" w:rsidRPr="00E141A0" w:rsidRDefault="000660B4" w:rsidP="00546C32">
            <w:pPr>
              <w:jc w:val="center"/>
              <w:rPr>
                <w:color w:val="000000"/>
                <w:sz w:val="22"/>
                <w:szCs w:val="22"/>
              </w:rPr>
            </w:pPr>
            <w:r w:rsidRPr="00E141A0">
              <w:rPr>
                <w:color w:val="000000"/>
                <w:sz w:val="22"/>
                <w:szCs w:val="22"/>
              </w:rPr>
              <w:t>33</w:t>
            </w:r>
          </w:p>
        </w:tc>
        <w:tc>
          <w:tcPr>
            <w:tcW w:w="720" w:type="dxa"/>
            <w:tcBorders>
              <w:top w:val="nil"/>
              <w:left w:val="nil"/>
              <w:bottom w:val="nil"/>
              <w:right w:val="nil"/>
            </w:tcBorders>
            <w:shd w:val="clear" w:color="auto" w:fill="auto"/>
            <w:noWrap/>
            <w:vAlign w:val="center"/>
            <w:hideMark/>
          </w:tcPr>
          <w:p w14:paraId="1EB82E19" w14:textId="77777777" w:rsidR="000660B4" w:rsidRPr="00E141A0" w:rsidRDefault="000660B4" w:rsidP="00546C32">
            <w:pPr>
              <w:jc w:val="center"/>
              <w:rPr>
                <w:color w:val="000000"/>
                <w:sz w:val="22"/>
                <w:szCs w:val="22"/>
              </w:rPr>
            </w:pPr>
            <w:r w:rsidRPr="00E141A0">
              <w:rPr>
                <w:color w:val="000000"/>
                <w:sz w:val="22"/>
                <w:szCs w:val="22"/>
              </w:rPr>
              <w:t>0.73</w:t>
            </w:r>
          </w:p>
        </w:tc>
        <w:tc>
          <w:tcPr>
            <w:tcW w:w="900" w:type="dxa"/>
            <w:tcBorders>
              <w:top w:val="nil"/>
              <w:left w:val="nil"/>
              <w:bottom w:val="nil"/>
              <w:right w:val="nil"/>
            </w:tcBorders>
            <w:shd w:val="clear" w:color="auto" w:fill="auto"/>
            <w:noWrap/>
            <w:vAlign w:val="center"/>
            <w:hideMark/>
          </w:tcPr>
          <w:p w14:paraId="1ACD2F27" w14:textId="77777777" w:rsidR="000660B4" w:rsidRPr="00E141A0" w:rsidRDefault="000660B4" w:rsidP="00546C32">
            <w:pPr>
              <w:jc w:val="center"/>
              <w:rPr>
                <w:color w:val="000000"/>
                <w:sz w:val="22"/>
                <w:szCs w:val="22"/>
              </w:rPr>
            </w:pPr>
            <w:r w:rsidRPr="00E141A0">
              <w:rPr>
                <w:color w:val="000000"/>
                <w:sz w:val="22"/>
                <w:szCs w:val="22"/>
              </w:rPr>
              <w:t>1.86</w:t>
            </w:r>
          </w:p>
        </w:tc>
        <w:tc>
          <w:tcPr>
            <w:tcW w:w="810" w:type="dxa"/>
            <w:tcBorders>
              <w:top w:val="nil"/>
              <w:left w:val="nil"/>
              <w:bottom w:val="nil"/>
              <w:right w:val="nil"/>
            </w:tcBorders>
            <w:shd w:val="clear" w:color="auto" w:fill="auto"/>
            <w:noWrap/>
            <w:vAlign w:val="center"/>
            <w:hideMark/>
          </w:tcPr>
          <w:p w14:paraId="4C96BC3D" w14:textId="77777777" w:rsidR="000660B4" w:rsidRPr="00E141A0" w:rsidRDefault="000660B4" w:rsidP="00546C32">
            <w:pPr>
              <w:jc w:val="center"/>
              <w:rPr>
                <w:color w:val="000000"/>
                <w:sz w:val="22"/>
                <w:szCs w:val="22"/>
              </w:rPr>
            </w:pPr>
            <w:r w:rsidRPr="00E141A0">
              <w:rPr>
                <w:color w:val="000000"/>
                <w:sz w:val="22"/>
                <w:szCs w:val="22"/>
              </w:rPr>
              <w:t>14.98</w:t>
            </w:r>
          </w:p>
        </w:tc>
        <w:tc>
          <w:tcPr>
            <w:tcW w:w="1170" w:type="dxa"/>
            <w:tcBorders>
              <w:top w:val="nil"/>
              <w:left w:val="nil"/>
              <w:bottom w:val="nil"/>
              <w:right w:val="nil"/>
            </w:tcBorders>
            <w:shd w:val="clear" w:color="auto" w:fill="auto"/>
            <w:vAlign w:val="center"/>
            <w:hideMark/>
          </w:tcPr>
          <w:p w14:paraId="4DC05E87" w14:textId="77777777" w:rsidR="000660B4" w:rsidRPr="00E141A0" w:rsidRDefault="000660B4" w:rsidP="00546C32">
            <w:pPr>
              <w:jc w:val="center"/>
              <w:rPr>
                <w:color w:val="000000"/>
                <w:sz w:val="22"/>
                <w:szCs w:val="22"/>
              </w:rPr>
            </w:pPr>
            <w:r w:rsidRPr="00E141A0">
              <w:rPr>
                <w:color w:val="000000"/>
                <w:sz w:val="22"/>
                <w:szCs w:val="22"/>
              </w:rPr>
              <w:t>2.36%</w:t>
            </w:r>
          </w:p>
        </w:tc>
      </w:tr>
      <w:tr w:rsidR="000660B4" w:rsidRPr="00296330" w14:paraId="78BDF74F" w14:textId="77777777" w:rsidTr="00546C32">
        <w:trPr>
          <w:trHeight w:val="310"/>
        </w:trPr>
        <w:tc>
          <w:tcPr>
            <w:tcW w:w="2714" w:type="dxa"/>
            <w:tcBorders>
              <w:top w:val="nil"/>
              <w:left w:val="nil"/>
              <w:bottom w:val="nil"/>
              <w:right w:val="nil"/>
            </w:tcBorders>
            <w:shd w:val="clear" w:color="auto" w:fill="auto"/>
            <w:vAlign w:val="bottom"/>
            <w:hideMark/>
          </w:tcPr>
          <w:p w14:paraId="15CDFCEB" w14:textId="77777777" w:rsidR="000660B4" w:rsidRPr="00E141A0" w:rsidRDefault="000660B4" w:rsidP="000660B4">
            <w:pPr>
              <w:rPr>
                <w:color w:val="000000"/>
                <w:sz w:val="22"/>
                <w:szCs w:val="22"/>
              </w:rPr>
            </w:pPr>
            <w:r w:rsidRPr="00E141A0">
              <w:rPr>
                <w:color w:val="000000"/>
                <w:sz w:val="22"/>
                <w:szCs w:val="22"/>
              </w:rPr>
              <w:t>Expelled</w:t>
            </w:r>
          </w:p>
        </w:tc>
        <w:tc>
          <w:tcPr>
            <w:tcW w:w="792" w:type="dxa"/>
            <w:tcBorders>
              <w:top w:val="nil"/>
              <w:left w:val="nil"/>
              <w:bottom w:val="nil"/>
              <w:right w:val="nil"/>
            </w:tcBorders>
            <w:shd w:val="clear" w:color="auto" w:fill="auto"/>
            <w:noWrap/>
            <w:vAlign w:val="center"/>
            <w:hideMark/>
          </w:tcPr>
          <w:p w14:paraId="1A6C8529" w14:textId="77777777" w:rsidR="000660B4" w:rsidRPr="00E141A0" w:rsidRDefault="000660B4" w:rsidP="00546C32">
            <w:pPr>
              <w:jc w:val="center"/>
              <w:rPr>
                <w:color w:val="000000"/>
                <w:sz w:val="22"/>
                <w:szCs w:val="22"/>
              </w:rPr>
            </w:pPr>
            <w:r w:rsidRPr="00E141A0">
              <w:rPr>
                <w:color w:val="000000"/>
                <w:sz w:val="22"/>
                <w:szCs w:val="22"/>
              </w:rPr>
              <w:t>23</w:t>
            </w:r>
          </w:p>
        </w:tc>
        <w:tc>
          <w:tcPr>
            <w:tcW w:w="720" w:type="dxa"/>
            <w:tcBorders>
              <w:top w:val="nil"/>
              <w:left w:val="nil"/>
              <w:bottom w:val="nil"/>
              <w:right w:val="nil"/>
            </w:tcBorders>
            <w:shd w:val="clear" w:color="auto" w:fill="auto"/>
            <w:noWrap/>
            <w:vAlign w:val="center"/>
            <w:hideMark/>
          </w:tcPr>
          <w:p w14:paraId="503D3BCD" w14:textId="77777777" w:rsidR="000660B4" w:rsidRPr="00E141A0" w:rsidRDefault="000660B4" w:rsidP="00546C32">
            <w:pPr>
              <w:jc w:val="center"/>
              <w:rPr>
                <w:color w:val="000000"/>
                <w:sz w:val="22"/>
                <w:szCs w:val="22"/>
              </w:rPr>
            </w:pPr>
            <w:r w:rsidRPr="00E141A0">
              <w:rPr>
                <w:color w:val="000000"/>
                <w:sz w:val="22"/>
                <w:szCs w:val="22"/>
              </w:rPr>
              <w:t>0.64</w:t>
            </w:r>
          </w:p>
        </w:tc>
        <w:tc>
          <w:tcPr>
            <w:tcW w:w="711" w:type="dxa"/>
            <w:tcBorders>
              <w:top w:val="nil"/>
              <w:left w:val="nil"/>
              <w:bottom w:val="nil"/>
              <w:right w:val="nil"/>
            </w:tcBorders>
            <w:shd w:val="clear" w:color="auto" w:fill="auto"/>
            <w:noWrap/>
            <w:vAlign w:val="center"/>
            <w:hideMark/>
          </w:tcPr>
          <w:p w14:paraId="582C135E" w14:textId="77777777" w:rsidR="000660B4" w:rsidRPr="00E141A0" w:rsidRDefault="000660B4" w:rsidP="00546C32">
            <w:pPr>
              <w:jc w:val="center"/>
              <w:rPr>
                <w:color w:val="000000"/>
                <w:sz w:val="22"/>
                <w:szCs w:val="22"/>
              </w:rPr>
            </w:pPr>
            <w:r w:rsidRPr="00E141A0">
              <w:rPr>
                <w:color w:val="000000"/>
                <w:sz w:val="22"/>
                <w:szCs w:val="22"/>
              </w:rPr>
              <w:t>0.99</w:t>
            </w:r>
          </w:p>
        </w:tc>
        <w:tc>
          <w:tcPr>
            <w:tcW w:w="900" w:type="dxa"/>
            <w:tcBorders>
              <w:top w:val="nil"/>
              <w:left w:val="nil"/>
              <w:bottom w:val="nil"/>
              <w:right w:val="nil"/>
            </w:tcBorders>
            <w:shd w:val="clear" w:color="auto" w:fill="auto"/>
            <w:noWrap/>
            <w:vAlign w:val="center"/>
            <w:hideMark/>
          </w:tcPr>
          <w:p w14:paraId="2DEFEC91" w14:textId="77777777" w:rsidR="000660B4" w:rsidRPr="00E141A0" w:rsidRDefault="000660B4" w:rsidP="00546C32">
            <w:pPr>
              <w:jc w:val="center"/>
              <w:rPr>
                <w:color w:val="000000"/>
                <w:sz w:val="22"/>
                <w:szCs w:val="22"/>
              </w:rPr>
            </w:pPr>
            <w:r w:rsidRPr="00E141A0">
              <w:rPr>
                <w:color w:val="000000"/>
                <w:sz w:val="22"/>
                <w:szCs w:val="22"/>
              </w:rPr>
              <w:t>14.93</w:t>
            </w:r>
          </w:p>
        </w:tc>
        <w:tc>
          <w:tcPr>
            <w:tcW w:w="1170" w:type="dxa"/>
            <w:tcBorders>
              <w:top w:val="nil"/>
              <w:left w:val="nil"/>
              <w:bottom w:val="nil"/>
              <w:right w:val="nil"/>
            </w:tcBorders>
            <w:shd w:val="clear" w:color="auto" w:fill="auto"/>
            <w:noWrap/>
            <w:vAlign w:val="center"/>
            <w:hideMark/>
          </w:tcPr>
          <w:p w14:paraId="68535456" w14:textId="77777777" w:rsidR="000660B4" w:rsidRPr="00E141A0" w:rsidRDefault="000660B4" w:rsidP="00546C32">
            <w:pPr>
              <w:jc w:val="center"/>
              <w:rPr>
                <w:color w:val="000000"/>
                <w:sz w:val="22"/>
                <w:szCs w:val="22"/>
              </w:rPr>
            </w:pPr>
            <w:r w:rsidRPr="00E141A0">
              <w:rPr>
                <w:color w:val="000000"/>
                <w:sz w:val="22"/>
                <w:szCs w:val="22"/>
              </w:rPr>
              <w:t>2.04%</w:t>
            </w:r>
          </w:p>
        </w:tc>
        <w:tc>
          <w:tcPr>
            <w:tcW w:w="271" w:type="dxa"/>
            <w:tcBorders>
              <w:top w:val="nil"/>
              <w:left w:val="nil"/>
              <w:bottom w:val="nil"/>
              <w:right w:val="nil"/>
            </w:tcBorders>
            <w:shd w:val="clear" w:color="auto" w:fill="auto"/>
            <w:noWrap/>
            <w:vAlign w:val="center"/>
            <w:hideMark/>
          </w:tcPr>
          <w:p w14:paraId="5FD74307" w14:textId="7121E3FC" w:rsidR="000660B4" w:rsidRPr="00E141A0" w:rsidRDefault="000660B4" w:rsidP="00546C32">
            <w:pPr>
              <w:jc w:val="center"/>
              <w:rPr>
                <w:color w:val="000000"/>
                <w:sz w:val="22"/>
                <w:szCs w:val="22"/>
              </w:rPr>
            </w:pPr>
          </w:p>
        </w:tc>
        <w:tc>
          <w:tcPr>
            <w:tcW w:w="720" w:type="dxa"/>
            <w:tcBorders>
              <w:top w:val="nil"/>
              <w:left w:val="nil"/>
              <w:bottom w:val="nil"/>
              <w:right w:val="nil"/>
            </w:tcBorders>
            <w:shd w:val="clear" w:color="auto" w:fill="auto"/>
            <w:noWrap/>
            <w:vAlign w:val="center"/>
            <w:hideMark/>
          </w:tcPr>
          <w:p w14:paraId="603350F0" w14:textId="77777777" w:rsidR="000660B4" w:rsidRPr="00E141A0" w:rsidRDefault="000660B4" w:rsidP="00546C32">
            <w:pPr>
              <w:jc w:val="center"/>
              <w:rPr>
                <w:color w:val="000000"/>
                <w:sz w:val="22"/>
                <w:szCs w:val="22"/>
              </w:rPr>
            </w:pPr>
            <w:r w:rsidRPr="00E141A0">
              <w:rPr>
                <w:color w:val="000000"/>
                <w:sz w:val="22"/>
                <w:szCs w:val="22"/>
              </w:rPr>
              <w:t>11</w:t>
            </w:r>
          </w:p>
        </w:tc>
        <w:tc>
          <w:tcPr>
            <w:tcW w:w="720" w:type="dxa"/>
            <w:tcBorders>
              <w:top w:val="nil"/>
              <w:left w:val="nil"/>
              <w:bottom w:val="nil"/>
              <w:right w:val="nil"/>
            </w:tcBorders>
            <w:shd w:val="clear" w:color="auto" w:fill="auto"/>
            <w:noWrap/>
            <w:vAlign w:val="center"/>
            <w:hideMark/>
          </w:tcPr>
          <w:p w14:paraId="2BB4E885" w14:textId="77777777" w:rsidR="000660B4" w:rsidRPr="00E141A0" w:rsidRDefault="000660B4" w:rsidP="00546C32">
            <w:pPr>
              <w:jc w:val="center"/>
              <w:rPr>
                <w:color w:val="000000"/>
                <w:sz w:val="22"/>
                <w:szCs w:val="22"/>
              </w:rPr>
            </w:pPr>
            <w:r w:rsidRPr="00E141A0">
              <w:rPr>
                <w:color w:val="000000"/>
                <w:sz w:val="22"/>
                <w:szCs w:val="22"/>
              </w:rPr>
              <w:t>0.31</w:t>
            </w:r>
          </w:p>
        </w:tc>
        <w:tc>
          <w:tcPr>
            <w:tcW w:w="900" w:type="dxa"/>
            <w:tcBorders>
              <w:top w:val="nil"/>
              <w:left w:val="nil"/>
              <w:bottom w:val="nil"/>
              <w:right w:val="nil"/>
            </w:tcBorders>
            <w:shd w:val="clear" w:color="auto" w:fill="auto"/>
            <w:noWrap/>
            <w:vAlign w:val="center"/>
            <w:hideMark/>
          </w:tcPr>
          <w:p w14:paraId="56490E48" w14:textId="77777777" w:rsidR="000660B4" w:rsidRPr="00E141A0" w:rsidRDefault="000660B4" w:rsidP="00546C32">
            <w:pPr>
              <w:jc w:val="center"/>
              <w:rPr>
                <w:color w:val="000000"/>
                <w:sz w:val="22"/>
                <w:szCs w:val="22"/>
              </w:rPr>
            </w:pPr>
            <w:r w:rsidRPr="00E141A0">
              <w:rPr>
                <w:color w:val="000000"/>
                <w:sz w:val="22"/>
                <w:szCs w:val="22"/>
              </w:rPr>
              <w:t>0.86</w:t>
            </w:r>
          </w:p>
        </w:tc>
        <w:tc>
          <w:tcPr>
            <w:tcW w:w="810" w:type="dxa"/>
            <w:tcBorders>
              <w:top w:val="nil"/>
              <w:left w:val="nil"/>
              <w:bottom w:val="nil"/>
              <w:right w:val="nil"/>
            </w:tcBorders>
            <w:shd w:val="clear" w:color="auto" w:fill="auto"/>
            <w:noWrap/>
            <w:vAlign w:val="center"/>
            <w:hideMark/>
          </w:tcPr>
          <w:p w14:paraId="4BB5C370" w14:textId="77777777" w:rsidR="000660B4" w:rsidRPr="00E141A0" w:rsidRDefault="000660B4" w:rsidP="00546C32">
            <w:pPr>
              <w:jc w:val="center"/>
              <w:rPr>
                <w:color w:val="000000"/>
                <w:sz w:val="22"/>
                <w:szCs w:val="22"/>
              </w:rPr>
            </w:pPr>
            <w:r w:rsidRPr="00E141A0">
              <w:rPr>
                <w:color w:val="000000"/>
                <w:sz w:val="22"/>
                <w:szCs w:val="22"/>
              </w:rPr>
              <w:t>4.99</w:t>
            </w:r>
          </w:p>
        </w:tc>
        <w:tc>
          <w:tcPr>
            <w:tcW w:w="1170" w:type="dxa"/>
            <w:tcBorders>
              <w:top w:val="nil"/>
              <w:left w:val="nil"/>
              <w:bottom w:val="nil"/>
              <w:right w:val="nil"/>
            </w:tcBorders>
            <w:shd w:val="clear" w:color="auto" w:fill="auto"/>
            <w:vAlign w:val="center"/>
            <w:hideMark/>
          </w:tcPr>
          <w:p w14:paraId="17176D04" w14:textId="77777777" w:rsidR="000660B4" w:rsidRPr="00E141A0" w:rsidRDefault="000660B4" w:rsidP="00546C32">
            <w:pPr>
              <w:jc w:val="center"/>
              <w:rPr>
                <w:color w:val="000000"/>
                <w:sz w:val="22"/>
                <w:szCs w:val="22"/>
              </w:rPr>
            </w:pPr>
            <w:r w:rsidRPr="00E141A0">
              <w:rPr>
                <w:color w:val="000000"/>
                <w:sz w:val="22"/>
                <w:szCs w:val="22"/>
              </w:rPr>
              <w:t>1.81%</w:t>
            </w:r>
          </w:p>
        </w:tc>
      </w:tr>
      <w:tr w:rsidR="000660B4" w:rsidRPr="00296330" w14:paraId="1B9F0684" w14:textId="77777777" w:rsidTr="00546C32">
        <w:trPr>
          <w:trHeight w:val="310"/>
        </w:trPr>
        <w:tc>
          <w:tcPr>
            <w:tcW w:w="2714" w:type="dxa"/>
            <w:tcBorders>
              <w:top w:val="nil"/>
              <w:left w:val="nil"/>
              <w:bottom w:val="nil"/>
              <w:right w:val="nil"/>
            </w:tcBorders>
            <w:shd w:val="clear" w:color="auto" w:fill="auto"/>
            <w:vAlign w:val="bottom"/>
            <w:hideMark/>
          </w:tcPr>
          <w:p w14:paraId="2AC58F21" w14:textId="77777777" w:rsidR="000660B4" w:rsidRPr="00E141A0" w:rsidRDefault="000660B4" w:rsidP="000660B4">
            <w:pPr>
              <w:rPr>
                <w:color w:val="000000"/>
                <w:sz w:val="22"/>
                <w:szCs w:val="22"/>
              </w:rPr>
            </w:pPr>
            <w:r w:rsidRPr="00E141A0">
              <w:rPr>
                <w:color w:val="000000"/>
                <w:sz w:val="22"/>
                <w:szCs w:val="22"/>
              </w:rPr>
              <w:t>Planned Transition</w:t>
            </w:r>
          </w:p>
        </w:tc>
        <w:tc>
          <w:tcPr>
            <w:tcW w:w="792" w:type="dxa"/>
            <w:tcBorders>
              <w:top w:val="nil"/>
              <w:left w:val="nil"/>
              <w:bottom w:val="nil"/>
              <w:right w:val="nil"/>
            </w:tcBorders>
            <w:shd w:val="clear" w:color="auto" w:fill="auto"/>
            <w:noWrap/>
            <w:vAlign w:val="center"/>
            <w:hideMark/>
          </w:tcPr>
          <w:p w14:paraId="7810C186" w14:textId="77777777" w:rsidR="000660B4" w:rsidRPr="00E141A0" w:rsidRDefault="000660B4" w:rsidP="00546C32">
            <w:pPr>
              <w:jc w:val="center"/>
              <w:rPr>
                <w:color w:val="000000"/>
                <w:sz w:val="22"/>
                <w:szCs w:val="22"/>
              </w:rPr>
            </w:pPr>
            <w:r w:rsidRPr="00E141A0">
              <w:rPr>
                <w:color w:val="000000"/>
                <w:sz w:val="22"/>
                <w:szCs w:val="22"/>
              </w:rPr>
              <w:t>--</w:t>
            </w:r>
          </w:p>
        </w:tc>
        <w:tc>
          <w:tcPr>
            <w:tcW w:w="720" w:type="dxa"/>
            <w:tcBorders>
              <w:top w:val="nil"/>
              <w:left w:val="nil"/>
              <w:bottom w:val="nil"/>
              <w:right w:val="nil"/>
            </w:tcBorders>
            <w:shd w:val="clear" w:color="auto" w:fill="auto"/>
            <w:noWrap/>
            <w:vAlign w:val="center"/>
            <w:hideMark/>
          </w:tcPr>
          <w:p w14:paraId="35DD1808" w14:textId="77777777" w:rsidR="000660B4" w:rsidRPr="00E141A0" w:rsidRDefault="000660B4" w:rsidP="00546C32">
            <w:pPr>
              <w:jc w:val="center"/>
              <w:rPr>
                <w:color w:val="000000"/>
                <w:sz w:val="22"/>
                <w:szCs w:val="22"/>
              </w:rPr>
            </w:pPr>
            <w:r w:rsidRPr="00E141A0">
              <w:rPr>
                <w:color w:val="000000"/>
                <w:sz w:val="22"/>
                <w:szCs w:val="22"/>
              </w:rPr>
              <w:t>--</w:t>
            </w:r>
          </w:p>
        </w:tc>
        <w:tc>
          <w:tcPr>
            <w:tcW w:w="711" w:type="dxa"/>
            <w:tcBorders>
              <w:top w:val="nil"/>
              <w:left w:val="nil"/>
              <w:bottom w:val="nil"/>
              <w:right w:val="nil"/>
            </w:tcBorders>
            <w:shd w:val="clear" w:color="auto" w:fill="auto"/>
            <w:noWrap/>
            <w:vAlign w:val="center"/>
            <w:hideMark/>
          </w:tcPr>
          <w:p w14:paraId="7DEFC98A" w14:textId="77777777" w:rsidR="000660B4" w:rsidRPr="00E141A0" w:rsidRDefault="000660B4" w:rsidP="00546C32">
            <w:pPr>
              <w:jc w:val="center"/>
              <w:rPr>
                <w:color w:val="000000"/>
                <w:sz w:val="22"/>
                <w:szCs w:val="22"/>
              </w:rPr>
            </w:pPr>
            <w:r w:rsidRPr="00E141A0">
              <w:rPr>
                <w:color w:val="000000"/>
                <w:sz w:val="22"/>
                <w:szCs w:val="22"/>
              </w:rPr>
              <w:t>--</w:t>
            </w:r>
          </w:p>
        </w:tc>
        <w:tc>
          <w:tcPr>
            <w:tcW w:w="900" w:type="dxa"/>
            <w:tcBorders>
              <w:top w:val="nil"/>
              <w:left w:val="nil"/>
              <w:bottom w:val="nil"/>
              <w:right w:val="nil"/>
            </w:tcBorders>
            <w:shd w:val="clear" w:color="auto" w:fill="auto"/>
            <w:noWrap/>
            <w:vAlign w:val="center"/>
            <w:hideMark/>
          </w:tcPr>
          <w:p w14:paraId="73139CC7" w14:textId="77777777" w:rsidR="000660B4" w:rsidRPr="00E141A0" w:rsidRDefault="000660B4" w:rsidP="00546C32">
            <w:pPr>
              <w:jc w:val="center"/>
              <w:rPr>
                <w:color w:val="000000"/>
                <w:sz w:val="22"/>
                <w:szCs w:val="22"/>
              </w:rPr>
            </w:pPr>
            <w:r w:rsidRPr="00E141A0">
              <w:rPr>
                <w:color w:val="000000"/>
                <w:sz w:val="22"/>
                <w:szCs w:val="22"/>
              </w:rPr>
              <w:t>--</w:t>
            </w:r>
          </w:p>
        </w:tc>
        <w:tc>
          <w:tcPr>
            <w:tcW w:w="1170" w:type="dxa"/>
            <w:tcBorders>
              <w:top w:val="nil"/>
              <w:left w:val="nil"/>
              <w:bottom w:val="nil"/>
              <w:right w:val="nil"/>
            </w:tcBorders>
            <w:shd w:val="clear" w:color="auto" w:fill="auto"/>
            <w:noWrap/>
            <w:vAlign w:val="center"/>
            <w:hideMark/>
          </w:tcPr>
          <w:p w14:paraId="527282FD" w14:textId="77777777" w:rsidR="000660B4" w:rsidRPr="00E141A0" w:rsidRDefault="000660B4" w:rsidP="00546C32">
            <w:pPr>
              <w:jc w:val="center"/>
              <w:rPr>
                <w:color w:val="000000"/>
                <w:sz w:val="22"/>
                <w:szCs w:val="22"/>
              </w:rPr>
            </w:pPr>
            <w:r w:rsidRPr="00E141A0">
              <w:rPr>
                <w:color w:val="000000"/>
                <w:sz w:val="22"/>
                <w:szCs w:val="22"/>
              </w:rPr>
              <w:t>--</w:t>
            </w:r>
          </w:p>
        </w:tc>
        <w:tc>
          <w:tcPr>
            <w:tcW w:w="271" w:type="dxa"/>
            <w:tcBorders>
              <w:top w:val="nil"/>
              <w:left w:val="nil"/>
              <w:bottom w:val="nil"/>
              <w:right w:val="nil"/>
            </w:tcBorders>
            <w:shd w:val="clear" w:color="auto" w:fill="auto"/>
            <w:noWrap/>
            <w:vAlign w:val="center"/>
            <w:hideMark/>
          </w:tcPr>
          <w:p w14:paraId="0E181821" w14:textId="3C3426B5" w:rsidR="000660B4" w:rsidRPr="00E141A0" w:rsidRDefault="000660B4" w:rsidP="00546C32">
            <w:pPr>
              <w:jc w:val="center"/>
              <w:rPr>
                <w:color w:val="000000"/>
                <w:sz w:val="22"/>
                <w:szCs w:val="22"/>
              </w:rPr>
            </w:pPr>
          </w:p>
        </w:tc>
        <w:tc>
          <w:tcPr>
            <w:tcW w:w="720" w:type="dxa"/>
            <w:tcBorders>
              <w:top w:val="nil"/>
              <w:left w:val="nil"/>
              <w:bottom w:val="nil"/>
              <w:right w:val="nil"/>
            </w:tcBorders>
            <w:shd w:val="clear" w:color="auto" w:fill="auto"/>
            <w:noWrap/>
            <w:vAlign w:val="center"/>
            <w:hideMark/>
          </w:tcPr>
          <w:p w14:paraId="4D6252E6" w14:textId="77777777" w:rsidR="000660B4" w:rsidRPr="00E141A0" w:rsidRDefault="000660B4" w:rsidP="00546C32">
            <w:pPr>
              <w:jc w:val="center"/>
              <w:rPr>
                <w:color w:val="000000"/>
                <w:sz w:val="22"/>
                <w:szCs w:val="22"/>
              </w:rPr>
            </w:pPr>
            <w:r w:rsidRPr="00E141A0">
              <w:rPr>
                <w:color w:val="000000"/>
                <w:sz w:val="22"/>
                <w:szCs w:val="22"/>
              </w:rPr>
              <w:t>14</w:t>
            </w:r>
          </w:p>
        </w:tc>
        <w:tc>
          <w:tcPr>
            <w:tcW w:w="720" w:type="dxa"/>
            <w:tcBorders>
              <w:top w:val="nil"/>
              <w:left w:val="nil"/>
              <w:bottom w:val="nil"/>
              <w:right w:val="nil"/>
            </w:tcBorders>
            <w:shd w:val="clear" w:color="auto" w:fill="auto"/>
            <w:noWrap/>
            <w:vAlign w:val="center"/>
            <w:hideMark/>
          </w:tcPr>
          <w:p w14:paraId="50132223" w14:textId="77777777" w:rsidR="000660B4" w:rsidRPr="00E141A0" w:rsidRDefault="000660B4" w:rsidP="00546C32">
            <w:pPr>
              <w:jc w:val="center"/>
              <w:rPr>
                <w:color w:val="000000"/>
                <w:sz w:val="22"/>
                <w:szCs w:val="22"/>
              </w:rPr>
            </w:pPr>
            <w:r w:rsidRPr="00E141A0">
              <w:rPr>
                <w:color w:val="000000"/>
                <w:sz w:val="22"/>
                <w:szCs w:val="22"/>
              </w:rPr>
              <w:t>0.37</w:t>
            </w:r>
          </w:p>
        </w:tc>
        <w:tc>
          <w:tcPr>
            <w:tcW w:w="900" w:type="dxa"/>
            <w:tcBorders>
              <w:top w:val="nil"/>
              <w:left w:val="nil"/>
              <w:bottom w:val="nil"/>
              <w:right w:val="nil"/>
            </w:tcBorders>
            <w:shd w:val="clear" w:color="auto" w:fill="auto"/>
            <w:noWrap/>
            <w:vAlign w:val="center"/>
            <w:hideMark/>
          </w:tcPr>
          <w:p w14:paraId="091177BA" w14:textId="77777777" w:rsidR="000660B4" w:rsidRPr="00E141A0" w:rsidRDefault="000660B4" w:rsidP="00546C32">
            <w:pPr>
              <w:jc w:val="center"/>
              <w:rPr>
                <w:color w:val="000000"/>
                <w:sz w:val="22"/>
                <w:szCs w:val="22"/>
              </w:rPr>
            </w:pPr>
            <w:r w:rsidRPr="00E141A0">
              <w:rPr>
                <w:color w:val="000000"/>
                <w:sz w:val="22"/>
                <w:szCs w:val="22"/>
              </w:rPr>
              <w:t>0.75</w:t>
            </w:r>
          </w:p>
        </w:tc>
        <w:tc>
          <w:tcPr>
            <w:tcW w:w="810" w:type="dxa"/>
            <w:tcBorders>
              <w:top w:val="nil"/>
              <w:left w:val="nil"/>
              <w:bottom w:val="nil"/>
              <w:right w:val="nil"/>
            </w:tcBorders>
            <w:shd w:val="clear" w:color="auto" w:fill="auto"/>
            <w:noWrap/>
            <w:vAlign w:val="center"/>
            <w:hideMark/>
          </w:tcPr>
          <w:p w14:paraId="7E2ADA55" w14:textId="77777777" w:rsidR="000660B4" w:rsidRPr="00E141A0" w:rsidRDefault="000660B4" w:rsidP="00546C32">
            <w:pPr>
              <w:jc w:val="center"/>
              <w:rPr>
                <w:color w:val="000000"/>
                <w:sz w:val="22"/>
                <w:szCs w:val="22"/>
              </w:rPr>
            </w:pPr>
            <w:r w:rsidRPr="00E141A0">
              <w:rPr>
                <w:color w:val="000000"/>
                <w:sz w:val="22"/>
                <w:szCs w:val="22"/>
              </w:rPr>
              <w:t>6.35</w:t>
            </w:r>
          </w:p>
        </w:tc>
        <w:tc>
          <w:tcPr>
            <w:tcW w:w="1170" w:type="dxa"/>
            <w:tcBorders>
              <w:top w:val="nil"/>
              <w:left w:val="nil"/>
              <w:bottom w:val="nil"/>
              <w:right w:val="nil"/>
            </w:tcBorders>
            <w:shd w:val="clear" w:color="auto" w:fill="auto"/>
            <w:vAlign w:val="center"/>
            <w:hideMark/>
          </w:tcPr>
          <w:p w14:paraId="4D06DED2" w14:textId="77777777" w:rsidR="000660B4" w:rsidRPr="00E141A0" w:rsidRDefault="000660B4" w:rsidP="00546C32">
            <w:pPr>
              <w:jc w:val="center"/>
              <w:rPr>
                <w:color w:val="000000"/>
                <w:sz w:val="22"/>
                <w:szCs w:val="22"/>
              </w:rPr>
            </w:pPr>
            <w:r w:rsidRPr="00E141A0">
              <w:rPr>
                <w:color w:val="000000"/>
                <w:sz w:val="22"/>
                <w:szCs w:val="22"/>
              </w:rPr>
              <w:t>1.15%</w:t>
            </w:r>
          </w:p>
        </w:tc>
      </w:tr>
      <w:tr w:rsidR="000660B4" w:rsidRPr="00296330" w14:paraId="5444045E" w14:textId="77777777" w:rsidTr="00546C32">
        <w:trPr>
          <w:trHeight w:val="310"/>
        </w:trPr>
        <w:tc>
          <w:tcPr>
            <w:tcW w:w="2714" w:type="dxa"/>
            <w:tcBorders>
              <w:top w:val="nil"/>
              <w:left w:val="nil"/>
              <w:bottom w:val="single" w:sz="4" w:space="0" w:color="auto"/>
              <w:right w:val="nil"/>
            </w:tcBorders>
            <w:shd w:val="clear" w:color="auto" w:fill="auto"/>
            <w:vAlign w:val="bottom"/>
            <w:hideMark/>
          </w:tcPr>
          <w:p w14:paraId="3EC9C2D4" w14:textId="0F71C48E" w:rsidR="000660B4" w:rsidRPr="00E141A0" w:rsidRDefault="000660B4" w:rsidP="000660B4">
            <w:pPr>
              <w:rPr>
                <w:color w:val="000000"/>
                <w:sz w:val="22"/>
                <w:szCs w:val="22"/>
              </w:rPr>
            </w:pPr>
            <w:r w:rsidRPr="00E141A0">
              <w:rPr>
                <w:color w:val="000000"/>
                <w:sz w:val="22"/>
                <w:szCs w:val="22"/>
              </w:rPr>
              <w:t>Voluntary Withdrawal</w:t>
            </w:r>
          </w:p>
        </w:tc>
        <w:tc>
          <w:tcPr>
            <w:tcW w:w="792" w:type="dxa"/>
            <w:tcBorders>
              <w:top w:val="nil"/>
              <w:left w:val="nil"/>
              <w:bottom w:val="single" w:sz="4" w:space="0" w:color="auto"/>
              <w:right w:val="nil"/>
            </w:tcBorders>
            <w:shd w:val="clear" w:color="auto" w:fill="auto"/>
            <w:noWrap/>
            <w:vAlign w:val="center"/>
            <w:hideMark/>
          </w:tcPr>
          <w:p w14:paraId="5D4426CA" w14:textId="77777777" w:rsidR="000660B4" w:rsidRPr="00E141A0" w:rsidRDefault="000660B4" w:rsidP="00546C32">
            <w:pPr>
              <w:jc w:val="center"/>
              <w:rPr>
                <w:color w:val="000000"/>
                <w:sz w:val="22"/>
                <w:szCs w:val="22"/>
              </w:rPr>
            </w:pPr>
            <w:r w:rsidRPr="00E141A0">
              <w:rPr>
                <w:color w:val="000000"/>
                <w:sz w:val="22"/>
                <w:szCs w:val="22"/>
              </w:rPr>
              <w:t>--</w:t>
            </w:r>
          </w:p>
        </w:tc>
        <w:tc>
          <w:tcPr>
            <w:tcW w:w="720" w:type="dxa"/>
            <w:tcBorders>
              <w:top w:val="nil"/>
              <w:left w:val="nil"/>
              <w:bottom w:val="single" w:sz="4" w:space="0" w:color="auto"/>
              <w:right w:val="nil"/>
            </w:tcBorders>
            <w:shd w:val="clear" w:color="auto" w:fill="auto"/>
            <w:noWrap/>
            <w:vAlign w:val="center"/>
            <w:hideMark/>
          </w:tcPr>
          <w:p w14:paraId="1A91032E" w14:textId="77777777" w:rsidR="000660B4" w:rsidRPr="00E141A0" w:rsidRDefault="000660B4" w:rsidP="00546C32">
            <w:pPr>
              <w:jc w:val="center"/>
              <w:rPr>
                <w:color w:val="000000"/>
                <w:sz w:val="22"/>
                <w:szCs w:val="22"/>
              </w:rPr>
            </w:pPr>
            <w:r w:rsidRPr="00E141A0">
              <w:rPr>
                <w:color w:val="000000"/>
                <w:sz w:val="22"/>
                <w:szCs w:val="22"/>
              </w:rPr>
              <w:t>--</w:t>
            </w:r>
          </w:p>
        </w:tc>
        <w:tc>
          <w:tcPr>
            <w:tcW w:w="711" w:type="dxa"/>
            <w:tcBorders>
              <w:top w:val="nil"/>
              <w:left w:val="nil"/>
              <w:bottom w:val="single" w:sz="4" w:space="0" w:color="auto"/>
              <w:right w:val="nil"/>
            </w:tcBorders>
            <w:shd w:val="clear" w:color="auto" w:fill="auto"/>
            <w:noWrap/>
            <w:vAlign w:val="center"/>
            <w:hideMark/>
          </w:tcPr>
          <w:p w14:paraId="4833AF7C" w14:textId="77777777" w:rsidR="000660B4" w:rsidRPr="00E141A0" w:rsidRDefault="000660B4" w:rsidP="00546C32">
            <w:pPr>
              <w:jc w:val="center"/>
              <w:rPr>
                <w:color w:val="000000"/>
                <w:sz w:val="22"/>
                <w:szCs w:val="22"/>
              </w:rPr>
            </w:pPr>
            <w:r w:rsidRPr="00E141A0">
              <w:rPr>
                <w:color w:val="000000"/>
                <w:sz w:val="22"/>
                <w:szCs w:val="22"/>
              </w:rPr>
              <w:t>--</w:t>
            </w:r>
          </w:p>
        </w:tc>
        <w:tc>
          <w:tcPr>
            <w:tcW w:w="900" w:type="dxa"/>
            <w:tcBorders>
              <w:top w:val="nil"/>
              <w:left w:val="nil"/>
              <w:bottom w:val="single" w:sz="4" w:space="0" w:color="auto"/>
              <w:right w:val="nil"/>
            </w:tcBorders>
            <w:shd w:val="clear" w:color="auto" w:fill="auto"/>
            <w:noWrap/>
            <w:vAlign w:val="center"/>
            <w:hideMark/>
          </w:tcPr>
          <w:p w14:paraId="01E01599" w14:textId="77777777" w:rsidR="000660B4" w:rsidRPr="00E141A0" w:rsidRDefault="000660B4" w:rsidP="00546C32">
            <w:pPr>
              <w:jc w:val="center"/>
              <w:rPr>
                <w:color w:val="000000"/>
                <w:sz w:val="22"/>
                <w:szCs w:val="22"/>
              </w:rPr>
            </w:pPr>
            <w:r w:rsidRPr="00E141A0">
              <w:rPr>
                <w:color w:val="000000"/>
                <w:sz w:val="22"/>
                <w:szCs w:val="22"/>
              </w:rPr>
              <w:t>--</w:t>
            </w:r>
          </w:p>
        </w:tc>
        <w:tc>
          <w:tcPr>
            <w:tcW w:w="1170" w:type="dxa"/>
            <w:tcBorders>
              <w:top w:val="nil"/>
              <w:left w:val="nil"/>
              <w:bottom w:val="single" w:sz="4" w:space="0" w:color="auto"/>
              <w:right w:val="nil"/>
            </w:tcBorders>
            <w:shd w:val="clear" w:color="auto" w:fill="auto"/>
            <w:noWrap/>
            <w:vAlign w:val="center"/>
            <w:hideMark/>
          </w:tcPr>
          <w:p w14:paraId="0CA93121" w14:textId="77777777" w:rsidR="000660B4" w:rsidRPr="00E141A0" w:rsidRDefault="000660B4" w:rsidP="00546C32">
            <w:pPr>
              <w:jc w:val="center"/>
              <w:rPr>
                <w:color w:val="000000"/>
                <w:sz w:val="22"/>
                <w:szCs w:val="22"/>
              </w:rPr>
            </w:pPr>
            <w:r w:rsidRPr="00E141A0">
              <w:rPr>
                <w:color w:val="000000"/>
                <w:sz w:val="22"/>
                <w:szCs w:val="22"/>
              </w:rPr>
              <w:t>--</w:t>
            </w:r>
          </w:p>
        </w:tc>
        <w:tc>
          <w:tcPr>
            <w:tcW w:w="271" w:type="dxa"/>
            <w:tcBorders>
              <w:top w:val="nil"/>
              <w:left w:val="nil"/>
              <w:bottom w:val="single" w:sz="4" w:space="0" w:color="auto"/>
              <w:right w:val="nil"/>
            </w:tcBorders>
            <w:shd w:val="clear" w:color="auto" w:fill="auto"/>
            <w:noWrap/>
            <w:vAlign w:val="center"/>
            <w:hideMark/>
          </w:tcPr>
          <w:p w14:paraId="51CE685A" w14:textId="37BDBC0E" w:rsidR="000660B4" w:rsidRPr="00E141A0" w:rsidRDefault="000660B4" w:rsidP="00546C32">
            <w:pPr>
              <w:jc w:val="center"/>
              <w:rPr>
                <w:color w:val="000000"/>
                <w:sz w:val="22"/>
                <w:szCs w:val="22"/>
              </w:rPr>
            </w:pPr>
          </w:p>
        </w:tc>
        <w:tc>
          <w:tcPr>
            <w:tcW w:w="720" w:type="dxa"/>
            <w:tcBorders>
              <w:top w:val="nil"/>
              <w:left w:val="nil"/>
              <w:bottom w:val="single" w:sz="4" w:space="0" w:color="auto"/>
              <w:right w:val="nil"/>
            </w:tcBorders>
            <w:shd w:val="clear" w:color="auto" w:fill="auto"/>
            <w:noWrap/>
            <w:vAlign w:val="center"/>
            <w:hideMark/>
          </w:tcPr>
          <w:p w14:paraId="7686195A" w14:textId="77777777" w:rsidR="000660B4" w:rsidRPr="00E141A0" w:rsidRDefault="000660B4" w:rsidP="00546C32">
            <w:pPr>
              <w:jc w:val="center"/>
              <w:rPr>
                <w:color w:val="000000"/>
                <w:sz w:val="22"/>
                <w:szCs w:val="22"/>
              </w:rPr>
            </w:pPr>
            <w:r w:rsidRPr="00E141A0">
              <w:rPr>
                <w:color w:val="000000"/>
                <w:sz w:val="22"/>
                <w:szCs w:val="22"/>
              </w:rPr>
              <w:t>31</w:t>
            </w:r>
          </w:p>
        </w:tc>
        <w:tc>
          <w:tcPr>
            <w:tcW w:w="720" w:type="dxa"/>
            <w:tcBorders>
              <w:top w:val="nil"/>
              <w:left w:val="nil"/>
              <w:bottom w:val="single" w:sz="4" w:space="0" w:color="auto"/>
              <w:right w:val="nil"/>
            </w:tcBorders>
            <w:shd w:val="clear" w:color="auto" w:fill="auto"/>
            <w:noWrap/>
            <w:vAlign w:val="center"/>
            <w:hideMark/>
          </w:tcPr>
          <w:p w14:paraId="11878C5B" w14:textId="77777777" w:rsidR="000660B4" w:rsidRPr="00E141A0" w:rsidRDefault="000660B4" w:rsidP="00546C32">
            <w:pPr>
              <w:jc w:val="center"/>
              <w:rPr>
                <w:color w:val="000000"/>
                <w:sz w:val="22"/>
                <w:szCs w:val="22"/>
              </w:rPr>
            </w:pPr>
            <w:r w:rsidRPr="00E141A0">
              <w:rPr>
                <w:color w:val="000000"/>
                <w:sz w:val="22"/>
                <w:szCs w:val="22"/>
              </w:rPr>
              <w:t>0.72</w:t>
            </w:r>
          </w:p>
        </w:tc>
        <w:tc>
          <w:tcPr>
            <w:tcW w:w="900" w:type="dxa"/>
            <w:tcBorders>
              <w:top w:val="nil"/>
              <w:left w:val="nil"/>
              <w:bottom w:val="single" w:sz="4" w:space="0" w:color="auto"/>
              <w:right w:val="nil"/>
            </w:tcBorders>
            <w:shd w:val="clear" w:color="auto" w:fill="auto"/>
            <w:noWrap/>
            <w:vAlign w:val="center"/>
            <w:hideMark/>
          </w:tcPr>
          <w:p w14:paraId="18203FE0" w14:textId="77777777" w:rsidR="000660B4" w:rsidRPr="00E141A0" w:rsidRDefault="000660B4" w:rsidP="00546C32">
            <w:pPr>
              <w:jc w:val="center"/>
              <w:rPr>
                <w:color w:val="000000"/>
                <w:sz w:val="22"/>
                <w:szCs w:val="22"/>
              </w:rPr>
            </w:pPr>
            <w:r w:rsidRPr="00E141A0">
              <w:rPr>
                <w:color w:val="000000"/>
                <w:sz w:val="22"/>
                <w:szCs w:val="22"/>
              </w:rPr>
              <w:t>1.2</w:t>
            </w:r>
          </w:p>
        </w:tc>
        <w:tc>
          <w:tcPr>
            <w:tcW w:w="810" w:type="dxa"/>
            <w:tcBorders>
              <w:top w:val="nil"/>
              <w:left w:val="nil"/>
              <w:bottom w:val="single" w:sz="4" w:space="0" w:color="auto"/>
              <w:right w:val="nil"/>
            </w:tcBorders>
            <w:shd w:val="clear" w:color="auto" w:fill="auto"/>
            <w:noWrap/>
            <w:vAlign w:val="center"/>
            <w:hideMark/>
          </w:tcPr>
          <w:p w14:paraId="283F2C6C" w14:textId="77777777" w:rsidR="000660B4" w:rsidRPr="00E141A0" w:rsidRDefault="000660B4" w:rsidP="00546C32">
            <w:pPr>
              <w:jc w:val="center"/>
              <w:rPr>
                <w:color w:val="000000"/>
                <w:sz w:val="22"/>
                <w:szCs w:val="22"/>
              </w:rPr>
            </w:pPr>
            <w:r w:rsidRPr="00E141A0">
              <w:rPr>
                <w:color w:val="000000"/>
                <w:sz w:val="22"/>
                <w:szCs w:val="22"/>
              </w:rPr>
              <w:t>14.07</w:t>
            </w:r>
          </w:p>
        </w:tc>
        <w:tc>
          <w:tcPr>
            <w:tcW w:w="1170" w:type="dxa"/>
            <w:tcBorders>
              <w:top w:val="nil"/>
              <w:left w:val="nil"/>
              <w:bottom w:val="single" w:sz="4" w:space="0" w:color="auto"/>
              <w:right w:val="nil"/>
            </w:tcBorders>
            <w:shd w:val="clear" w:color="auto" w:fill="auto"/>
            <w:vAlign w:val="center"/>
            <w:hideMark/>
          </w:tcPr>
          <w:p w14:paraId="1A97FFFB" w14:textId="77777777" w:rsidR="000660B4" w:rsidRPr="00E141A0" w:rsidRDefault="000660B4" w:rsidP="00546C32">
            <w:pPr>
              <w:jc w:val="center"/>
              <w:rPr>
                <w:color w:val="000000"/>
                <w:sz w:val="22"/>
                <w:szCs w:val="22"/>
              </w:rPr>
            </w:pPr>
            <w:r w:rsidRPr="00E141A0">
              <w:rPr>
                <w:color w:val="000000"/>
                <w:sz w:val="22"/>
                <w:szCs w:val="22"/>
              </w:rPr>
              <w:t>1.56%</w:t>
            </w:r>
          </w:p>
        </w:tc>
      </w:tr>
    </w:tbl>
    <w:p w14:paraId="13E6D089" w14:textId="1788CB21" w:rsidR="001205A3" w:rsidRDefault="0091704E" w:rsidP="00E141A0">
      <w:pPr>
        <w:spacing w:line="259" w:lineRule="auto"/>
        <w:rPr>
          <w:sz w:val="22"/>
          <w:szCs w:val="22"/>
        </w:rPr>
        <w:sectPr w:rsidR="001205A3" w:rsidSect="005F38D5">
          <w:pgSz w:w="15840" w:h="12240" w:orient="landscape"/>
          <w:pgMar w:top="1440" w:right="1440" w:bottom="1440" w:left="1440" w:header="720" w:footer="720" w:gutter="0"/>
          <w:cols w:space="720"/>
          <w:docGrid w:linePitch="360"/>
        </w:sectPr>
      </w:pPr>
      <w:r w:rsidRPr="00296330">
        <w:rPr>
          <w:sz w:val="22"/>
          <w:szCs w:val="22"/>
        </w:rPr>
        <w:br w:type="page"/>
      </w:r>
    </w:p>
    <w:tbl>
      <w:tblPr>
        <w:tblpPr w:leftFromText="180" w:rightFromText="180" w:vertAnchor="text" w:horzAnchor="page" w:tblpX="730" w:tblpY="-175"/>
        <w:tblW w:w="10627" w:type="dxa"/>
        <w:tblLook w:val="04A0" w:firstRow="1" w:lastRow="0" w:firstColumn="1" w:lastColumn="0" w:noHBand="0" w:noVBand="1"/>
      </w:tblPr>
      <w:tblGrid>
        <w:gridCol w:w="1081"/>
        <w:gridCol w:w="2232"/>
        <w:gridCol w:w="546"/>
        <w:gridCol w:w="6"/>
        <w:gridCol w:w="601"/>
        <w:gridCol w:w="605"/>
        <w:gridCol w:w="1049"/>
        <w:gridCol w:w="995"/>
        <w:gridCol w:w="601"/>
        <w:gridCol w:w="1096"/>
        <w:gridCol w:w="1041"/>
        <w:gridCol w:w="774"/>
      </w:tblGrid>
      <w:tr w:rsidR="00B9640C" w:rsidRPr="00296330" w14:paraId="5B007AF5" w14:textId="77777777" w:rsidTr="000660B4">
        <w:trPr>
          <w:trHeight w:val="620"/>
        </w:trPr>
        <w:tc>
          <w:tcPr>
            <w:tcW w:w="10627" w:type="dxa"/>
            <w:gridSpan w:val="12"/>
            <w:tcBorders>
              <w:top w:val="nil"/>
              <w:left w:val="nil"/>
              <w:right w:val="nil"/>
            </w:tcBorders>
          </w:tcPr>
          <w:p w14:paraId="2F202EAE" w14:textId="0293C2FA" w:rsidR="00B9640C" w:rsidRPr="00296330" w:rsidRDefault="00B9640C" w:rsidP="00B9640C">
            <w:pPr>
              <w:rPr>
                <w:color w:val="000000"/>
                <w:sz w:val="22"/>
                <w:szCs w:val="22"/>
              </w:rPr>
            </w:pPr>
            <w:r w:rsidRPr="00165ED3">
              <w:rPr>
                <w:color w:val="000000"/>
                <w:sz w:val="22"/>
                <w:szCs w:val="22"/>
              </w:rPr>
              <w:lastRenderedPageBreak/>
              <w:t>Table 3</w:t>
            </w:r>
          </w:p>
          <w:p w14:paraId="00AB9471" w14:textId="77777777" w:rsidR="00B9640C" w:rsidRPr="00296330" w:rsidRDefault="00B9640C" w:rsidP="00B9640C">
            <w:pPr>
              <w:rPr>
                <w:color w:val="000000"/>
                <w:sz w:val="22"/>
                <w:szCs w:val="22"/>
              </w:rPr>
            </w:pPr>
          </w:p>
          <w:p w14:paraId="2306E80A" w14:textId="54B51402" w:rsidR="00B9640C" w:rsidRPr="00296330" w:rsidRDefault="00B9640C" w:rsidP="00B9640C">
            <w:pPr>
              <w:rPr>
                <w:sz w:val="22"/>
                <w:szCs w:val="22"/>
              </w:rPr>
            </w:pPr>
            <w:r w:rsidRPr="00296330">
              <w:rPr>
                <w:i/>
                <w:iCs/>
                <w:color w:val="000000"/>
                <w:sz w:val="22"/>
                <w:szCs w:val="22"/>
              </w:rPr>
              <w:t xml:space="preserve">Year 1 (2017-2018) Mean Differences in Expulsion Rates by Program Characteristics </w:t>
            </w:r>
          </w:p>
        </w:tc>
      </w:tr>
      <w:tr w:rsidR="00B9640C" w:rsidRPr="00296330" w14:paraId="1E0139A8" w14:textId="492C84E3" w:rsidTr="000660B4">
        <w:trPr>
          <w:trHeight w:val="310"/>
        </w:trPr>
        <w:tc>
          <w:tcPr>
            <w:tcW w:w="1081" w:type="dxa"/>
            <w:tcBorders>
              <w:top w:val="single" w:sz="4" w:space="0" w:color="auto"/>
              <w:left w:val="nil"/>
              <w:bottom w:val="single" w:sz="4" w:space="0" w:color="auto"/>
              <w:right w:val="nil"/>
            </w:tcBorders>
            <w:shd w:val="clear" w:color="auto" w:fill="auto"/>
            <w:noWrap/>
            <w:vAlign w:val="bottom"/>
            <w:hideMark/>
          </w:tcPr>
          <w:p w14:paraId="3C79F31A" w14:textId="77777777" w:rsidR="00B9640C" w:rsidRPr="00296330" w:rsidRDefault="00B9640C" w:rsidP="00B9640C">
            <w:pPr>
              <w:rPr>
                <w:color w:val="000000"/>
                <w:sz w:val="22"/>
                <w:szCs w:val="22"/>
              </w:rPr>
            </w:pPr>
            <w:r w:rsidRPr="00296330">
              <w:rPr>
                <w:color w:val="000000"/>
                <w:sz w:val="22"/>
                <w:szCs w:val="22"/>
              </w:rPr>
              <w:t> </w:t>
            </w:r>
          </w:p>
        </w:tc>
        <w:tc>
          <w:tcPr>
            <w:tcW w:w="2232" w:type="dxa"/>
            <w:tcBorders>
              <w:top w:val="single" w:sz="4" w:space="0" w:color="auto"/>
              <w:left w:val="nil"/>
              <w:bottom w:val="single" w:sz="4" w:space="0" w:color="auto"/>
              <w:right w:val="nil"/>
            </w:tcBorders>
            <w:shd w:val="clear" w:color="auto" w:fill="auto"/>
            <w:noWrap/>
            <w:vAlign w:val="bottom"/>
            <w:hideMark/>
          </w:tcPr>
          <w:p w14:paraId="2D700E14" w14:textId="77777777" w:rsidR="00B9640C" w:rsidRPr="00296330" w:rsidRDefault="00B9640C" w:rsidP="00B9640C">
            <w:pPr>
              <w:rPr>
                <w:color w:val="000000"/>
                <w:sz w:val="22"/>
                <w:szCs w:val="22"/>
              </w:rPr>
            </w:pPr>
            <w:r w:rsidRPr="00296330">
              <w:rPr>
                <w:color w:val="000000"/>
                <w:sz w:val="22"/>
                <w:szCs w:val="22"/>
              </w:rPr>
              <w:t> </w:t>
            </w:r>
          </w:p>
        </w:tc>
        <w:tc>
          <w:tcPr>
            <w:tcW w:w="546" w:type="dxa"/>
            <w:tcBorders>
              <w:top w:val="single" w:sz="4" w:space="0" w:color="auto"/>
              <w:left w:val="nil"/>
              <w:bottom w:val="single" w:sz="4" w:space="0" w:color="auto"/>
              <w:right w:val="nil"/>
            </w:tcBorders>
            <w:shd w:val="clear" w:color="auto" w:fill="auto"/>
            <w:noWrap/>
            <w:vAlign w:val="bottom"/>
            <w:hideMark/>
          </w:tcPr>
          <w:p w14:paraId="3ED8E2BE" w14:textId="77777777" w:rsidR="00B9640C" w:rsidRPr="00296330" w:rsidRDefault="00B9640C" w:rsidP="00B9640C">
            <w:pPr>
              <w:jc w:val="center"/>
              <w:rPr>
                <w:b/>
                <w:bCs/>
                <w:i/>
                <w:iCs/>
                <w:color w:val="000000"/>
                <w:sz w:val="22"/>
                <w:szCs w:val="22"/>
              </w:rPr>
            </w:pPr>
            <w:r w:rsidRPr="00296330">
              <w:rPr>
                <w:b/>
                <w:bCs/>
                <w:i/>
                <w:iCs/>
                <w:color w:val="000000"/>
                <w:sz w:val="22"/>
                <w:szCs w:val="22"/>
              </w:rPr>
              <w:t>N</w:t>
            </w:r>
          </w:p>
        </w:tc>
        <w:tc>
          <w:tcPr>
            <w:tcW w:w="607" w:type="dxa"/>
            <w:gridSpan w:val="2"/>
            <w:tcBorders>
              <w:top w:val="single" w:sz="4" w:space="0" w:color="auto"/>
              <w:left w:val="nil"/>
              <w:bottom w:val="single" w:sz="4" w:space="0" w:color="auto"/>
              <w:right w:val="nil"/>
            </w:tcBorders>
            <w:shd w:val="clear" w:color="auto" w:fill="auto"/>
            <w:noWrap/>
            <w:vAlign w:val="bottom"/>
            <w:hideMark/>
          </w:tcPr>
          <w:p w14:paraId="217F65D2" w14:textId="77777777" w:rsidR="00B9640C" w:rsidRPr="00296330" w:rsidRDefault="00B9640C" w:rsidP="00B9640C">
            <w:pPr>
              <w:jc w:val="center"/>
              <w:rPr>
                <w:b/>
                <w:bCs/>
                <w:i/>
                <w:iCs/>
                <w:color w:val="000000"/>
                <w:sz w:val="22"/>
                <w:szCs w:val="22"/>
              </w:rPr>
            </w:pPr>
            <w:r w:rsidRPr="00296330">
              <w:rPr>
                <w:b/>
                <w:bCs/>
                <w:i/>
                <w:iCs/>
                <w:color w:val="000000"/>
                <w:sz w:val="22"/>
                <w:szCs w:val="22"/>
              </w:rPr>
              <w:t>M</w:t>
            </w:r>
          </w:p>
        </w:tc>
        <w:tc>
          <w:tcPr>
            <w:tcW w:w="605" w:type="dxa"/>
            <w:tcBorders>
              <w:top w:val="single" w:sz="4" w:space="0" w:color="auto"/>
              <w:left w:val="nil"/>
              <w:bottom w:val="single" w:sz="4" w:space="0" w:color="auto"/>
              <w:right w:val="nil"/>
            </w:tcBorders>
            <w:shd w:val="clear" w:color="auto" w:fill="auto"/>
            <w:noWrap/>
            <w:vAlign w:val="bottom"/>
            <w:hideMark/>
          </w:tcPr>
          <w:p w14:paraId="2F71F81D" w14:textId="77777777" w:rsidR="00B9640C" w:rsidRPr="00296330" w:rsidRDefault="00B9640C" w:rsidP="00B9640C">
            <w:pPr>
              <w:jc w:val="center"/>
              <w:rPr>
                <w:b/>
                <w:bCs/>
                <w:i/>
                <w:iCs/>
                <w:color w:val="000000"/>
                <w:sz w:val="22"/>
                <w:szCs w:val="22"/>
              </w:rPr>
            </w:pPr>
            <w:r w:rsidRPr="00296330">
              <w:rPr>
                <w:b/>
                <w:bCs/>
                <w:i/>
                <w:iCs/>
                <w:color w:val="000000"/>
                <w:sz w:val="22"/>
                <w:szCs w:val="22"/>
              </w:rPr>
              <w:t>SD</w:t>
            </w:r>
          </w:p>
        </w:tc>
        <w:tc>
          <w:tcPr>
            <w:tcW w:w="1049" w:type="dxa"/>
            <w:tcBorders>
              <w:top w:val="single" w:sz="4" w:space="0" w:color="auto"/>
              <w:left w:val="nil"/>
              <w:bottom w:val="single" w:sz="4" w:space="0" w:color="auto"/>
              <w:right w:val="nil"/>
            </w:tcBorders>
            <w:shd w:val="clear" w:color="auto" w:fill="auto"/>
            <w:noWrap/>
            <w:vAlign w:val="bottom"/>
            <w:hideMark/>
          </w:tcPr>
          <w:p w14:paraId="42484DAC" w14:textId="77777777" w:rsidR="00B9640C" w:rsidRPr="00296330" w:rsidRDefault="00B9640C" w:rsidP="00B9640C">
            <w:pPr>
              <w:jc w:val="center"/>
              <w:rPr>
                <w:b/>
                <w:bCs/>
                <w:i/>
                <w:iCs/>
                <w:color w:val="000000"/>
                <w:sz w:val="22"/>
                <w:szCs w:val="22"/>
              </w:rPr>
            </w:pPr>
            <w:r w:rsidRPr="00296330">
              <w:rPr>
                <w:b/>
                <w:bCs/>
                <w:i/>
                <w:iCs/>
                <w:color w:val="000000"/>
                <w:sz w:val="22"/>
                <w:szCs w:val="22"/>
              </w:rPr>
              <w:t> </w:t>
            </w:r>
          </w:p>
        </w:tc>
        <w:tc>
          <w:tcPr>
            <w:tcW w:w="995" w:type="dxa"/>
            <w:tcBorders>
              <w:top w:val="single" w:sz="4" w:space="0" w:color="auto"/>
              <w:left w:val="nil"/>
              <w:bottom w:val="single" w:sz="4" w:space="0" w:color="auto"/>
              <w:right w:val="nil"/>
            </w:tcBorders>
            <w:shd w:val="clear" w:color="auto" w:fill="auto"/>
            <w:vAlign w:val="center"/>
            <w:hideMark/>
          </w:tcPr>
          <w:p w14:paraId="6AD890DB" w14:textId="77777777" w:rsidR="00B9640C" w:rsidRPr="00296330" w:rsidRDefault="00B9640C" w:rsidP="00B9640C">
            <w:pPr>
              <w:jc w:val="center"/>
              <w:rPr>
                <w:b/>
                <w:bCs/>
                <w:color w:val="000000"/>
                <w:sz w:val="22"/>
                <w:szCs w:val="22"/>
              </w:rPr>
            </w:pPr>
            <w:r w:rsidRPr="00296330">
              <w:rPr>
                <w:b/>
                <w:bCs/>
                <w:color w:val="000000"/>
                <w:sz w:val="22"/>
                <w:szCs w:val="22"/>
              </w:rPr>
              <w:t>SS</w:t>
            </w:r>
          </w:p>
        </w:tc>
        <w:tc>
          <w:tcPr>
            <w:tcW w:w="601" w:type="dxa"/>
            <w:tcBorders>
              <w:top w:val="single" w:sz="4" w:space="0" w:color="auto"/>
              <w:left w:val="nil"/>
              <w:bottom w:val="single" w:sz="4" w:space="0" w:color="auto"/>
              <w:right w:val="nil"/>
            </w:tcBorders>
            <w:shd w:val="clear" w:color="auto" w:fill="auto"/>
            <w:noWrap/>
            <w:vAlign w:val="center"/>
            <w:hideMark/>
          </w:tcPr>
          <w:p w14:paraId="113A0571" w14:textId="77777777" w:rsidR="00B9640C" w:rsidRPr="00296330" w:rsidRDefault="00B9640C" w:rsidP="00B9640C">
            <w:pPr>
              <w:jc w:val="center"/>
              <w:rPr>
                <w:b/>
                <w:bCs/>
                <w:color w:val="000000"/>
                <w:sz w:val="22"/>
                <w:szCs w:val="22"/>
              </w:rPr>
            </w:pPr>
            <w:proofErr w:type="spellStart"/>
            <w:r w:rsidRPr="00296330">
              <w:rPr>
                <w:b/>
                <w:bCs/>
                <w:color w:val="000000"/>
                <w:sz w:val="22"/>
                <w:szCs w:val="22"/>
              </w:rPr>
              <w:t>df</w:t>
            </w:r>
            <w:proofErr w:type="spellEnd"/>
          </w:p>
        </w:tc>
        <w:tc>
          <w:tcPr>
            <w:tcW w:w="1096" w:type="dxa"/>
            <w:tcBorders>
              <w:top w:val="single" w:sz="4" w:space="0" w:color="auto"/>
              <w:left w:val="nil"/>
              <w:bottom w:val="single" w:sz="4" w:space="0" w:color="auto"/>
              <w:right w:val="nil"/>
            </w:tcBorders>
            <w:shd w:val="clear" w:color="auto" w:fill="auto"/>
            <w:noWrap/>
            <w:vAlign w:val="center"/>
            <w:hideMark/>
          </w:tcPr>
          <w:p w14:paraId="79EF7878" w14:textId="7CF14BBC" w:rsidR="00B9640C" w:rsidRPr="00296330" w:rsidRDefault="00B9640C" w:rsidP="00B9640C">
            <w:pPr>
              <w:jc w:val="center"/>
              <w:rPr>
                <w:b/>
                <w:bCs/>
                <w:color w:val="000000"/>
                <w:sz w:val="22"/>
                <w:szCs w:val="22"/>
              </w:rPr>
            </w:pPr>
            <w:r w:rsidRPr="00296330">
              <w:rPr>
                <w:b/>
                <w:bCs/>
                <w:color w:val="000000"/>
                <w:sz w:val="22"/>
                <w:szCs w:val="22"/>
              </w:rPr>
              <w:t>Mean Sq</w:t>
            </w:r>
            <w:r>
              <w:rPr>
                <w:b/>
                <w:bCs/>
                <w:color w:val="000000"/>
                <w:sz w:val="22"/>
                <w:szCs w:val="22"/>
              </w:rPr>
              <w:t>.</w:t>
            </w:r>
          </w:p>
        </w:tc>
        <w:tc>
          <w:tcPr>
            <w:tcW w:w="1041" w:type="dxa"/>
            <w:tcBorders>
              <w:top w:val="single" w:sz="4" w:space="0" w:color="auto"/>
              <w:left w:val="nil"/>
              <w:bottom w:val="single" w:sz="4" w:space="0" w:color="auto"/>
              <w:right w:val="nil"/>
            </w:tcBorders>
            <w:shd w:val="clear" w:color="auto" w:fill="auto"/>
            <w:noWrap/>
            <w:vAlign w:val="center"/>
            <w:hideMark/>
          </w:tcPr>
          <w:p w14:paraId="72ED8B2D" w14:textId="77777777" w:rsidR="00B9640C" w:rsidRPr="00296330" w:rsidRDefault="00B9640C" w:rsidP="00B9640C">
            <w:pPr>
              <w:jc w:val="center"/>
              <w:rPr>
                <w:b/>
                <w:bCs/>
                <w:color w:val="000000"/>
                <w:sz w:val="22"/>
                <w:szCs w:val="22"/>
              </w:rPr>
            </w:pPr>
            <w:r w:rsidRPr="00296330">
              <w:rPr>
                <w:b/>
                <w:bCs/>
                <w:color w:val="000000"/>
                <w:sz w:val="22"/>
                <w:szCs w:val="22"/>
              </w:rPr>
              <w:t>F</w:t>
            </w:r>
          </w:p>
        </w:tc>
        <w:tc>
          <w:tcPr>
            <w:tcW w:w="774" w:type="dxa"/>
            <w:tcBorders>
              <w:top w:val="single" w:sz="4" w:space="0" w:color="auto"/>
              <w:left w:val="nil"/>
              <w:bottom w:val="single" w:sz="4" w:space="0" w:color="auto"/>
              <w:right w:val="nil"/>
            </w:tcBorders>
          </w:tcPr>
          <w:p w14:paraId="4BF2CFE8" w14:textId="707D7458" w:rsidR="00B9640C" w:rsidRPr="00296330" w:rsidRDefault="00B9640C" w:rsidP="00B9640C">
            <w:pPr>
              <w:jc w:val="center"/>
              <w:rPr>
                <w:b/>
                <w:bCs/>
                <w:color w:val="000000"/>
                <w:sz w:val="22"/>
                <w:szCs w:val="22"/>
              </w:rPr>
            </w:pPr>
            <w:r w:rsidRPr="00B9640C">
              <w:rPr>
                <w:b/>
                <w:color w:val="202124"/>
                <w:shd w:val="clear" w:color="auto" w:fill="FFFFFF"/>
              </w:rPr>
              <w:sym w:font="Symbol" w:char="F068"/>
            </w:r>
            <w:r w:rsidRPr="00B9640C">
              <w:rPr>
                <w:b/>
                <w:color w:val="202124"/>
                <w:shd w:val="clear" w:color="auto" w:fill="FFFFFF"/>
                <w:vertAlign w:val="superscript"/>
              </w:rPr>
              <w:t>2</w:t>
            </w:r>
          </w:p>
        </w:tc>
      </w:tr>
      <w:tr w:rsidR="00B9640C" w:rsidRPr="00296330" w14:paraId="5A87A564" w14:textId="3D1ED026" w:rsidTr="000660B4">
        <w:trPr>
          <w:trHeight w:val="310"/>
        </w:trPr>
        <w:tc>
          <w:tcPr>
            <w:tcW w:w="3313" w:type="dxa"/>
            <w:gridSpan w:val="2"/>
            <w:tcBorders>
              <w:top w:val="nil"/>
              <w:left w:val="nil"/>
              <w:bottom w:val="nil"/>
              <w:right w:val="nil"/>
            </w:tcBorders>
            <w:shd w:val="clear" w:color="auto" w:fill="auto"/>
            <w:noWrap/>
            <w:vAlign w:val="bottom"/>
            <w:hideMark/>
          </w:tcPr>
          <w:p w14:paraId="16275724" w14:textId="61CB9280" w:rsidR="00B9640C" w:rsidRPr="00296330" w:rsidRDefault="00B9640C" w:rsidP="00B9640C">
            <w:pPr>
              <w:rPr>
                <w:b/>
                <w:bCs/>
                <w:color w:val="000000"/>
                <w:sz w:val="22"/>
                <w:szCs w:val="22"/>
              </w:rPr>
            </w:pPr>
            <w:r w:rsidRPr="00296330">
              <w:rPr>
                <w:b/>
                <w:bCs/>
                <w:color w:val="000000"/>
                <w:sz w:val="22"/>
                <w:szCs w:val="22"/>
              </w:rPr>
              <w:t>Program Type</w:t>
            </w:r>
          </w:p>
        </w:tc>
        <w:tc>
          <w:tcPr>
            <w:tcW w:w="552" w:type="dxa"/>
            <w:gridSpan w:val="2"/>
            <w:tcBorders>
              <w:top w:val="nil"/>
              <w:left w:val="nil"/>
              <w:bottom w:val="nil"/>
              <w:right w:val="nil"/>
            </w:tcBorders>
            <w:shd w:val="clear" w:color="auto" w:fill="auto"/>
            <w:noWrap/>
            <w:vAlign w:val="bottom"/>
            <w:hideMark/>
          </w:tcPr>
          <w:p w14:paraId="7E46B6B3"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79DBDAD3"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0266BCC7"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3A64D5F7" w14:textId="77777777" w:rsidR="00B9640C" w:rsidRPr="00296330" w:rsidRDefault="00B9640C" w:rsidP="00B9640C">
            <w:pPr>
              <w:rPr>
                <w:color w:val="000000"/>
                <w:sz w:val="22"/>
                <w:szCs w:val="22"/>
              </w:rPr>
            </w:pPr>
            <w:r w:rsidRPr="00296330">
              <w:rPr>
                <w:color w:val="000000"/>
                <w:sz w:val="22"/>
                <w:szCs w:val="22"/>
              </w:rPr>
              <w:t>Between</w:t>
            </w:r>
          </w:p>
        </w:tc>
        <w:tc>
          <w:tcPr>
            <w:tcW w:w="995" w:type="dxa"/>
            <w:tcBorders>
              <w:top w:val="nil"/>
              <w:left w:val="nil"/>
              <w:bottom w:val="nil"/>
              <w:right w:val="nil"/>
            </w:tcBorders>
            <w:shd w:val="clear" w:color="auto" w:fill="auto"/>
            <w:noWrap/>
            <w:vAlign w:val="center"/>
            <w:hideMark/>
          </w:tcPr>
          <w:p w14:paraId="49713D00" w14:textId="77777777" w:rsidR="00B9640C" w:rsidRPr="00296330" w:rsidRDefault="00B9640C" w:rsidP="00B9640C">
            <w:pPr>
              <w:jc w:val="center"/>
              <w:rPr>
                <w:color w:val="000000"/>
                <w:sz w:val="22"/>
                <w:szCs w:val="22"/>
              </w:rPr>
            </w:pPr>
            <w:r w:rsidRPr="00296330">
              <w:rPr>
                <w:color w:val="000000"/>
                <w:sz w:val="22"/>
                <w:szCs w:val="22"/>
              </w:rPr>
              <w:t>14.78</w:t>
            </w:r>
          </w:p>
        </w:tc>
        <w:tc>
          <w:tcPr>
            <w:tcW w:w="601" w:type="dxa"/>
            <w:tcBorders>
              <w:top w:val="nil"/>
              <w:left w:val="nil"/>
              <w:bottom w:val="nil"/>
              <w:right w:val="nil"/>
            </w:tcBorders>
            <w:shd w:val="clear" w:color="auto" w:fill="auto"/>
            <w:noWrap/>
            <w:vAlign w:val="center"/>
            <w:hideMark/>
          </w:tcPr>
          <w:p w14:paraId="183DF26F" w14:textId="77777777" w:rsidR="00B9640C" w:rsidRPr="00296330" w:rsidRDefault="00B9640C" w:rsidP="00B9640C">
            <w:pPr>
              <w:jc w:val="center"/>
              <w:rPr>
                <w:color w:val="000000"/>
                <w:sz w:val="22"/>
                <w:szCs w:val="22"/>
              </w:rPr>
            </w:pPr>
            <w:r w:rsidRPr="00296330">
              <w:rPr>
                <w:color w:val="000000"/>
                <w:sz w:val="22"/>
                <w:szCs w:val="22"/>
              </w:rPr>
              <w:t>3</w:t>
            </w:r>
          </w:p>
        </w:tc>
        <w:tc>
          <w:tcPr>
            <w:tcW w:w="1096" w:type="dxa"/>
            <w:tcBorders>
              <w:top w:val="nil"/>
              <w:left w:val="nil"/>
              <w:bottom w:val="nil"/>
              <w:right w:val="nil"/>
            </w:tcBorders>
            <w:shd w:val="clear" w:color="auto" w:fill="auto"/>
            <w:noWrap/>
            <w:vAlign w:val="center"/>
            <w:hideMark/>
          </w:tcPr>
          <w:p w14:paraId="1B8A401A" w14:textId="77777777" w:rsidR="00B9640C" w:rsidRPr="00296330" w:rsidRDefault="00B9640C" w:rsidP="00B9640C">
            <w:pPr>
              <w:jc w:val="center"/>
              <w:rPr>
                <w:color w:val="000000"/>
                <w:sz w:val="22"/>
                <w:szCs w:val="22"/>
              </w:rPr>
            </w:pPr>
            <w:r w:rsidRPr="00296330">
              <w:rPr>
                <w:color w:val="000000"/>
                <w:sz w:val="22"/>
                <w:szCs w:val="22"/>
              </w:rPr>
              <w:t>4.93</w:t>
            </w:r>
          </w:p>
        </w:tc>
        <w:tc>
          <w:tcPr>
            <w:tcW w:w="1041" w:type="dxa"/>
            <w:tcBorders>
              <w:top w:val="nil"/>
              <w:left w:val="nil"/>
              <w:bottom w:val="nil"/>
              <w:right w:val="nil"/>
            </w:tcBorders>
            <w:shd w:val="clear" w:color="auto" w:fill="auto"/>
            <w:noWrap/>
            <w:vAlign w:val="center"/>
            <w:hideMark/>
          </w:tcPr>
          <w:p w14:paraId="21C9ECA1" w14:textId="77777777" w:rsidR="00B9640C" w:rsidRPr="00296330" w:rsidRDefault="00B9640C" w:rsidP="00B9640C">
            <w:pPr>
              <w:jc w:val="center"/>
              <w:rPr>
                <w:color w:val="000000"/>
                <w:sz w:val="22"/>
                <w:szCs w:val="22"/>
              </w:rPr>
            </w:pPr>
            <w:r w:rsidRPr="00296330">
              <w:rPr>
                <w:color w:val="000000"/>
                <w:sz w:val="22"/>
                <w:szCs w:val="22"/>
              </w:rPr>
              <w:t>4.71**</w:t>
            </w:r>
          </w:p>
        </w:tc>
        <w:tc>
          <w:tcPr>
            <w:tcW w:w="774" w:type="dxa"/>
            <w:tcBorders>
              <w:top w:val="nil"/>
              <w:left w:val="nil"/>
              <w:bottom w:val="nil"/>
              <w:right w:val="nil"/>
            </w:tcBorders>
          </w:tcPr>
          <w:p w14:paraId="6224059D" w14:textId="52C9D9F1" w:rsidR="00B9640C" w:rsidRPr="00296330" w:rsidRDefault="00B9640C" w:rsidP="00B9640C">
            <w:pPr>
              <w:jc w:val="center"/>
              <w:rPr>
                <w:color w:val="000000"/>
                <w:sz w:val="22"/>
                <w:szCs w:val="22"/>
              </w:rPr>
            </w:pPr>
            <w:r>
              <w:rPr>
                <w:color w:val="000000"/>
                <w:sz w:val="22"/>
                <w:szCs w:val="22"/>
              </w:rPr>
              <w:t>0.100</w:t>
            </w:r>
          </w:p>
        </w:tc>
      </w:tr>
      <w:tr w:rsidR="00B9640C" w:rsidRPr="00296330" w14:paraId="003FD9AA" w14:textId="1AF840A3" w:rsidTr="000660B4">
        <w:trPr>
          <w:trHeight w:val="310"/>
        </w:trPr>
        <w:tc>
          <w:tcPr>
            <w:tcW w:w="1081" w:type="dxa"/>
            <w:tcBorders>
              <w:top w:val="nil"/>
              <w:left w:val="nil"/>
              <w:bottom w:val="nil"/>
              <w:right w:val="nil"/>
            </w:tcBorders>
            <w:shd w:val="clear" w:color="auto" w:fill="auto"/>
            <w:noWrap/>
            <w:vAlign w:val="bottom"/>
            <w:hideMark/>
          </w:tcPr>
          <w:p w14:paraId="20E0E36B" w14:textId="77777777" w:rsidR="00B9640C" w:rsidRPr="00296330" w:rsidRDefault="00B9640C" w:rsidP="00B9640C">
            <w:pPr>
              <w:rPr>
                <w:color w:val="000000"/>
                <w:sz w:val="22"/>
                <w:szCs w:val="22"/>
              </w:rPr>
            </w:pPr>
          </w:p>
        </w:tc>
        <w:tc>
          <w:tcPr>
            <w:tcW w:w="2232" w:type="dxa"/>
            <w:tcBorders>
              <w:top w:val="nil"/>
              <w:left w:val="nil"/>
              <w:bottom w:val="nil"/>
              <w:right w:val="nil"/>
            </w:tcBorders>
            <w:shd w:val="clear" w:color="auto" w:fill="auto"/>
            <w:noWrap/>
            <w:vAlign w:val="bottom"/>
            <w:hideMark/>
          </w:tcPr>
          <w:p w14:paraId="6E813D89" w14:textId="77777777" w:rsidR="00B9640C" w:rsidRPr="00296330" w:rsidRDefault="00B9640C" w:rsidP="00B9640C">
            <w:pPr>
              <w:rPr>
                <w:sz w:val="22"/>
                <w:szCs w:val="22"/>
              </w:rPr>
            </w:pPr>
          </w:p>
        </w:tc>
        <w:tc>
          <w:tcPr>
            <w:tcW w:w="552" w:type="dxa"/>
            <w:gridSpan w:val="2"/>
            <w:tcBorders>
              <w:top w:val="nil"/>
              <w:left w:val="nil"/>
              <w:bottom w:val="nil"/>
              <w:right w:val="nil"/>
            </w:tcBorders>
            <w:shd w:val="clear" w:color="auto" w:fill="auto"/>
            <w:noWrap/>
            <w:vAlign w:val="bottom"/>
            <w:hideMark/>
          </w:tcPr>
          <w:p w14:paraId="6F229D6A"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1DFDD409"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2DBC1FBB"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251A2732" w14:textId="77777777" w:rsidR="00B9640C" w:rsidRPr="00296330" w:rsidRDefault="00B9640C" w:rsidP="00B9640C">
            <w:pPr>
              <w:rPr>
                <w:color w:val="000000"/>
                <w:sz w:val="22"/>
                <w:szCs w:val="22"/>
              </w:rPr>
            </w:pPr>
            <w:r w:rsidRPr="00296330">
              <w:rPr>
                <w:color w:val="000000"/>
                <w:sz w:val="22"/>
                <w:szCs w:val="22"/>
              </w:rPr>
              <w:t>Within</w:t>
            </w:r>
          </w:p>
        </w:tc>
        <w:tc>
          <w:tcPr>
            <w:tcW w:w="995" w:type="dxa"/>
            <w:tcBorders>
              <w:top w:val="nil"/>
              <w:left w:val="nil"/>
              <w:bottom w:val="nil"/>
              <w:right w:val="nil"/>
            </w:tcBorders>
            <w:shd w:val="clear" w:color="auto" w:fill="auto"/>
            <w:noWrap/>
            <w:vAlign w:val="center"/>
            <w:hideMark/>
          </w:tcPr>
          <w:p w14:paraId="775E6FF8" w14:textId="77777777" w:rsidR="00B9640C" w:rsidRPr="00296330" w:rsidRDefault="00B9640C" w:rsidP="00B9640C">
            <w:pPr>
              <w:jc w:val="center"/>
              <w:rPr>
                <w:color w:val="000000"/>
                <w:sz w:val="22"/>
                <w:szCs w:val="22"/>
              </w:rPr>
            </w:pPr>
            <w:r w:rsidRPr="00296330">
              <w:rPr>
                <w:color w:val="000000"/>
                <w:sz w:val="22"/>
                <w:szCs w:val="22"/>
              </w:rPr>
              <w:t>146.44</w:t>
            </w:r>
          </w:p>
        </w:tc>
        <w:tc>
          <w:tcPr>
            <w:tcW w:w="601" w:type="dxa"/>
            <w:tcBorders>
              <w:top w:val="nil"/>
              <w:left w:val="nil"/>
              <w:bottom w:val="nil"/>
              <w:right w:val="nil"/>
            </w:tcBorders>
            <w:shd w:val="clear" w:color="auto" w:fill="auto"/>
            <w:noWrap/>
            <w:vAlign w:val="center"/>
            <w:hideMark/>
          </w:tcPr>
          <w:p w14:paraId="7CFA6FE1" w14:textId="77777777" w:rsidR="00B9640C" w:rsidRPr="00296330" w:rsidRDefault="00B9640C" w:rsidP="00B9640C">
            <w:pPr>
              <w:jc w:val="center"/>
              <w:rPr>
                <w:color w:val="000000"/>
                <w:sz w:val="22"/>
                <w:szCs w:val="22"/>
              </w:rPr>
            </w:pPr>
            <w:r w:rsidRPr="00296330">
              <w:rPr>
                <w:color w:val="000000"/>
                <w:sz w:val="22"/>
                <w:szCs w:val="22"/>
              </w:rPr>
              <w:t>140</w:t>
            </w:r>
          </w:p>
        </w:tc>
        <w:tc>
          <w:tcPr>
            <w:tcW w:w="1096" w:type="dxa"/>
            <w:tcBorders>
              <w:top w:val="nil"/>
              <w:left w:val="nil"/>
              <w:bottom w:val="nil"/>
              <w:right w:val="nil"/>
            </w:tcBorders>
            <w:shd w:val="clear" w:color="auto" w:fill="auto"/>
            <w:noWrap/>
            <w:vAlign w:val="center"/>
            <w:hideMark/>
          </w:tcPr>
          <w:p w14:paraId="2EA3156F" w14:textId="77777777" w:rsidR="00B9640C" w:rsidRPr="00296330" w:rsidRDefault="00B9640C" w:rsidP="00B9640C">
            <w:pPr>
              <w:jc w:val="center"/>
              <w:rPr>
                <w:color w:val="000000"/>
                <w:sz w:val="22"/>
                <w:szCs w:val="22"/>
              </w:rPr>
            </w:pPr>
            <w:r w:rsidRPr="00296330">
              <w:rPr>
                <w:color w:val="000000"/>
                <w:sz w:val="22"/>
                <w:szCs w:val="22"/>
              </w:rPr>
              <w:t>4.05</w:t>
            </w:r>
          </w:p>
        </w:tc>
        <w:tc>
          <w:tcPr>
            <w:tcW w:w="1041" w:type="dxa"/>
            <w:tcBorders>
              <w:top w:val="nil"/>
              <w:left w:val="nil"/>
              <w:bottom w:val="nil"/>
              <w:right w:val="nil"/>
            </w:tcBorders>
            <w:shd w:val="clear" w:color="auto" w:fill="auto"/>
            <w:noWrap/>
            <w:vAlign w:val="center"/>
            <w:hideMark/>
          </w:tcPr>
          <w:p w14:paraId="4179FF31" w14:textId="77777777" w:rsidR="00B9640C" w:rsidRPr="00296330" w:rsidRDefault="00B9640C" w:rsidP="00B9640C">
            <w:pPr>
              <w:jc w:val="center"/>
              <w:rPr>
                <w:color w:val="000000"/>
                <w:sz w:val="22"/>
                <w:szCs w:val="22"/>
              </w:rPr>
            </w:pPr>
          </w:p>
        </w:tc>
        <w:tc>
          <w:tcPr>
            <w:tcW w:w="774" w:type="dxa"/>
            <w:tcBorders>
              <w:top w:val="nil"/>
              <w:left w:val="nil"/>
              <w:bottom w:val="nil"/>
              <w:right w:val="nil"/>
            </w:tcBorders>
          </w:tcPr>
          <w:p w14:paraId="40D47692" w14:textId="77777777" w:rsidR="00B9640C" w:rsidRPr="00296330" w:rsidRDefault="00B9640C" w:rsidP="00B9640C">
            <w:pPr>
              <w:jc w:val="center"/>
              <w:rPr>
                <w:color w:val="000000"/>
                <w:sz w:val="22"/>
                <w:szCs w:val="22"/>
              </w:rPr>
            </w:pPr>
          </w:p>
        </w:tc>
      </w:tr>
      <w:tr w:rsidR="00B9640C" w:rsidRPr="00296330" w14:paraId="0DE3DC7F" w14:textId="31D59236" w:rsidTr="000660B4">
        <w:trPr>
          <w:trHeight w:val="310"/>
        </w:trPr>
        <w:tc>
          <w:tcPr>
            <w:tcW w:w="1081" w:type="dxa"/>
            <w:tcBorders>
              <w:top w:val="nil"/>
              <w:left w:val="nil"/>
              <w:bottom w:val="nil"/>
              <w:right w:val="nil"/>
            </w:tcBorders>
            <w:shd w:val="clear" w:color="auto" w:fill="auto"/>
            <w:noWrap/>
            <w:vAlign w:val="bottom"/>
            <w:hideMark/>
          </w:tcPr>
          <w:p w14:paraId="2C8E0096"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5EB94C50" w14:textId="77777777" w:rsidR="00B9640C" w:rsidRPr="00296330" w:rsidRDefault="00B9640C" w:rsidP="00B9640C">
            <w:pPr>
              <w:rPr>
                <w:color w:val="000000"/>
                <w:sz w:val="22"/>
                <w:szCs w:val="22"/>
              </w:rPr>
            </w:pPr>
            <w:r w:rsidRPr="00296330">
              <w:rPr>
                <w:color w:val="000000"/>
                <w:sz w:val="22"/>
                <w:szCs w:val="22"/>
              </w:rPr>
              <w:t>Center-based</w:t>
            </w:r>
          </w:p>
        </w:tc>
        <w:tc>
          <w:tcPr>
            <w:tcW w:w="552" w:type="dxa"/>
            <w:gridSpan w:val="2"/>
            <w:tcBorders>
              <w:top w:val="nil"/>
              <w:left w:val="nil"/>
              <w:bottom w:val="nil"/>
              <w:right w:val="nil"/>
            </w:tcBorders>
            <w:shd w:val="clear" w:color="auto" w:fill="auto"/>
            <w:noWrap/>
            <w:vAlign w:val="bottom"/>
            <w:hideMark/>
          </w:tcPr>
          <w:p w14:paraId="05B18EC7" w14:textId="77777777" w:rsidR="00B9640C" w:rsidRPr="00296330" w:rsidRDefault="00B9640C" w:rsidP="00B9640C">
            <w:pPr>
              <w:jc w:val="right"/>
              <w:rPr>
                <w:color w:val="000000"/>
                <w:sz w:val="22"/>
                <w:szCs w:val="22"/>
              </w:rPr>
            </w:pPr>
            <w:r w:rsidRPr="00296330">
              <w:rPr>
                <w:color w:val="000000"/>
                <w:sz w:val="22"/>
                <w:szCs w:val="22"/>
              </w:rPr>
              <w:t>95</w:t>
            </w:r>
          </w:p>
        </w:tc>
        <w:tc>
          <w:tcPr>
            <w:tcW w:w="601" w:type="dxa"/>
            <w:tcBorders>
              <w:top w:val="nil"/>
              <w:left w:val="nil"/>
              <w:bottom w:val="nil"/>
              <w:right w:val="nil"/>
            </w:tcBorders>
            <w:shd w:val="clear" w:color="auto" w:fill="auto"/>
            <w:noWrap/>
            <w:vAlign w:val="bottom"/>
            <w:hideMark/>
          </w:tcPr>
          <w:p w14:paraId="07BF297C" w14:textId="77777777" w:rsidR="00B9640C" w:rsidRPr="00296330" w:rsidRDefault="00B9640C" w:rsidP="00B9640C">
            <w:pPr>
              <w:jc w:val="right"/>
              <w:rPr>
                <w:color w:val="000000"/>
                <w:sz w:val="22"/>
                <w:szCs w:val="22"/>
              </w:rPr>
            </w:pPr>
            <w:r w:rsidRPr="00296330">
              <w:rPr>
                <w:color w:val="000000"/>
                <w:sz w:val="22"/>
                <w:szCs w:val="22"/>
              </w:rPr>
              <w:t>0.83</w:t>
            </w:r>
          </w:p>
        </w:tc>
        <w:tc>
          <w:tcPr>
            <w:tcW w:w="605" w:type="dxa"/>
            <w:tcBorders>
              <w:top w:val="nil"/>
              <w:left w:val="nil"/>
              <w:bottom w:val="nil"/>
              <w:right w:val="nil"/>
            </w:tcBorders>
            <w:shd w:val="clear" w:color="auto" w:fill="auto"/>
            <w:noWrap/>
            <w:vAlign w:val="bottom"/>
            <w:hideMark/>
          </w:tcPr>
          <w:p w14:paraId="4BA72E92" w14:textId="77777777" w:rsidR="00B9640C" w:rsidRPr="00296330" w:rsidRDefault="00B9640C" w:rsidP="00B9640C">
            <w:pPr>
              <w:jc w:val="right"/>
              <w:rPr>
                <w:color w:val="000000"/>
                <w:sz w:val="22"/>
                <w:szCs w:val="22"/>
              </w:rPr>
            </w:pPr>
            <w:r w:rsidRPr="00296330">
              <w:rPr>
                <w:color w:val="000000"/>
                <w:sz w:val="22"/>
                <w:szCs w:val="22"/>
              </w:rPr>
              <w:t>1.12</w:t>
            </w:r>
          </w:p>
        </w:tc>
        <w:tc>
          <w:tcPr>
            <w:tcW w:w="1049" w:type="dxa"/>
            <w:tcBorders>
              <w:top w:val="nil"/>
              <w:left w:val="nil"/>
              <w:bottom w:val="nil"/>
              <w:right w:val="nil"/>
            </w:tcBorders>
            <w:shd w:val="clear" w:color="auto" w:fill="auto"/>
            <w:noWrap/>
            <w:vAlign w:val="bottom"/>
            <w:hideMark/>
          </w:tcPr>
          <w:p w14:paraId="67B27D8A"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4587038E"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67A0320E"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07AD2A44"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193B2AC1"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6956ECEB" w14:textId="77777777" w:rsidR="00B9640C" w:rsidRPr="00296330" w:rsidRDefault="00B9640C" w:rsidP="00B9640C">
            <w:pPr>
              <w:jc w:val="center"/>
              <w:rPr>
                <w:sz w:val="22"/>
                <w:szCs w:val="22"/>
              </w:rPr>
            </w:pPr>
          </w:p>
        </w:tc>
      </w:tr>
      <w:tr w:rsidR="00B9640C" w:rsidRPr="00296330" w14:paraId="749213B5" w14:textId="46CBE244" w:rsidTr="000660B4">
        <w:trPr>
          <w:trHeight w:val="310"/>
        </w:trPr>
        <w:tc>
          <w:tcPr>
            <w:tcW w:w="1081" w:type="dxa"/>
            <w:tcBorders>
              <w:top w:val="nil"/>
              <w:left w:val="nil"/>
              <w:bottom w:val="nil"/>
              <w:right w:val="nil"/>
            </w:tcBorders>
            <w:shd w:val="clear" w:color="auto" w:fill="auto"/>
            <w:noWrap/>
            <w:vAlign w:val="bottom"/>
            <w:hideMark/>
          </w:tcPr>
          <w:p w14:paraId="798EB851"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734206DD" w14:textId="77777777" w:rsidR="00B9640C" w:rsidRPr="00296330" w:rsidRDefault="00B9640C" w:rsidP="00B9640C">
            <w:pPr>
              <w:rPr>
                <w:color w:val="000000"/>
                <w:sz w:val="22"/>
                <w:szCs w:val="22"/>
              </w:rPr>
            </w:pPr>
            <w:r w:rsidRPr="00296330">
              <w:rPr>
                <w:color w:val="000000"/>
                <w:sz w:val="22"/>
                <w:szCs w:val="22"/>
              </w:rPr>
              <w:t>School-based</w:t>
            </w:r>
          </w:p>
        </w:tc>
        <w:tc>
          <w:tcPr>
            <w:tcW w:w="552" w:type="dxa"/>
            <w:gridSpan w:val="2"/>
            <w:tcBorders>
              <w:top w:val="nil"/>
              <w:left w:val="nil"/>
              <w:bottom w:val="nil"/>
              <w:right w:val="nil"/>
            </w:tcBorders>
            <w:shd w:val="clear" w:color="auto" w:fill="auto"/>
            <w:noWrap/>
            <w:vAlign w:val="bottom"/>
            <w:hideMark/>
          </w:tcPr>
          <w:p w14:paraId="470E4DD6" w14:textId="77777777" w:rsidR="00B9640C" w:rsidRPr="00296330" w:rsidRDefault="00B9640C" w:rsidP="00B9640C">
            <w:pPr>
              <w:jc w:val="right"/>
              <w:rPr>
                <w:color w:val="000000"/>
                <w:sz w:val="22"/>
                <w:szCs w:val="22"/>
              </w:rPr>
            </w:pPr>
            <w:r w:rsidRPr="00296330">
              <w:rPr>
                <w:color w:val="000000"/>
                <w:sz w:val="22"/>
                <w:szCs w:val="22"/>
              </w:rPr>
              <w:t>19</w:t>
            </w:r>
          </w:p>
        </w:tc>
        <w:tc>
          <w:tcPr>
            <w:tcW w:w="601" w:type="dxa"/>
            <w:tcBorders>
              <w:top w:val="nil"/>
              <w:left w:val="nil"/>
              <w:bottom w:val="nil"/>
              <w:right w:val="nil"/>
            </w:tcBorders>
            <w:shd w:val="clear" w:color="auto" w:fill="auto"/>
            <w:noWrap/>
            <w:vAlign w:val="bottom"/>
            <w:hideMark/>
          </w:tcPr>
          <w:p w14:paraId="0ACCE6D5" w14:textId="77777777" w:rsidR="00B9640C" w:rsidRPr="00296330" w:rsidRDefault="00B9640C" w:rsidP="00B9640C">
            <w:pPr>
              <w:jc w:val="right"/>
              <w:rPr>
                <w:color w:val="000000"/>
                <w:sz w:val="22"/>
                <w:szCs w:val="22"/>
              </w:rPr>
            </w:pPr>
            <w:r w:rsidRPr="00296330">
              <w:rPr>
                <w:color w:val="000000"/>
                <w:sz w:val="22"/>
                <w:szCs w:val="22"/>
              </w:rPr>
              <w:t>0.16</w:t>
            </w:r>
          </w:p>
        </w:tc>
        <w:tc>
          <w:tcPr>
            <w:tcW w:w="605" w:type="dxa"/>
            <w:tcBorders>
              <w:top w:val="nil"/>
              <w:left w:val="nil"/>
              <w:bottom w:val="nil"/>
              <w:right w:val="nil"/>
            </w:tcBorders>
            <w:shd w:val="clear" w:color="auto" w:fill="auto"/>
            <w:noWrap/>
            <w:vAlign w:val="bottom"/>
            <w:hideMark/>
          </w:tcPr>
          <w:p w14:paraId="71C035EB" w14:textId="77777777" w:rsidR="00B9640C" w:rsidRPr="00296330" w:rsidRDefault="00B9640C" w:rsidP="00B9640C">
            <w:pPr>
              <w:jc w:val="right"/>
              <w:rPr>
                <w:color w:val="000000"/>
                <w:sz w:val="22"/>
                <w:szCs w:val="22"/>
              </w:rPr>
            </w:pPr>
            <w:r w:rsidRPr="00296330">
              <w:rPr>
                <w:color w:val="000000"/>
                <w:sz w:val="22"/>
                <w:szCs w:val="22"/>
              </w:rPr>
              <w:t>0.50</w:t>
            </w:r>
          </w:p>
        </w:tc>
        <w:tc>
          <w:tcPr>
            <w:tcW w:w="1049" w:type="dxa"/>
            <w:tcBorders>
              <w:top w:val="nil"/>
              <w:left w:val="nil"/>
              <w:bottom w:val="nil"/>
              <w:right w:val="nil"/>
            </w:tcBorders>
            <w:shd w:val="clear" w:color="auto" w:fill="auto"/>
            <w:noWrap/>
            <w:vAlign w:val="bottom"/>
            <w:hideMark/>
          </w:tcPr>
          <w:p w14:paraId="75E16F94"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648280AB"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7D8EFC5B"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71741FE6"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0EF8A9AD"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16B41DF4" w14:textId="77777777" w:rsidR="00B9640C" w:rsidRPr="00296330" w:rsidRDefault="00B9640C" w:rsidP="00B9640C">
            <w:pPr>
              <w:jc w:val="center"/>
              <w:rPr>
                <w:sz w:val="22"/>
                <w:szCs w:val="22"/>
              </w:rPr>
            </w:pPr>
          </w:p>
        </w:tc>
      </w:tr>
      <w:tr w:rsidR="00B9640C" w:rsidRPr="00296330" w14:paraId="1BDA841F" w14:textId="16EDC58D" w:rsidTr="000660B4">
        <w:trPr>
          <w:trHeight w:val="310"/>
        </w:trPr>
        <w:tc>
          <w:tcPr>
            <w:tcW w:w="1081" w:type="dxa"/>
            <w:tcBorders>
              <w:top w:val="nil"/>
              <w:left w:val="nil"/>
              <w:bottom w:val="nil"/>
              <w:right w:val="nil"/>
            </w:tcBorders>
            <w:shd w:val="clear" w:color="auto" w:fill="auto"/>
            <w:noWrap/>
            <w:vAlign w:val="bottom"/>
            <w:hideMark/>
          </w:tcPr>
          <w:p w14:paraId="230AF9FF"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77256D32" w14:textId="77777777" w:rsidR="00B9640C" w:rsidRPr="00296330" w:rsidRDefault="00B9640C" w:rsidP="00B9640C">
            <w:pPr>
              <w:rPr>
                <w:color w:val="000000"/>
                <w:sz w:val="22"/>
                <w:szCs w:val="22"/>
              </w:rPr>
            </w:pPr>
            <w:r w:rsidRPr="00296330">
              <w:rPr>
                <w:color w:val="000000"/>
                <w:sz w:val="22"/>
                <w:szCs w:val="22"/>
              </w:rPr>
              <w:t>Home-based</w:t>
            </w:r>
          </w:p>
        </w:tc>
        <w:tc>
          <w:tcPr>
            <w:tcW w:w="552" w:type="dxa"/>
            <w:gridSpan w:val="2"/>
            <w:tcBorders>
              <w:top w:val="nil"/>
              <w:left w:val="nil"/>
              <w:bottom w:val="nil"/>
              <w:right w:val="nil"/>
            </w:tcBorders>
            <w:shd w:val="clear" w:color="auto" w:fill="auto"/>
            <w:noWrap/>
            <w:vAlign w:val="bottom"/>
            <w:hideMark/>
          </w:tcPr>
          <w:p w14:paraId="71DB14E4" w14:textId="77777777" w:rsidR="00B9640C" w:rsidRPr="00296330" w:rsidRDefault="00B9640C" w:rsidP="00B9640C">
            <w:pPr>
              <w:jc w:val="right"/>
              <w:rPr>
                <w:color w:val="000000"/>
                <w:sz w:val="22"/>
                <w:szCs w:val="22"/>
              </w:rPr>
            </w:pPr>
            <w:r w:rsidRPr="00296330">
              <w:rPr>
                <w:color w:val="000000"/>
                <w:sz w:val="22"/>
                <w:szCs w:val="22"/>
              </w:rPr>
              <w:t>23</w:t>
            </w:r>
          </w:p>
        </w:tc>
        <w:tc>
          <w:tcPr>
            <w:tcW w:w="601" w:type="dxa"/>
            <w:tcBorders>
              <w:top w:val="nil"/>
              <w:left w:val="nil"/>
              <w:bottom w:val="nil"/>
              <w:right w:val="nil"/>
            </w:tcBorders>
            <w:shd w:val="clear" w:color="auto" w:fill="auto"/>
            <w:noWrap/>
            <w:vAlign w:val="bottom"/>
            <w:hideMark/>
          </w:tcPr>
          <w:p w14:paraId="7CBD673C" w14:textId="77777777" w:rsidR="00B9640C" w:rsidRPr="00296330" w:rsidRDefault="00B9640C" w:rsidP="00B9640C">
            <w:pPr>
              <w:jc w:val="right"/>
              <w:rPr>
                <w:color w:val="000000"/>
                <w:sz w:val="22"/>
                <w:szCs w:val="22"/>
              </w:rPr>
            </w:pPr>
            <w:r w:rsidRPr="00296330">
              <w:rPr>
                <w:color w:val="000000"/>
                <w:sz w:val="22"/>
                <w:szCs w:val="22"/>
              </w:rPr>
              <w:t>0.13</w:t>
            </w:r>
          </w:p>
        </w:tc>
        <w:tc>
          <w:tcPr>
            <w:tcW w:w="605" w:type="dxa"/>
            <w:tcBorders>
              <w:top w:val="nil"/>
              <w:left w:val="nil"/>
              <w:bottom w:val="nil"/>
              <w:right w:val="nil"/>
            </w:tcBorders>
            <w:shd w:val="clear" w:color="auto" w:fill="auto"/>
            <w:noWrap/>
            <w:vAlign w:val="bottom"/>
            <w:hideMark/>
          </w:tcPr>
          <w:p w14:paraId="092E651B" w14:textId="77777777" w:rsidR="00B9640C" w:rsidRPr="00296330" w:rsidRDefault="00B9640C" w:rsidP="00B9640C">
            <w:pPr>
              <w:jc w:val="right"/>
              <w:rPr>
                <w:color w:val="000000"/>
                <w:sz w:val="22"/>
                <w:szCs w:val="22"/>
              </w:rPr>
            </w:pPr>
            <w:r w:rsidRPr="00296330">
              <w:rPr>
                <w:color w:val="000000"/>
                <w:sz w:val="22"/>
                <w:szCs w:val="22"/>
              </w:rPr>
              <w:t>0.34</w:t>
            </w:r>
          </w:p>
        </w:tc>
        <w:tc>
          <w:tcPr>
            <w:tcW w:w="1049" w:type="dxa"/>
            <w:tcBorders>
              <w:top w:val="nil"/>
              <w:left w:val="nil"/>
              <w:bottom w:val="nil"/>
              <w:right w:val="nil"/>
            </w:tcBorders>
            <w:shd w:val="clear" w:color="auto" w:fill="auto"/>
            <w:noWrap/>
            <w:vAlign w:val="bottom"/>
            <w:hideMark/>
          </w:tcPr>
          <w:p w14:paraId="53E97D79"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3F7F5B6E"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13E367F3"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161798B7"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224A6A3E"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3AC076A2" w14:textId="77777777" w:rsidR="00B9640C" w:rsidRPr="00296330" w:rsidRDefault="00B9640C" w:rsidP="00B9640C">
            <w:pPr>
              <w:jc w:val="center"/>
              <w:rPr>
                <w:sz w:val="22"/>
                <w:szCs w:val="22"/>
              </w:rPr>
            </w:pPr>
          </w:p>
        </w:tc>
      </w:tr>
      <w:tr w:rsidR="00B9640C" w:rsidRPr="00296330" w14:paraId="09298BCE" w14:textId="0493F87A" w:rsidTr="000660B4">
        <w:trPr>
          <w:trHeight w:val="310"/>
        </w:trPr>
        <w:tc>
          <w:tcPr>
            <w:tcW w:w="3313" w:type="dxa"/>
            <w:gridSpan w:val="2"/>
            <w:tcBorders>
              <w:top w:val="nil"/>
              <w:left w:val="nil"/>
              <w:bottom w:val="nil"/>
              <w:right w:val="nil"/>
            </w:tcBorders>
            <w:shd w:val="clear" w:color="auto" w:fill="auto"/>
            <w:noWrap/>
            <w:vAlign w:val="bottom"/>
            <w:hideMark/>
          </w:tcPr>
          <w:p w14:paraId="3603CCDC" w14:textId="132C0F50" w:rsidR="00B9640C" w:rsidRPr="00296330" w:rsidRDefault="00B9640C" w:rsidP="00B9640C">
            <w:pPr>
              <w:rPr>
                <w:b/>
                <w:bCs/>
                <w:color w:val="000000"/>
                <w:sz w:val="22"/>
                <w:szCs w:val="22"/>
              </w:rPr>
            </w:pPr>
            <w:r w:rsidRPr="00296330">
              <w:rPr>
                <w:b/>
                <w:bCs/>
                <w:color w:val="000000"/>
                <w:sz w:val="22"/>
                <w:szCs w:val="22"/>
              </w:rPr>
              <w:t>Funding</w:t>
            </w:r>
          </w:p>
        </w:tc>
        <w:tc>
          <w:tcPr>
            <w:tcW w:w="552" w:type="dxa"/>
            <w:gridSpan w:val="2"/>
            <w:tcBorders>
              <w:top w:val="nil"/>
              <w:left w:val="nil"/>
              <w:bottom w:val="nil"/>
              <w:right w:val="nil"/>
            </w:tcBorders>
            <w:shd w:val="clear" w:color="auto" w:fill="auto"/>
            <w:noWrap/>
            <w:vAlign w:val="bottom"/>
            <w:hideMark/>
          </w:tcPr>
          <w:p w14:paraId="4AD6F6C1"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33C513FE"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2A9CD4DC"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5D9ED0BD" w14:textId="77777777" w:rsidR="00B9640C" w:rsidRPr="00296330" w:rsidRDefault="00B9640C" w:rsidP="00B9640C">
            <w:pPr>
              <w:rPr>
                <w:color w:val="000000"/>
                <w:sz w:val="22"/>
                <w:szCs w:val="22"/>
              </w:rPr>
            </w:pPr>
            <w:r w:rsidRPr="00296330">
              <w:rPr>
                <w:color w:val="000000"/>
                <w:sz w:val="22"/>
                <w:szCs w:val="22"/>
              </w:rPr>
              <w:t>Between</w:t>
            </w:r>
          </w:p>
        </w:tc>
        <w:tc>
          <w:tcPr>
            <w:tcW w:w="995" w:type="dxa"/>
            <w:tcBorders>
              <w:top w:val="nil"/>
              <w:left w:val="nil"/>
              <w:bottom w:val="nil"/>
              <w:right w:val="nil"/>
            </w:tcBorders>
            <w:shd w:val="clear" w:color="auto" w:fill="auto"/>
            <w:noWrap/>
            <w:vAlign w:val="center"/>
            <w:hideMark/>
          </w:tcPr>
          <w:p w14:paraId="30BAD42E" w14:textId="77777777" w:rsidR="00B9640C" w:rsidRPr="00296330" w:rsidRDefault="00B9640C" w:rsidP="00B9640C">
            <w:pPr>
              <w:jc w:val="center"/>
              <w:rPr>
                <w:color w:val="000000"/>
                <w:sz w:val="22"/>
                <w:szCs w:val="22"/>
              </w:rPr>
            </w:pPr>
            <w:r w:rsidRPr="00296330">
              <w:rPr>
                <w:color w:val="000000"/>
                <w:sz w:val="22"/>
                <w:szCs w:val="22"/>
              </w:rPr>
              <w:t>6.51</w:t>
            </w:r>
          </w:p>
        </w:tc>
        <w:tc>
          <w:tcPr>
            <w:tcW w:w="601" w:type="dxa"/>
            <w:tcBorders>
              <w:top w:val="nil"/>
              <w:left w:val="nil"/>
              <w:bottom w:val="nil"/>
              <w:right w:val="nil"/>
            </w:tcBorders>
            <w:shd w:val="clear" w:color="auto" w:fill="auto"/>
            <w:noWrap/>
            <w:vAlign w:val="center"/>
            <w:hideMark/>
          </w:tcPr>
          <w:p w14:paraId="0A6AA34F" w14:textId="77777777" w:rsidR="00B9640C" w:rsidRPr="00296330" w:rsidRDefault="00B9640C" w:rsidP="00B9640C">
            <w:pPr>
              <w:jc w:val="center"/>
              <w:rPr>
                <w:color w:val="000000"/>
                <w:sz w:val="22"/>
                <w:szCs w:val="22"/>
              </w:rPr>
            </w:pPr>
            <w:r w:rsidRPr="00296330">
              <w:rPr>
                <w:color w:val="000000"/>
                <w:sz w:val="22"/>
                <w:szCs w:val="22"/>
              </w:rPr>
              <w:t>2</w:t>
            </w:r>
          </w:p>
        </w:tc>
        <w:tc>
          <w:tcPr>
            <w:tcW w:w="1096" w:type="dxa"/>
            <w:tcBorders>
              <w:top w:val="nil"/>
              <w:left w:val="nil"/>
              <w:bottom w:val="nil"/>
              <w:right w:val="nil"/>
            </w:tcBorders>
            <w:shd w:val="clear" w:color="auto" w:fill="auto"/>
            <w:noWrap/>
            <w:vAlign w:val="center"/>
            <w:hideMark/>
          </w:tcPr>
          <w:p w14:paraId="3807C2D3" w14:textId="77777777" w:rsidR="00B9640C" w:rsidRPr="00296330" w:rsidRDefault="00B9640C" w:rsidP="00B9640C">
            <w:pPr>
              <w:jc w:val="center"/>
              <w:rPr>
                <w:color w:val="000000"/>
                <w:sz w:val="22"/>
                <w:szCs w:val="22"/>
              </w:rPr>
            </w:pPr>
            <w:r w:rsidRPr="00296330">
              <w:rPr>
                <w:color w:val="000000"/>
                <w:sz w:val="22"/>
                <w:szCs w:val="22"/>
              </w:rPr>
              <w:t>3.26</w:t>
            </w:r>
          </w:p>
        </w:tc>
        <w:tc>
          <w:tcPr>
            <w:tcW w:w="1041" w:type="dxa"/>
            <w:tcBorders>
              <w:top w:val="nil"/>
              <w:left w:val="nil"/>
              <w:bottom w:val="nil"/>
              <w:right w:val="nil"/>
            </w:tcBorders>
            <w:shd w:val="clear" w:color="auto" w:fill="auto"/>
            <w:noWrap/>
            <w:vAlign w:val="center"/>
            <w:hideMark/>
          </w:tcPr>
          <w:p w14:paraId="1CC9EA2D" w14:textId="77777777" w:rsidR="00B9640C" w:rsidRPr="00296330" w:rsidRDefault="00B9640C" w:rsidP="00B9640C">
            <w:pPr>
              <w:jc w:val="center"/>
              <w:rPr>
                <w:color w:val="000000"/>
                <w:sz w:val="22"/>
                <w:szCs w:val="22"/>
              </w:rPr>
            </w:pPr>
            <w:r w:rsidRPr="00296330">
              <w:rPr>
                <w:color w:val="000000"/>
                <w:sz w:val="22"/>
                <w:szCs w:val="22"/>
              </w:rPr>
              <w:t>3.00*</w:t>
            </w:r>
          </w:p>
        </w:tc>
        <w:tc>
          <w:tcPr>
            <w:tcW w:w="774" w:type="dxa"/>
            <w:tcBorders>
              <w:top w:val="nil"/>
              <w:left w:val="nil"/>
              <w:bottom w:val="nil"/>
              <w:right w:val="nil"/>
            </w:tcBorders>
          </w:tcPr>
          <w:p w14:paraId="3BB008B5" w14:textId="2E5C7D33" w:rsidR="00B9640C" w:rsidRPr="00296330" w:rsidRDefault="00B9640C" w:rsidP="00B9640C">
            <w:pPr>
              <w:jc w:val="center"/>
              <w:rPr>
                <w:color w:val="000000"/>
                <w:sz w:val="22"/>
                <w:szCs w:val="22"/>
              </w:rPr>
            </w:pPr>
            <w:r>
              <w:rPr>
                <w:color w:val="000000"/>
                <w:sz w:val="22"/>
                <w:szCs w:val="22"/>
              </w:rPr>
              <w:t>0.040</w:t>
            </w:r>
          </w:p>
        </w:tc>
      </w:tr>
      <w:tr w:rsidR="00B9640C" w:rsidRPr="00296330" w14:paraId="1BAE6EFF" w14:textId="6B4ADDEB" w:rsidTr="000660B4">
        <w:trPr>
          <w:trHeight w:val="310"/>
        </w:trPr>
        <w:tc>
          <w:tcPr>
            <w:tcW w:w="1081" w:type="dxa"/>
            <w:tcBorders>
              <w:top w:val="nil"/>
              <w:left w:val="nil"/>
              <w:bottom w:val="nil"/>
              <w:right w:val="nil"/>
            </w:tcBorders>
            <w:shd w:val="clear" w:color="auto" w:fill="auto"/>
            <w:noWrap/>
            <w:vAlign w:val="bottom"/>
            <w:hideMark/>
          </w:tcPr>
          <w:p w14:paraId="19E50DF1" w14:textId="77777777" w:rsidR="00B9640C" w:rsidRPr="00296330" w:rsidRDefault="00B9640C" w:rsidP="00B9640C">
            <w:pPr>
              <w:rPr>
                <w:color w:val="000000"/>
                <w:sz w:val="22"/>
                <w:szCs w:val="22"/>
              </w:rPr>
            </w:pPr>
          </w:p>
        </w:tc>
        <w:tc>
          <w:tcPr>
            <w:tcW w:w="2232" w:type="dxa"/>
            <w:tcBorders>
              <w:top w:val="nil"/>
              <w:left w:val="nil"/>
              <w:bottom w:val="nil"/>
              <w:right w:val="nil"/>
            </w:tcBorders>
            <w:shd w:val="clear" w:color="auto" w:fill="auto"/>
            <w:noWrap/>
            <w:vAlign w:val="bottom"/>
            <w:hideMark/>
          </w:tcPr>
          <w:p w14:paraId="0354A18F" w14:textId="77777777" w:rsidR="00B9640C" w:rsidRPr="00296330" w:rsidRDefault="00B9640C" w:rsidP="00B9640C">
            <w:pPr>
              <w:rPr>
                <w:sz w:val="22"/>
                <w:szCs w:val="22"/>
              </w:rPr>
            </w:pPr>
          </w:p>
        </w:tc>
        <w:tc>
          <w:tcPr>
            <w:tcW w:w="552" w:type="dxa"/>
            <w:gridSpan w:val="2"/>
            <w:tcBorders>
              <w:top w:val="nil"/>
              <w:left w:val="nil"/>
              <w:bottom w:val="nil"/>
              <w:right w:val="nil"/>
            </w:tcBorders>
            <w:shd w:val="clear" w:color="auto" w:fill="auto"/>
            <w:noWrap/>
            <w:vAlign w:val="bottom"/>
            <w:hideMark/>
          </w:tcPr>
          <w:p w14:paraId="60C6979B"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3DB2F90A"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1608DC69"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6CFC7192" w14:textId="77777777" w:rsidR="00B9640C" w:rsidRPr="00296330" w:rsidRDefault="00B9640C" w:rsidP="00B9640C">
            <w:pPr>
              <w:rPr>
                <w:color w:val="000000"/>
                <w:sz w:val="22"/>
                <w:szCs w:val="22"/>
              </w:rPr>
            </w:pPr>
            <w:r w:rsidRPr="00296330">
              <w:rPr>
                <w:color w:val="000000"/>
                <w:sz w:val="22"/>
                <w:szCs w:val="22"/>
              </w:rPr>
              <w:t>Within</w:t>
            </w:r>
          </w:p>
        </w:tc>
        <w:tc>
          <w:tcPr>
            <w:tcW w:w="995" w:type="dxa"/>
            <w:tcBorders>
              <w:top w:val="nil"/>
              <w:left w:val="nil"/>
              <w:bottom w:val="nil"/>
              <w:right w:val="nil"/>
            </w:tcBorders>
            <w:shd w:val="clear" w:color="auto" w:fill="auto"/>
            <w:noWrap/>
            <w:vAlign w:val="center"/>
            <w:hideMark/>
          </w:tcPr>
          <w:p w14:paraId="2B9DEE8B" w14:textId="77777777" w:rsidR="00B9640C" w:rsidRPr="00296330" w:rsidRDefault="00B9640C" w:rsidP="00B9640C">
            <w:pPr>
              <w:jc w:val="center"/>
              <w:rPr>
                <w:color w:val="000000"/>
                <w:sz w:val="22"/>
                <w:szCs w:val="22"/>
              </w:rPr>
            </w:pPr>
            <w:r w:rsidRPr="00296330">
              <w:rPr>
                <w:color w:val="000000"/>
                <w:sz w:val="22"/>
                <w:szCs w:val="22"/>
              </w:rPr>
              <w:t>155.25</w:t>
            </w:r>
          </w:p>
        </w:tc>
        <w:tc>
          <w:tcPr>
            <w:tcW w:w="601" w:type="dxa"/>
            <w:tcBorders>
              <w:top w:val="nil"/>
              <w:left w:val="nil"/>
              <w:bottom w:val="nil"/>
              <w:right w:val="nil"/>
            </w:tcBorders>
            <w:shd w:val="clear" w:color="auto" w:fill="auto"/>
            <w:noWrap/>
            <w:vAlign w:val="center"/>
            <w:hideMark/>
          </w:tcPr>
          <w:p w14:paraId="64D511C0" w14:textId="77777777" w:rsidR="00B9640C" w:rsidRPr="00296330" w:rsidRDefault="00B9640C" w:rsidP="00B9640C">
            <w:pPr>
              <w:jc w:val="center"/>
              <w:rPr>
                <w:color w:val="000000"/>
                <w:sz w:val="22"/>
                <w:szCs w:val="22"/>
              </w:rPr>
            </w:pPr>
            <w:r w:rsidRPr="00296330">
              <w:rPr>
                <w:color w:val="000000"/>
                <w:sz w:val="22"/>
                <w:szCs w:val="22"/>
              </w:rPr>
              <w:t>143</w:t>
            </w:r>
          </w:p>
        </w:tc>
        <w:tc>
          <w:tcPr>
            <w:tcW w:w="1096" w:type="dxa"/>
            <w:tcBorders>
              <w:top w:val="nil"/>
              <w:left w:val="nil"/>
              <w:bottom w:val="nil"/>
              <w:right w:val="nil"/>
            </w:tcBorders>
            <w:shd w:val="clear" w:color="auto" w:fill="auto"/>
            <w:noWrap/>
            <w:vAlign w:val="center"/>
            <w:hideMark/>
          </w:tcPr>
          <w:p w14:paraId="5D16E8FC" w14:textId="77777777" w:rsidR="00B9640C" w:rsidRPr="00296330" w:rsidRDefault="00B9640C" w:rsidP="00B9640C">
            <w:pPr>
              <w:jc w:val="center"/>
              <w:rPr>
                <w:color w:val="000000"/>
                <w:sz w:val="22"/>
                <w:szCs w:val="22"/>
              </w:rPr>
            </w:pPr>
            <w:r w:rsidRPr="00296330">
              <w:rPr>
                <w:color w:val="000000"/>
                <w:sz w:val="22"/>
                <w:szCs w:val="22"/>
              </w:rPr>
              <w:t>1.09</w:t>
            </w:r>
          </w:p>
        </w:tc>
        <w:tc>
          <w:tcPr>
            <w:tcW w:w="1041" w:type="dxa"/>
            <w:tcBorders>
              <w:top w:val="nil"/>
              <w:left w:val="nil"/>
              <w:bottom w:val="nil"/>
              <w:right w:val="nil"/>
            </w:tcBorders>
            <w:shd w:val="clear" w:color="auto" w:fill="auto"/>
            <w:noWrap/>
            <w:vAlign w:val="center"/>
            <w:hideMark/>
          </w:tcPr>
          <w:p w14:paraId="52F4FD83" w14:textId="77777777" w:rsidR="00B9640C" w:rsidRPr="00296330" w:rsidRDefault="00B9640C" w:rsidP="00B9640C">
            <w:pPr>
              <w:jc w:val="center"/>
              <w:rPr>
                <w:color w:val="000000"/>
                <w:sz w:val="22"/>
                <w:szCs w:val="22"/>
              </w:rPr>
            </w:pPr>
          </w:p>
        </w:tc>
        <w:tc>
          <w:tcPr>
            <w:tcW w:w="774" w:type="dxa"/>
            <w:tcBorders>
              <w:top w:val="nil"/>
              <w:left w:val="nil"/>
              <w:bottom w:val="nil"/>
              <w:right w:val="nil"/>
            </w:tcBorders>
          </w:tcPr>
          <w:p w14:paraId="32307C3B" w14:textId="77777777" w:rsidR="00B9640C" w:rsidRPr="00296330" w:rsidRDefault="00B9640C" w:rsidP="00B9640C">
            <w:pPr>
              <w:jc w:val="center"/>
              <w:rPr>
                <w:color w:val="000000"/>
                <w:sz w:val="22"/>
                <w:szCs w:val="22"/>
              </w:rPr>
            </w:pPr>
          </w:p>
        </w:tc>
      </w:tr>
      <w:tr w:rsidR="00B9640C" w:rsidRPr="00296330" w14:paraId="5961AAFC" w14:textId="091AA0A7" w:rsidTr="000660B4">
        <w:trPr>
          <w:trHeight w:val="310"/>
        </w:trPr>
        <w:tc>
          <w:tcPr>
            <w:tcW w:w="1081" w:type="dxa"/>
            <w:tcBorders>
              <w:top w:val="nil"/>
              <w:left w:val="nil"/>
              <w:bottom w:val="nil"/>
              <w:right w:val="nil"/>
            </w:tcBorders>
            <w:shd w:val="clear" w:color="auto" w:fill="auto"/>
            <w:noWrap/>
            <w:vAlign w:val="bottom"/>
            <w:hideMark/>
          </w:tcPr>
          <w:p w14:paraId="0DE4EF67"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22C0EFD4" w14:textId="77777777" w:rsidR="00B9640C" w:rsidRPr="00296330" w:rsidRDefault="00B9640C" w:rsidP="00B9640C">
            <w:pPr>
              <w:rPr>
                <w:color w:val="000000"/>
                <w:sz w:val="22"/>
                <w:szCs w:val="22"/>
              </w:rPr>
            </w:pPr>
            <w:r w:rsidRPr="00296330">
              <w:rPr>
                <w:color w:val="000000"/>
                <w:sz w:val="22"/>
                <w:szCs w:val="22"/>
              </w:rPr>
              <w:t>Accept No Tuition</w:t>
            </w:r>
          </w:p>
        </w:tc>
        <w:tc>
          <w:tcPr>
            <w:tcW w:w="552" w:type="dxa"/>
            <w:gridSpan w:val="2"/>
            <w:tcBorders>
              <w:top w:val="nil"/>
              <w:left w:val="nil"/>
              <w:bottom w:val="nil"/>
              <w:right w:val="nil"/>
            </w:tcBorders>
            <w:shd w:val="clear" w:color="auto" w:fill="auto"/>
            <w:noWrap/>
            <w:vAlign w:val="bottom"/>
            <w:hideMark/>
          </w:tcPr>
          <w:p w14:paraId="5EBD4E56" w14:textId="77777777" w:rsidR="00B9640C" w:rsidRPr="00296330" w:rsidRDefault="00B9640C" w:rsidP="00B9640C">
            <w:pPr>
              <w:jc w:val="right"/>
              <w:rPr>
                <w:color w:val="000000"/>
                <w:sz w:val="22"/>
                <w:szCs w:val="22"/>
              </w:rPr>
            </w:pPr>
            <w:r w:rsidRPr="00296330">
              <w:rPr>
                <w:color w:val="000000"/>
                <w:sz w:val="22"/>
                <w:szCs w:val="22"/>
              </w:rPr>
              <w:t>53</w:t>
            </w:r>
          </w:p>
        </w:tc>
        <w:tc>
          <w:tcPr>
            <w:tcW w:w="601" w:type="dxa"/>
            <w:tcBorders>
              <w:top w:val="nil"/>
              <w:left w:val="nil"/>
              <w:bottom w:val="nil"/>
              <w:right w:val="nil"/>
            </w:tcBorders>
            <w:shd w:val="clear" w:color="auto" w:fill="auto"/>
            <w:noWrap/>
            <w:vAlign w:val="bottom"/>
            <w:hideMark/>
          </w:tcPr>
          <w:p w14:paraId="1F732D89" w14:textId="77777777" w:rsidR="00B9640C" w:rsidRPr="00296330" w:rsidRDefault="00B9640C" w:rsidP="00B9640C">
            <w:pPr>
              <w:jc w:val="right"/>
              <w:rPr>
                <w:color w:val="000000"/>
                <w:sz w:val="22"/>
                <w:szCs w:val="22"/>
              </w:rPr>
            </w:pPr>
            <w:r w:rsidRPr="00296330">
              <w:rPr>
                <w:color w:val="000000"/>
                <w:sz w:val="22"/>
                <w:szCs w:val="22"/>
              </w:rPr>
              <w:t>0.87</w:t>
            </w:r>
          </w:p>
        </w:tc>
        <w:tc>
          <w:tcPr>
            <w:tcW w:w="605" w:type="dxa"/>
            <w:tcBorders>
              <w:top w:val="nil"/>
              <w:left w:val="nil"/>
              <w:bottom w:val="nil"/>
              <w:right w:val="nil"/>
            </w:tcBorders>
            <w:shd w:val="clear" w:color="auto" w:fill="auto"/>
            <w:noWrap/>
            <w:vAlign w:val="bottom"/>
            <w:hideMark/>
          </w:tcPr>
          <w:p w14:paraId="20A690A7" w14:textId="77777777" w:rsidR="00B9640C" w:rsidRPr="00296330" w:rsidRDefault="00B9640C" w:rsidP="00B9640C">
            <w:pPr>
              <w:jc w:val="right"/>
              <w:rPr>
                <w:color w:val="000000"/>
                <w:sz w:val="22"/>
                <w:szCs w:val="22"/>
              </w:rPr>
            </w:pPr>
            <w:r w:rsidRPr="00296330">
              <w:rPr>
                <w:color w:val="000000"/>
                <w:sz w:val="22"/>
                <w:szCs w:val="22"/>
              </w:rPr>
              <w:t>1.29</w:t>
            </w:r>
          </w:p>
        </w:tc>
        <w:tc>
          <w:tcPr>
            <w:tcW w:w="1049" w:type="dxa"/>
            <w:tcBorders>
              <w:top w:val="nil"/>
              <w:left w:val="nil"/>
              <w:bottom w:val="nil"/>
              <w:right w:val="nil"/>
            </w:tcBorders>
            <w:shd w:val="clear" w:color="auto" w:fill="auto"/>
            <w:noWrap/>
            <w:vAlign w:val="bottom"/>
            <w:hideMark/>
          </w:tcPr>
          <w:p w14:paraId="31080CC4"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1CDE9A97"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22DD4F1A"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1F304D6C"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1B16EBD3"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5D91E981" w14:textId="77777777" w:rsidR="00B9640C" w:rsidRPr="00296330" w:rsidRDefault="00B9640C" w:rsidP="00B9640C">
            <w:pPr>
              <w:jc w:val="center"/>
              <w:rPr>
                <w:sz w:val="22"/>
                <w:szCs w:val="22"/>
              </w:rPr>
            </w:pPr>
          </w:p>
        </w:tc>
      </w:tr>
      <w:tr w:rsidR="00B9640C" w:rsidRPr="00296330" w14:paraId="26471B7A" w14:textId="41B7D49A" w:rsidTr="000660B4">
        <w:trPr>
          <w:trHeight w:val="310"/>
        </w:trPr>
        <w:tc>
          <w:tcPr>
            <w:tcW w:w="1081" w:type="dxa"/>
            <w:tcBorders>
              <w:top w:val="nil"/>
              <w:left w:val="nil"/>
              <w:bottom w:val="nil"/>
              <w:right w:val="nil"/>
            </w:tcBorders>
            <w:shd w:val="clear" w:color="auto" w:fill="auto"/>
            <w:noWrap/>
            <w:vAlign w:val="bottom"/>
            <w:hideMark/>
          </w:tcPr>
          <w:p w14:paraId="12E95B45"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1D5F11C1" w14:textId="77777777" w:rsidR="00B9640C" w:rsidRPr="00296330" w:rsidRDefault="00B9640C" w:rsidP="00B9640C">
            <w:pPr>
              <w:rPr>
                <w:color w:val="000000"/>
                <w:sz w:val="22"/>
                <w:szCs w:val="22"/>
              </w:rPr>
            </w:pPr>
            <w:r w:rsidRPr="00296330">
              <w:rPr>
                <w:color w:val="000000"/>
                <w:sz w:val="22"/>
                <w:szCs w:val="22"/>
              </w:rPr>
              <w:t>Partial Private Pay</w:t>
            </w:r>
          </w:p>
        </w:tc>
        <w:tc>
          <w:tcPr>
            <w:tcW w:w="552" w:type="dxa"/>
            <w:gridSpan w:val="2"/>
            <w:tcBorders>
              <w:top w:val="nil"/>
              <w:left w:val="nil"/>
              <w:bottom w:val="nil"/>
              <w:right w:val="nil"/>
            </w:tcBorders>
            <w:shd w:val="clear" w:color="auto" w:fill="auto"/>
            <w:noWrap/>
            <w:vAlign w:val="bottom"/>
            <w:hideMark/>
          </w:tcPr>
          <w:p w14:paraId="6338C89E" w14:textId="77777777" w:rsidR="00B9640C" w:rsidRPr="00296330" w:rsidRDefault="00B9640C" w:rsidP="00B9640C">
            <w:pPr>
              <w:jc w:val="right"/>
              <w:rPr>
                <w:color w:val="000000"/>
                <w:sz w:val="22"/>
                <w:szCs w:val="22"/>
              </w:rPr>
            </w:pPr>
            <w:r w:rsidRPr="00296330">
              <w:rPr>
                <w:color w:val="000000"/>
                <w:sz w:val="22"/>
                <w:szCs w:val="22"/>
              </w:rPr>
              <w:t>74</w:t>
            </w:r>
          </w:p>
        </w:tc>
        <w:tc>
          <w:tcPr>
            <w:tcW w:w="601" w:type="dxa"/>
            <w:tcBorders>
              <w:top w:val="nil"/>
              <w:left w:val="nil"/>
              <w:bottom w:val="nil"/>
              <w:right w:val="nil"/>
            </w:tcBorders>
            <w:shd w:val="clear" w:color="auto" w:fill="auto"/>
            <w:noWrap/>
            <w:vAlign w:val="bottom"/>
            <w:hideMark/>
          </w:tcPr>
          <w:p w14:paraId="14753562" w14:textId="77777777" w:rsidR="00B9640C" w:rsidRPr="00296330" w:rsidRDefault="00B9640C" w:rsidP="00B9640C">
            <w:pPr>
              <w:jc w:val="right"/>
              <w:rPr>
                <w:color w:val="000000"/>
                <w:sz w:val="22"/>
                <w:szCs w:val="22"/>
              </w:rPr>
            </w:pPr>
            <w:r w:rsidRPr="00296330">
              <w:rPr>
                <w:color w:val="000000"/>
                <w:sz w:val="22"/>
                <w:szCs w:val="22"/>
              </w:rPr>
              <w:t>0.58</w:t>
            </w:r>
          </w:p>
        </w:tc>
        <w:tc>
          <w:tcPr>
            <w:tcW w:w="605" w:type="dxa"/>
            <w:tcBorders>
              <w:top w:val="nil"/>
              <w:left w:val="nil"/>
              <w:bottom w:val="nil"/>
              <w:right w:val="nil"/>
            </w:tcBorders>
            <w:shd w:val="clear" w:color="auto" w:fill="auto"/>
            <w:noWrap/>
            <w:vAlign w:val="bottom"/>
            <w:hideMark/>
          </w:tcPr>
          <w:p w14:paraId="6F8DBE3A" w14:textId="77777777" w:rsidR="00B9640C" w:rsidRPr="00296330" w:rsidRDefault="00B9640C" w:rsidP="00B9640C">
            <w:pPr>
              <w:jc w:val="right"/>
              <w:rPr>
                <w:color w:val="000000"/>
                <w:sz w:val="22"/>
                <w:szCs w:val="22"/>
              </w:rPr>
            </w:pPr>
            <w:r w:rsidRPr="00296330">
              <w:rPr>
                <w:color w:val="000000"/>
                <w:sz w:val="22"/>
                <w:szCs w:val="22"/>
              </w:rPr>
              <w:t>0.94</w:t>
            </w:r>
          </w:p>
        </w:tc>
        <w:tc>
          <w:tcPr>
            <w:tcW w:w="1049" w:type="dxa"/>
            <w:tcBorders>
              <w:top w:val="nil"/>
              <w:left w:val="nil"/>
              <w:bottom w:val="nil"/>
              <w:right w:val="nil"/>
            </w:tcBorders>
            <w:shd w:val="clear" w:color="auto" w:fill="auto"/>
            <w:noWrap/>
            <w:vAlign w:val="bottom"/>
            <w:hideMark/>
          </w:tcPr>
          <w:p w14:paraId="2BC797CE"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2317807F"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57A946A0"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140754B3"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78491211"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4463F083" w14:textId="77777777" w:rsidR="00B9640C" w:rsidRPr="00296330" w:rsidRDefault="00B9640C" w:rsidP="00B9640C">
            <w:pPr>
              <w:jc w:val="center"/>
              <w:rPr>
                <w:sz w:val="22"/>
                <w:szCs w:val="22"/>
              </w:rPr>
            </w:pPr>
          </w:p>
        </w:tc>
      </w:tr>
      <w:tr w:rsidR="00B9640C" w:rsidRPr="00296330" w14:paraId="648424F3" w14:textId="490E9FE4" w:rsidTr="000660B4">
        <w:trPr>
          <w:trHeight w:val="310"/>
        </w:trPr>
        <w:tc>
          <w:tcPr>
            <w:tcW w:w="1081" w:type="dxa"/>
            <w:tcBorders>
              <w:top w:val="nil"/>
              <w:left w:val="nil"/>
              <w:bottom w:val="nil"/>
              <w:right w:val="nil"/>
            </w:tcBorders>
            <w:shd w:val="clear" w:color="auto" w:fill="auto"/>
            <w:noWrap/>
            <w:vAlign w:val="bottom"/>
            <w:hideMark/>
          </w:tcPr>
          <w:p w14:paraId="10F5D032"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4140BC78" w14:textId="77777777" w:rsidR="00B9640C" w:rsidRPr="00296330" w:rsidRDefault="00B9640C" w:rsidP="00B9640C">
            <w:pPr>
              <w:rPr>
                <w:color w:val="000000"/>
                <w:sz w:val="22"/>
                <w:szCs w:val="22"/>
              </w:rPr>
            </w:pPr>
            <w:r w:rsidRPr="00296330">
              <w:rPr>
                <w:color w:val="000000"/>
                <w:sz w:val="22"/>
                <w:szCs w:val="22"/>
              </w:rPr>
              <w:t>All Tuition</w:t>
            </w:r>
          </w:p>
        </w:tc>
        <w:tc>
          <w:tcPr>
            <w:tcW w:w="552" w:type="dxa"/>
            <w:gridSpan w:val="2"/>
            <w:tcBorders>
              <w:top w:val="nil"/>
              <w:left w:val="nil"/>
              <w:bottom w:val="nil"/>
              <w:right w:val="nil"/>
            </w:tcBorders>
            <w:shd w:val="clear" w:color="auto" w:fill="auto"/>
            <w:noWrap/>
            <w:vAlign w:val="bottom"/>
            <w:hideMark/>
          </w:tcPr>
          <w:p w14:paraId="6B8B2B2C" w14:textId="77777777" w:rsidR="00B9640C" w:rsidRPr="00296330" w:rsidRDefault="00B9640C" w:rsidP="00B9640C">
            <w:pPr>
              <w:jc w:val="right"/>
              <w:rPr>
                <w:color w:val="000000"/>
                <w:sz w:val="22"/>
                <w:szCs w:val="22"/>
              </w:rPr>
            </w:pPr>
            <w:r w:rsidRPr="00296330">
              <w:rPr>
                <w:color w:val="000000"/>
                <w:sz w:val="22"/>
                <w:szCs w:val="22"/>
              </w:rPr>
              <w:t>19</w:t>
            </w:r>
          </w:p>
        </w:tc>
        <w:tc>
          <w:tcPr>
            <w:tcW w:w="601" w:type="dxa"/>
            <w:tcBorders>
              <w:top w:val="nil"/>
              <w:left w:val="nil"/>
              <w:bottom w:val="nil"/>
              <w:right w:val="nil"/>
            </w:tcBorders>
            <w:shd w:val="clear" w:color="auto" w:fill="auto"/>
            <w:noWrap/>
            <w:vAlign w:val="bottom"/>
            <w:hideMark/>
          </w:tcPr>
          <w:p w14:paraId="5504202F" w14:textId="77777777" w:rsidR="00B9640C" w:rsidRPr="00296330" w:rsidRDefault="00B9640C" w:rsidP="00B9640C">
            <w:pPr>
              <w:jc w:val="right"/>
              <w:rPr>
                <w:color w:val="000000"/>
                <w:sz w:val="22"/>
                <w:szCs w:val="22"/>
              </w:rPr>
            </w:pPr>
            <w:r w:rsidRPr="00296330">
              <w:rPr>
                <w:color w:val="000000"/>
                <w:sz w:val="22"/>
                <w:szCs w:val="22"/>
              </w:rPr>
              <w:t>0.21</w:t>
            </w:r>
          </w:p>
        </w:tc>
        <w:tc>
          <w:tcPr>
            <w:tcW w:w="605" w:type="dxa"/>
            <w:tcBorders>
              <w:top w:val="nil"/>
              <w:left w:val="nil"/>
              <w:bottom w:val="nil"/>
              <w:right w:val="nil"/>
            </w:tcBorders>
            <w:shd w:val="clear" w:color="auto" w:fill="auto"/>
            <w:noWrap/>
            <w:vAlign w:val="bottom"/>
            <w:hideMark/>
          </w:tcPr>
          <w:p w14:paraId="1A5385D1" w14:textId="77777777" w:rsidR="00B9640C" w:rsidRPr="00296330" w:rsidRDefault="00B9640C" w:rsidP="00B9640C">
            <w:pPr>
              <w:jc w:val="right"/>
              <w:rPr>
                <w:color w:val="000000"/>
                <w:sz w:val="22"/>
                <w:szCs w:val="22"/>
              </w:rPr>
            </w:pPr>
            <w:r w:rsidRPr="00296330">
              <w:rPr>
                <w:color w:val="000000"/>
                <w:sz w:val="22"/>
                <w:szCs w:val="22"/>
              </w:rPr>
              <w:t>0.54</w:t>
            </w:r>
          </w:p>
        </w:tc>
        <w:tc>
          <w:tcPr>
            <w:tcW w:w="1049" w:type="dxa"/>
            <w:tcBorders>
              <w:top w:val="nil"/>
              <w:left w:val="nil"/>
              <w:bottom w:val="nil"/>
              <w:right w:val="nil"/>
            </w:tcBorders>
            <w:shd w:val="clear" w:color="auto" w:fill="auto"/>
            <w:noWrap/>
            <w:vAlign w:val="bottom"/>
            <w:hideMark/>
          </w:tcPr>
          <w:p w14:paraId="11415522"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126BA14B"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4617669B"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0AC8102B"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3820FC84"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5118C08C" w14:textId="77777777" w:rsidR="00B9640C" w:rsidRPr="00296330" w:rsidRDefault="00B9640C" w:rsidP="00B9640C">
            <w:pPr>
              <w:jc w:val="center"/>
              <w:rPr>
                <w:sz w:val="22"/>
                <w:szCs w:val="22"/>
              </w:rPr>
            </w:pPr>
          </w:p>
        </w:tc>
      </w:tr>
      <w:tr w:rsidR="00B9640C" w:rsidRPr="00296330" w14:paraId="7E23D740" w14:textId="3D9FA914" w:rsidTr="000660B4">
        <w:trPr>
          <w:trHeight w:val="310"/>
        </w:trPr>
        <w:tc>
          <w:tcPr>
            <w:tcW w:w="1081" w:type="dxa"/>
            <w:tcBorders>
              <w:top w:val="nil"/>
              <w:left w:val="nil"/>
              <w:bottom w:val="nil"/>
              <w:right w:val="nil"/>
            </w:tcBorders>
            <w:shd w:val="clear" w:color="auto" w:fill="auto"/>
            <w:noWrap/>
            <w:vAlign w:val="bottom"/>
            <w:hideMark/>
          </w:tcPr>
          <w:p w14:paraId="3C8A65AE" w14:textId="77777777" w:rsidR="00B9640C" w:rsidRPr="00296330" w:rsidRDefault="00B9640C" w:rsidP="00B9640C">
            <w:pPr>
              <w:rPr>
                <w:b/>
                <w:bCs/>
                <w:color w:val="000000"/>
                <w:sz w:val="22"/>
                <w:szCs w:val="22"/>
              </w:rPr>
            </w:pPr>
            <w:r w:rsidRPr="00296330">
              <w:rPr>
                <w:b/>
                <w:bCs/>
                <w:color w:val="000000"/>
                <w:sz w:val="22"/>
                <w:szCs w:val="22"/>
              </w:rPr>
              <w:t>Location</w:t>
            </w:r>
          </w:p>
        </w:tc>
        <w:tc>
          <w:tcPr>
            <w:tcW w:w="2232" w:type="dxa"/>
            <w:tcBorders>
              <w:top w:val="nil"/>
              <w:left w:val="nil"/>
              <w:bottom w:val="nil"/>
              <w:right w:val="nil"/>
            </w:tcBorders>
            <w:shd w:val="clear" w:color="auto" w:fill="auto"/>
            <w:noWrap/>
            <w:vAlign w:val="bottom"/>
            <w:hideMark/>
          </w:tcPr>
          <w:p w14:paraId="246B912A" w14:textId="77777777" w:rsidR="00B9640C" w:rsidRPr="00296330" w:rsidRDefault="00B9640C" w:rsidP="00B9640C">
            <w:pPr>
              <w:rPr>
                <w:b/>
                <w:bCs/>
                <w:color w:val="000000"/>
                <w:sz w:val="22"/>
                <w:szCs w:val="22"/>
              </w:rPr>
            </w:pPr>
          </w:p>
        </w:tc>
        <w:tc>
          <w:tcPr>
            <w:tcW w:w="552" w:type="dxa"/>
            <w:gridSpan w:val="2"/>
            <w:tcBorders>
              <w:top w:val="nil"/>
              <w:left w:val="nil"/>
              <w:bottom w:val="nil"/>
              <w:right w:val="nil"/>
            </w:tcBorders>
            <w:shd w:val="clear" w:color="auto" w:fill="auto"/>
            <w:noWrap/>
            <w:vAlign w:val="bottom"/>
            <w:hideMark/>
          </w:tcPr>
          <w:p w14:paraId="4DACC0A3"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776718E2"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493296FA"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34D6DED8" w14:textId="77777777" w:rsidR="00B9640C" w:rsidRPr="00296330" w:rsidRDefault="00B9640C" w:rsidP="00B9640C">
            <w:pPr>
              <w:rPr>
                <w:color w:val="000000"/>
                <w:sz w:val="22"/>
                <w:szCs w:val="22"/>
              </w:rPr>
            </w:pPr>
            <w:r w:rsidRPr="00296330">
              <w:rPr>
                <w:color w:val="000000"/>
                <w:sz w:val="22"/>
                <w:szCs w:val="22"/>
              </w:rPr>
              <w:t>Between</w:t>
            </w:r>
          </w:p>
        </w:tc>
        <w:tc>
          <w:tcPr>
            <w:tcW w:w="995" w:type="dxa"/>
            <w:tcBorders>
              <w:top w:val="nil"/>
              <w:left w:val="nil"/>
              <w:bottom w:val="nil"/>
              <w:right w:val="nil"/>
            </w:tcBorders>
            <w:shd w:val="clear" w:color="auto" w:fill="auto"/>
            <w:noWrap/>
            <w:vAlign w:val="center"/>
            <w:hideMark/>
          </w:tcPr>
          <w:p w14:paraId="322FDF22" w14:textId="77777777" w:rsidR="00B9640C" w:rsidRPr="00296330" w:rsidRDefault="00B9640C" w:rsidP="00B9640C">
            <w:pPr>
              <w:jc w:val="center"/>
              <w:rPr>
                <w:color w:val="000000"/>
                <w:sz w:val="22"/>
                <w:szCs w:val="22"/>
              </w:rPr>
            </w:pPr>
            <w:r w:rsidRPr="00296330">
              <w:rPr>
                <w:color w:val="000000"/>
                <w:sz w:val="22"/>
                <w:szCs w:val="22"/>
              </w:rPr>
              <w:t>1.63</w:t>
            </w:r>
          </w:p>
        </w:tc>
        <w:tc>
          <w:tcPr>
            <w:tcW w:w="601" w:type="dxa"/>
            <w:tcBorders>
              <w:top w:val="nil"/>
              <w:left w:val="nil"/>
              <w:bottom w:val="nil"/>
              <w:right w:val="nil"/>
            </w:tcBorders>
            <w:shd w:val="clear" w:color="auto" w:fill="auto"/>
            <w:noWrap/>
            <w:vAlign w:val="center"/>
            <w:hideMark/>
          </w:tcPr>
          <w:p w14:paraId="718FECF2" w14:textId="77777777" w:rsidR="00B9640C" w:rsidRPr="00296330" w:rsidRDefault="00B9640C" w:rsidP="00B9640C">
            <w:pPr>
              <w:jc w:val="center"/>
              <w:rPr>
                <w:color w:val="000000"/>
                <w:sz w:val="22"/>
                <w:szCs w:val="22"/>
              </w:rPr>
            </w:pPr>
            <w:r w:rsidRPr="00296330">
              <w:rPr>
                <w:color w:val="000000"/>
                <w:sz w:val="22"/>
                <w:szCs w:val="22"/>
              </w:rPr>
              <w:t>1</w:t>
            </w:r>
          </w:p>
        </w:tc>
        <w:tc>
          <w:tcPr>
            <w:tcW w:w="1096" w:type="dxa"/>
            <w:tcBorders>
              <w:top w:val="nil"/>
              <w:left w:val="nil"/>
              <w:bottom w:val="nil"/>
              <w:right w:val="nil"/>
            </w:tcBorders>
            <w:shd w:val="clear" w:color="auto" w:fill="auto"/>
            <w:noWrap/>
            <w:vAlign w:val="center"/>
            <w:hideMark/>
          </w:tcPr>
          <w:p w14:paraId="3981F8B3" w14:textId="77777777" w:rsidR="00B9640C" w:rsidRPr="00296330" w:rsidRDefault="00B9640C" w:rsidP="00B9640C">
            <w:pPr>
              <w:jc w:val="center"/>
              <w:rPr>
                <w:color w:val="000000"/>
                <w:sz w:val="22"/>
                <w:szCs w:val="22"/>
              </w:rPr>
            </w:pPr>
            <w:r w:rsidRPr="00296330">
              <w:rPr>
                <w:color w:val="000000"/>
                <w:sz w:val="22"/>
                <w:szCs w:val="22"/>
              </w:rPr>
              <w:t>1.63</w:t>
            </w:r>
          </w:p>
        </w:tc>
        <w:tc>
          <w:tcPr>
            <w:tcW w:w="1041" w:type="dxa"/>
            <w:tcBorders>
              <w:top w:val="nil"/>
              <w:left w:val="nil"/>
              <w:bottom w:val="nil"/>
              <w:right w:val="nil"/>
            </w:tcBorders>
            <w:shd w:val="clear" w:color="auto" w:fill="auto"/>
            <w:noWrap/>
            <w:vAlign w:val="center"/>
            <w:hideMark/>
          </w:tcPr>
          <w:p w14:paraId="4A2EBD60" w14:textId="77777777" w:rsidR="00B9640C" w:rsidRPr="00296330" w:rsidRDefault="00B9640C" w:rsidP="00B9640C">
            <w:pPr>
              <w:jc w:val="center"/>
              <w:rPr>
                <w:color w:val="000000"/>
                <w:sz w:val="22"/>
                <w:szCs w:val="22"/>
              </w:rPr>
            </w:pPr>
            <w:r w:rsidRPr="00296330">
              <w:rPr>
                <w:color w:val="000000"/>
                <w:sz w:val="22"/>
                <w:szCs w:val="22"/>
              </w:rPr>
              <w:t>1.47</w:t>
            </w:r>
          </w:p>
        </w:tc>
        <w:tc>
          <w:tcPr>
            <w:tcW w:w="774" w:type="dxa"/>
            <w:tcBorders>
              <w:top w:val="nil"/>
              <w:left w:val="nil"/>
              <w:bottom w:val="nil"/>
              <w:right w:val="nil"/>
            </w:tcBorders>
          </w:tcPr>
          <w:p w14:paraId="31264586" w14:textId="6A705DA0" w:rsidR="00B9640C" w:rsidRPr="00296330" w:rsidRDefault="00B9640C" w:rsidP="00B9640C">
            <w:pPr>
              <w:jc w:val="center"/>
              <w:rPr>
                <w:color w:val="000000"/>
                <w:sz w:val="22"/>
                <w:szCs w:val="22"/>
              </w:rPr>
            </w:pPr>
            <w:r>
              <w:rPr>
                <w:color w:val="000000"/>
                <w:sz w:val="22"/>
                <w:szCs w:val="22"/>
              </w:rPr>
              <w:t>0.010</w:t>
            </w:r>
          </w:p>
        </w:tc>
      </w:tr>
      <w:tr w:rsidR="00B9640C" w:rsidRPr="00296330" w14:paraId="6A6B6A0A" w14:textId="2445F6AE" w:rsidTr="000660B4">
        <w:trPr>
          <w:trHeight w:val="310"/>
        </w:trPr>
        <w:tc>
          <w:tcPr>
            <w:tcW w:w="1081" w:type="dxa"/>
            <w:tcBorders>
              <w:top w:val="nil"/>
              <w:left w:val="nil"/>
              <w:bottom w:val="nil"/>
              <w:right w:val="nil"/>
            </w:tcBorders>
            <w:shd w:val="clear" w:color="auto" w:fill="auto"/>
            <w:noWrap/>
            <w:vAlign w:val="bottom"/>
            <w:hideMark/>
          </w:tcPr>
          <w:p w14:paraId="4005A81D" w14:textId="77777777" w:rsidR="00B9640C" w:rsidRPr="00296330" w:rsidRDefault="00B9640C" w:rsidP="00B9640C">
            <w:pPr>
              <w:rPr>
                <w:color w:val="000000"/>
                <w:sz w:val="22"/>
                <w:szCs w:val="22"/>
              </w:rPr>
            </w:pPr>
          </w:p>
        </w:tc>
        <w:tc>
          <w:tcPr>
            <w:tcW w:w="2232" w:type="dxa"/>
            <w:tcBorders>
              <w:top w:val="nil"/>
              <w:left w:val="nil"/>
              <w:bottom w:val="nil"/>
              <w:right w:val="nil"/>
            </w:tcBorders>
            <w:shd w:val="clear" w:color="auto" w:fill="auto"/>
            <w:noWrap/>
            <w:vAlign w:val="bottom"/>
            <w:hideMark/>
          </w:tcPr>
          <w:p w14:paraId="340F2FBC" w14:textId="77777777" w:rsidR="00B9640C" w:rsidRPr="00296330" w:rsidRDefault="00B9640C" w:rsidP="00B9640C">
            <w:pPr>
              <w:rPr>
                <w:sz w:val="22"/>
                <w:szCs w:val="22"/>
              </w:rPr>
            </w:pPr>
          </w:p>
        </w:tc>
        <w:tc>
          <w:tcPr>
            <w:tcW w:w="552" w:type="dxa"/>
            <w:gridSpan w:val="2"/>
            <w:tcBorders>
              <w:top w:val="nil"/>
              <w:left w:val="nil"/>
              <w:bottom w:val="nil"/>
              <w:right w:val="nil"/>
            </w:tcBorders>
            <w:shd w:val="clear" w:color="auto" w:fill="auto"/>
            <w:noWrap/>
            <w:vAlign w:val="bottom"/>
            <w:hideMark/>
          </w:tcPr>
          <w:p w14:paraId="45A718E9"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367385C7"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08DFE2B0"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100820AE" w14:textId="77777777" w:rsidR="00B9640C" w:rsidRPr="00296330" w:rsidRDefault="00B9640C" w:rsidP="00B9640C">
            <w:pPr>
              <w:rPr>
                <w:color w:val="000000"/>
                <w:sz w:val="22"/>
                <w:szCs w:val="22"/>
              </w:rPr>
            </w:pPr>
            <w:r w:rsidRPr="00296330">
              <w:rPr>
                <w:color w:val="000000"/>
                <w:sz w:val="22"/>
                <w:szCs w:val="22"/>
              </w:rPr>
              <w:t>Within</w:t>
            </w:r>
          </w:p>
        </w:tc>
        <w:tc>
          <w:tcPr>
            <w:tcW w:w="995" w:type="dxa"/>
            <w:tcBorders>
              <w:top w:val="nil"/>
              <w:left w:val="nil"/>
              <w:bottom w:val="nil"/>
              <w:right w:val="nil"/>
            </w:tcBorders>
            <w:shd w:val="clear" w:color="auto" w:fill="auto"/>
            <w:noWrap/>
            <w:vAlign w:val="center"/>
            <w:hideMark/>
          </w:tcPr>
          <w:p w14:paraId="22DA632B" w14:textId="77777777" w:rsidR="00B9640C" w:rsidRPr="00296330" w:rsidRDefault="00B9640C" w:rsidP="00B9640C">
            <w:pPr>
              <w:jc w:val="center"/>
              <w:rPr>
                <w:color w:val="000000"/>
                <w:sz w:val="22"/>
                <w:szCs w:val="22"/>
              </w:rPr>
            </w:pPr>
            <w:r w:rsidRPr="00296330">
              <w:rPr>
                <w:color w:val="000000"/>
                <w:sz w:val="22"/>
                <w:szCs w:val="22"/>
              </w:rPr>
              <w:t>160.54</w:t>
            </w:r>
          </w:p>
        </w:tc>
        <w:tc>
          <w:tcPr>
            <w:tcW w:w="601" w:type="dxa"/>
            <w:tcBorders>
              <w:top w:val="nil"/>
              <w:left w:val="nil"/>
              <w:bottom w:val="nil"/>
              <w:right w:val="nil"/>
            </w:tcBorders>
            <w:shd w:val="clear" w:color="auto" w:fill="auto"/>
            <w:noWrap/>
            <w:vAlign w:val="center"/>
            <w:hideMark/>
          </w:tcPr>
          <w:p w14:paraId="2F1B25B0" w14:textId="77777777" w:rsidR="00B9640C" w:rsidRPr="00296330" w:rsidRDefault="00B9640C" w:rsidP="00B9640C">
            <w:pPr>
              <w:jc w:val="center"/>
              <w:rPr>
                <w:color w:val="000000"/>
                <w:sz w:val="22"/>
                <w:szCs w:val="22"/>
              </w:rPr>
            </w:pPr>
            <w:r w:rsidRPr="00296330">
              <w:rPr>
                <w:color w:val="000000"/>
                <w:sz w:val="22"/>
                <w:szCs w:val="22"/>
              </w:rPr>
              <w:t>145</w:t>
            </w:r>
          </w:p>
        </w:tc>
        <w:tc>
          <w:tcPr>
            <w:tcW w:w="1096" w:type="dxa"/>
            <w:tcBorders>
              <w:top w:val="nil"/>
              <w:left w:val="nil"/>
              <w:bottom w:val="nil"/>
              <w:right w:val="nil"/>
            </w:tcBorders>
            <w:shd w:val="clear" w:color="auto" w:fill="auto"/>
            <w:noWrap/>
            <w:vAlign w:val="center"/>
            <w:hideMark/>
          </w:tcPr>
          <w:p w14:paraId="3F81AC33" w14:textId="77777777" w:rsidR="00B9640C" w:rsidRPr="00296330" w:rsidRDefault="00B9640C" w:rsidP="00B9640C">
            <w:pPr>
              <w:jc w:val="center"/>
              <w:rPr>
                <w:color w:val="000000"/>
                <w:sz w:val="22"/>
                <w:szCs w:val="22"/>
              </w:rPr>
            </w:pPr>
            <w:r w:rsidRPr="00296330">
              <w:rPr>
                <w:color w:val="000000"/>
                <w:sz w:val="22"/>
                <w:szCs w:val="22"/>
              </w:rPr>
              <w:t>1.12</w:t>
            </w:r>
          </w:p>
        </w:tc>
        <w:tc>
          <w:tcPr>
            <w:tcW w:w="1041" w:type="dxa"/>
            <w:tcBorders>
              <w:top w:val="nil"/>
              <w:left w:val="nil"/>
              <w:bottom w:val="nil"/>
              <w:right w:val="nil"/>
            </w:tcBorders>
            <w:shd w:val="clear" w:color="auto" w:fill="auto"/>
            <w:noWrap/>
            <w:vAlign w:val="center"/>
            <w:hideMark/>
          </w:tcPr>
          <w:p w14:paraId="6CB80381" w14:textId="77777777" w:rsidR="00B9640C" w:rsidRPr="00296330" w:rsidRDefault="00B9640C" w:rsidP="00B9640C">
            <w:pPr>
              <w:jc w:val="center"/>
              <w:rPr>
                <w:color w:val="000000"/>
                <w:sz w:val="22"/>
                <w:szCs w:val="22"/>
              </w:rPr>
            </w:pPr>
          </w:p>
        </w:tc>
        <w:tc>
          <w:tcPr>
            <w:tcW w:w="774" w:type="dxa"/>
            <w:tcBorders>
              <w:top w:val="nil"/>
              <w:left w:val="nil"/>
              <w:bottom w:val="nil"/>
              <w:right w:val="nil"/>
            </w:tcBorders>
          </w:tcPr>
          <w:p w14:paraId="2B153240" w14:textId="77777777" w:rsidR="00B9640C" w:rsidRPr="00296330" w:rsidRDefault="00B9640C" w:rsidP="00B9640C">
            <w:pPr>
              <w:jc w:val="center"/>
              <w:rPr>
                <w:color w:val="000000"/>
                <w:sz w:val="22"/>
                <w:szCs w:val="22"/>
              </w:rPr>
            </w:pPr>
          </w:p>
        </w:tc>
      </w:tr>
      <w:tr w:rsidR="00B9640C" w:rsidRPr="00296330" w14:paraId="41B9513E" w14:textId="67358E33" w:rsidTr="000660B4">
        <w:trPr>
          <w:trHeight w:val="310"/>
        </w:trPr>
        <w:tc>
          <w:tcPr>
            <w:tcW w:w="1081" w:type="dxa"/>
            <w:tcBorders>
              <w:top w:val="nil"/>
              <w:left w:val="nil"/>
              <w:bottom w:val="nil"/>
              <w:right w:val="nil"/>
            </w:tcBorders>
            <w:shd w:val="clear" w:color="auto" w:fill="auto"/>
            <w:noWrap/>
            <w:vAlign w:val="bottom"/>
            <w:hideMark/>
          </w:tcPr>
          <w:p w14:paraId="35CFFD57"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0736C82D" w14:textId="77777777" w:rsidR="00B9640C" w:rsidRPr="00296330" w:rsidRDefault="00B9640C" w:rsidP="00B9640C">
            <w:pPr>
              <w:rPr>
                <w:color w:val="000000"/>
                <w:sz w:val="22"/>
                <w:szCs w:val="22"/>
              </w:rPr>
            </w:pPr>
            <w:r w:rsidRPr="00296330">
              <w:rPr>
                <w:color w:val="000000"/>
                <w:sz w:val="22"/>
                <w:szCs w:val="22"/>
              </w:rPr>
              <w:t>Urban</w:t>
            </w:r>
          </w:p>
        </w:tc>
        <w:tc>
          <w:tcPr>
            <w:tcW w:w="552" w:type="dxa"/>
            <w:gridSpan w:val="2"/>
            <w:tcBorders>
              <w:top w:val="nil"/>
              <w:left w:val="nil"/>
              <w:bottom w:val="nil"/>
              <w:right w:val="nil"/>
            </w:tcBorders>
            <w:shd w:val="clear" w:color="auto" w:fill="auto"/>
            <w:noWrap/>
            <w:vAlign w:val="bottom"/>
            <w:hideMark/>
          </w:tcPr>
          <w:p w14:paraId="5BAA2A75" w14:textId="77777777" w:rsidR="00B9640C" w:rsidRPr="00296330" w:rsidRDefault="00B9640C" w:rsidP="00B9640C">
            <w:pPr>
              <w:jc w:val="right"/>
              <w:rPr>
                <w:color w:val="000000"/>
                <w:sz w:val="22"/>
                <w:szCs w:val="22"/>
              </w:rPr>
            </w:pPr>
            <w:r w:rsidRPr="00296330">
              <w:rPr>
                <w:color w:val="000000"/>
                <w:sz w:val="22"/>
                <w:szCs w:val="22"/>
              </w:rPr>
              <w:t>106</w:t>
            </w:r>
          </w:p>
        </w:tc>
        <w:tc>
          <w:tcPr>
            <w:tcW w:w="601" w:type="dxa"/>
            <w:tcBorders>
              <w:top w:val="nil"/>
              <w:left w:val="nil"/>
              <w:bottom w:val="nil"/>
              <w:right w:val="nil"/>
            </w:tcBorders>
            <w:shd w:val="clear" w:color="auto" w:fill="auto"/>
            <w:noWrap/>
            <w:vAlign w:val="bottom"/>
            <w:hideMark/>
          </w:tcPr>
          <w:p w14:paraId="2A2BA89E" w14:textId="77777777" w:rsidR="00B9640C" w:rsidRPr="00296330" w:rsidRDefault="00B9640C" w:rsidP="00B9640C">
            <w:pPr>
              <w:jc w:val="right"/>
              <w:rPr>
                <w:color w:val="000000"/>
                <w:sz w:val="22"/>
                <w:szCs w:val="22"/>
              </w:rPr>
            </w:pPr>
            <w:r w:rsidRPr="00296330">
              <w:rPr>
                <w:color w:val="000000"/>
                <w:sz w:val="22"/>
                <w:szCs w:val="22"/>
              </w:rPr>
              <w:t>0.7</w:t>
            </w:r>
          </w:p>
        </w:tc>
        <w:tc>
          <w:tcPr>
            <w:tcW w:w="605" w:type="dxa"/>
            <w:tcBorders>
              <w:top w:val="nil"/>
              <w:left w:val="nil"/>
              <w:bottom w:val="nil"/>
              <w:right w:val="nil"/>
            </w:tcBorders>
            <w:shd w:val="clear" w:color="auto" w:fill="auto"/>
            <w:noWrap/>
            <w:vAlign w:val="bottom"/>
            <w:hideMark/>
          </w:tcPr>
          <w:p w14:paraId="67F06E44" w14:textId="77777777" w:rsidR="00B9640C" w:rsidRPr="00296330" w:rsidRDefault="00B9640C" w:rsidP="00B9640C">
            <w:pPr>
              <w:jc w:val="right"/>
              <w:rPr>
                <w:color w:val="000000"/>
                <w:sz w:val="22"/>
                <w:szCs w:val="22"/>
              </w:rPr>
            </w:pPr>
            <w:r w:rsidRPr="00296330">
              <w:rPr>
                <w:color w:val="000000"/>
                <w:sz w:val="22"/>
                <w:szCs w:val="22"/>
              </w:rPr>
              <w:t>1.16</w:t>
            </w:r>
          </w:p>
        </w:tc>
        <w:tc>
          <w:tcPr>
            <w:tcW w:w="1049" w:type="dxa"/>
            <w:tcBorders>
              <w:top w:val="nil"/>
              <w:left w:val="nil"/>
              <w:bottom w:val="nil"/>
              <w:right w:val="nil"/>
            </w:tcBorders>
            <w:shd w:val="clear" w:color="auto" w:fill="auto"/>
            <w:noWrap/>
            <w:vAlign w:val="bottom"/>
            <w:hideMark/>
          </w:tcPr>
          <w:p w14:paraId="0DC321BD"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11F20CE1"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0DE4D694"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1F08A025"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28F45DA5"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0C9D2946" w14:textId="77777777" w:rsidR="00B9640C" w:rsidRPr="00296330" w:rsidRDefault="00B9640C" w:rsidP="00B9640C">
            <w:pPr>
              <w:jc w:val="center"/>
              <w:rPr>
                <w:sz w:val="22"/>
                <w:szCs w:val="22"/>
              </w:rPr>
            </w:pPr>
          </w:p>
        </w:tc>
      </w:tr>
      <w:tr w:rsidR="00B9640C" w:rsidRPr="00296330" w14:paraId="197F0F33" w14:textId="044527BE" w:rsidTr="000660B4">
        <w:trPr>
          <w:trHeight w:val="310"/>
        </w:trPr>
        <w:tc>
          <w:tcPr>
            <w:tcW w:w="1081" w:type="dxa"/>
            <w:tcBorders>
              <w:top w:val="nil"/>
              <w:left w:val="nil"/>
              <w:bottom w:val="nil"/>
              <w:right w:val="nil"/>
            </w:tcBorders>
            <w:shd w:val="clear" w:color="auto" w:fill="auto"/>
            <w:noWrap/>
            <w:vAlign w:val="bottom"/>
            <w:hideMark/>
          </w:tcPr>
          <w:p w14:paraId="7D6E8A3E"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14BA5ABF" w14:textId="77777777" w:rsidR="00B9640C" w:rsidRPr="00296330" w:rsidRDefault="00B9640C" w:rsidP="00B9640C">
            <w:pPr>
              <w:rPr>
                <w:color w:val="000000"/>
                <w:sz w:val="22"/>
                <w:szCs w:val="22"/>
              </w:rPr>
            </w:pPr>
            <w:r w:rsidRPr="00296330">
              <w:rPr>
                <w:color w:val="000000"/>
                <w:sz w:val="22"/>
                <w:szCs w:val="22"/>
              </w:rPr>
              <w:t>Non-Urban</w:t>
            </w:r>
          </w:p>
        </w:tc>
        <w:tc>
          <w:tcPr>
            <w:tcW w:w="552" w:type="dxa"/>
            <w:gridSpan w:val="2"/>
            <w:tcBorders>
              <w:top w:val="nil"/>
              <w:left w:val="nil"/>
              <w:bottom w:val="nil"/>
              <w:right w:val="nil"/>
            </w:tcBorders>
            <w:shd w:val="clear" w:color="auto" w:fill="auto"/>
            <w:noWrap/>
            <w:vAlign w:val="bottom"/>
            <w:hideMark/>
          </w:tcPr>
          <w:p w14:paraId="4C380C5B" w14:textId="77777777" w:rsidR="00B9640C" w:rsidRPr="00296330" w:rsidRDefault="00B9640C" w:rsidP="00B9640C">
            <w:pPr>
              <w:jc w:val="right"/>
              <w:rPr>
                <w:color w:val="000000"/>
                <w:sz w:val="22"/>
                <w:szCs w:val="22"/>
              </w:rPr>
            </w:pPr>
            <w:r w:rsidRPr="00296330">
              <w:rPr>
                <w:color w:val="000000"/>
                <w:sz w:val="22"/>
                <w:szCs w:val="22"/>
              </w:rPr>
              <w:t>41</w:t>
            </w:r>
          </w:p>
        </w:tc>
        <w:tc>
          <w:tcPr>
            <w:tcW w:w="601" w:type="dxa"/>
            <w:tcBorders>
              <w:top w:val="nil"/>
              <w:left w:val="nil"/>
              <w:bottom w:val="nil"/>
              <w:right w:val="nil"/>
            </w:tcBorders>
            <w:shd w:val="clear" w:color="auto" w:fill="auto"/>
            <w:noWrap/>
            <w:vAlign w:val="bottom"/>
            <w:hideMark/>
          </w:tcPr>
          <w:p w14:paraId="1D3ED707" w14:textId="77777777" w:rsidR="00B9640C" w:rsidRPr="00296330" w:rsidRDefault="00B9640C" w:rsidP="00B9640C">
            <w:pPr>
              <w:jc w:val="right"/>
              <w:rPr>
                <w:color w:val="000000"/>
                <w:sz w:val="22"/>
                <w:szCs w:val="22"/>
              </w:rPr>
            </w:pPr>
            <w:r w:rsidRPr="00296330">
              <w:rPr>
                <w:color w:val="000000"/>
                <w:sz w:val="22"/>
                <w:szCs w:val="22"/>
              </w:rPr>
              <w:t>0.46</w:t>
            </w:r>
          </w:p>
        </w:tc>
        <w:tc>
          <w:tcPr>
            <w:tcW w:w="605" w:type="dxa"/>
            <w:tcBorders>
              <w:top w:val="nil"/>
              <w:left w:val="nil"/>
              <w:bottom w:val="nil"/>
              <w:right w:val="nil"/>
            </w:tcBorders>
            <w:shd w:val="clear" w:color="auto" w:fill="auto"/>
            <w:noWrap/>
            <w:vAlign w:val="bottom"/>
            <w:hideMark/>
          </w:tcPr>
          <w:p w14:paraId="0ECBE477" w14:textId="77777777" w:rsidR="00B9640C" w:rsidRPr="00296330" w:rsidRDefault="00B9640C" w:rsidP="00B9640C">
            <w:pPr>
              <w:jc w:val="right"/>
              <w:rPr>
                <w:color w:val="000000"/>
                <w:sz w:val="22"/>
                <w:szCs w:val="22"/>
              </w:rPr>
            </w:pPr>
            <w:r w:rsidRPr="00296330">
              <w:rPr>
                <w:color w:val="000000"/>
                <w:sz w:val="22"/>
                <w:szCs w:val="22"/>
              </w:rPr>
              <w:t>0.67</w:t>
            </w:r>
          </w:p>
        </w:tc>
        <w:tc>
          <w:tcPr>
            <w:tcW w:w="1049" w:type="dxa"/>
            <w:tcBorders>
              <w:top w:val="nil"/>
              <w:left w:val="nil"/>
              <w:bottom w:val="nil"/>
              <w:right w:val="nil"/>
            </w:tcBorders>
            <w:shd w:val="clear" w:color="auto" w:fill="auto"/>
            <w:noWrap/>
            <w:vAlign w:val="bottom"/>
            <w:hideMark/>
          </w:tcPr>
          <w:p w14:paraId="3F085032"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3CF95306"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43F2E43F"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582B2146"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09A852D9"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6C12582C" w14:textId="77777777" w:rsidR="00B9640C" w:rsidRPr="00296330" w:rsidRDefault="00B9640C" w:rsidP="00B9640C">
            <w:pPr>
              <w:jc w:val="center"/>
              <w:rPr>
                <w:sz w:val="22"/>
                <w:szCs w:val="22"/>
              </w:rPr>
            </w:pPr>
          </w:p>
        </w:tc>
      </w:tr>
      <w:tr w:rsidR="00B9640C" w:rsidRPr="00296330" w14:paraId="1A2CE697" w14:textId="16CD7A03" w:rsidTr="000660B4">
        <w:trPr>
          <w:trHeight w:val="310"/>
        </w:trPr>
        <w:tc>
          <w:tcPr>
            <w:tcW w:w="3313" w:type="dxa"/>
            <w:gridSpan w:val="2"/>
            <w:tcBorders>
              <w:top w:val="nil"/>
              <w:left w:val="nil"/>
              <w:bottom w:val="nil"/>
              <w:right w:val="nil"/>
            </w:tcBorders>
            <w:shd w:val="clear" w:color="auto" w:fill="auto"/>
            <w:noWrap/>
            <w:vAlign w:val="bottom"/>
            <w:hideMark/>
          </w:tcPr>
          <w:p w14:paraId="7A81D518" w14:textId="5C6C18A5" w:rsidR="00B9640C" w:rsidRPr="00296330" w:rsidRDefault="00B9640C" w:rsidP="00B9640C">
            <w:pPr>
              <w:rPr>
                <w:b/>
                <w:bCs/>
                <w:color w:val="000000"/>
                <w:sz w:val="22"/>
                <w:szCs w:val="22"/>
              </w:rPr>
            </w:pPr>
            <w:r w:rsidRPr="00296330">
              <w:rPr>
                <w:b/>
                <w:bCs/>
                <w:color w:val="000000"/>
                <w:sz w:val="22"/>
                <w:szCs w:val="22"/>
              </w:rPr>
              <w:t>Population Served</w:t>
            </w:r>
          </w:p>
        </w:tc>
        <w:tc>
          <w:tcPr>
            <w:tcW w:w="552" w:type="dxa"/>
            <w:gridSpan w:val="2"/>
            <w:tcBorders>
              <w:top w:val="nil"/>
              <w:left w:val="nil"/>
              <w:bottom w:val="nil"/>
              <w:right w:val="nil"/>
            </w:tcBorders>
            <w:shd w:val="clear" w:color="auto" w:fill="auto"/>
            <w:noWrap/>
            <w:vAlign w:val="bottom"/>
            <w:hideMark/>
          </w:tcPr>
          <w:p w14:paraId="61D8E204"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5863ADA9"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030A100E"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34168C87" w14:textId="77777777" w:rsidR="00B9640C" w:rsidRPr="00296330" w:rsidRDefault="00B9640C" w:rsidP="00B9640C">
            <w:pPr>
              <w:rPr>
                <w:color w:val="000000"/>
                <w:sz w:val="22"/>
                <w:szCs w:val="22"/>
              </w:rPr>
            </w:pPr>
            <w:r w:rsidRPr="00296330">
              <w:rPr>
                <w:color w:val="000000"/>
                <w:sz w:val="22"/>
                <w:szCs w:val="22"/>
              </w:rPr>
              <w:t>Between</w:t>
            </w:r>
          </w:p>
        </w:tc>
        <w:tc>
          <w:tcPr>
            <w:tcW w:w="995" w:type="dxa"/>
            <w:tcBorders>
              <w:top w:val="nil"/>
              <w:left w:val="nil"/>
              <w:bottom w:val="nil"/>
              <w:right w:val="nil"/>
            </w:tcBorders>
            <w:shd w:val="clear" w:color="auto" w:fill="auto"/>
            <w:noWrap/>
            <w:vAlign w:val="center"/>
            <w:hideMark/>
          </w:tcPr>
          <w:p w14:paraId="6019EDA9" w14:textId="77777777" w:rsidR="00B9640C" w:rsidRPr="00296330" w:rsidRDefault="00B9640C" w:rsidP="00B9640C">
            <w:pPr>
              <w:jc w:val="center"/>
              <w:rPr>
                <w:color w:val="000000"/>
                <w:sz w:val="22"/>
                <w:szCs w:val="22"/>
              </w:rPr>
            </w:pPr>
            <w:r w:rsidRPr="00296330">
              <w:rPr>
                <w:color w:val="000000"/>
                <w:sz w:val="22"/>
                <w:szCs w:val="22"/>
              </w:rPr>
              <w:t>13.974</w:t>
            </w:r>
          </w:p>
        </w:tc>
        <w:tc>
          <w:tcPr>
            <w:tcW w:w="601" w:type="dxa"/>
            <w:tcBorders>
              <w:top w:val="nil"/>
              <w:left w:val="nil"/>
              <w:bottom w:val="nil"/>
              <w:right w:val="nil"/>
            </w:tcBorders>
            <w:shd w:val="clear" w:color="auto" w:fill="auto"/>
            <w:noWrap/>
            <w:vAlign w:val="center"/>
            <w:hideMark/>
          </w:tcPr>
          <w:p w14:paraId="5DBF5C56" w14:textId="77777777" w:rsidR="00B9640C" w:rsidRPr="00296330" w:rsidRDefault="00B9640C" w:rsidP="00B9640C">
            <w:pPr>
              <w:jc w:val="center"/>
              <w:rPr>
                <w:color w:val="000000"/>
                <w:sz w:val="22"/>
                <w:szCs w:val="22"/>
              </w:rPr>
            </w:pPr>
            <w:r w:rsidRPr="00296330">
              <w:rPr>
                <w:color w:val="000000"/>
                <w:sz w:val="22"/>
                <w:szCs w:val="22"/>
              </w:rPr>
              <w:t>4</w:t>
            </w:r>
          </w:p>
        </w:tc>
        <w:tc>
          <w:tcPr>
            <w:tcW w:w="1096" w:type="dxa"/>
            <w:tcBorders>
              <w:top w:val="nil"/>
              <w:left w:val="nil"/>
              <w:bottom w:val="nil"/>
              <w:right w:val="nil"/>
            </w:tcBorders>
            <w:shd w:val="clear" w:color="auto" w:fill="auto"/>
            <w:noWrap/>
            <w:vAlign w:val="center"/>
            <w:hideMark/>
          </w:tcPr>
          <w:p w14:paraId="11463752" w14:textId="77777777" w:rsidR="00B9640C" w:rsidRPr="00296330" w:rsidRDefault="00B9640C" w:rsidP="00B9640C">
            <w:pPr>
              <w:jc w:val="center"/>
              <w:rPr>
                <w:color w:val="000000"/>
                <w:sz w:val="22"/>
                <w:szCs w:val="22"/>
              </w:rPr>
            </w:pPr>
            <w:r w:rsidRPr="00296330">
              <w:rPr>
                <w:color w:val="000000"/>
                <w:sz w:val="22"/>
                <w:szCs w:val="22"/>
              </w:rPr>
              <w:t>3.49</w:t>
            </w:r>
          </w:p>
        </w:tc>
        <w:tc>
          <w:tcPr>
            <w:tcW w:w="1041" w:type="dxa"/>
            <w:tcBorders>
              <w:top w:val="nil"/>
              <w:left w:val="nil"/>
              <w:bottom w:val="nil"/>
              <w:right w:val="nil"/>
            </w:tcBorders>
            <w:shd w:val="clear" w:color="auto" w:fill="auto"/>
            <w:noWrap/>
            <w:vAlign w:val="center"/>
            <w:hideMark/>
          </w:tcPr>
          <w:p w14:paraId="4DC503BA" w14:textId="77777777" w:rsidR="00B9640C" w:rsidRPr="00296330" w:rsidRDefault="00B9640C" w:rsidP="00B9640C">
            <w:pPr>
              <w:jc w:val="center"/>
              <w:rPr>
                <w:color w:val="000000"/>
                <w:sz w:val="22"/>
                <w:szCs w:val="22"/>
              </w:rPr>
            </w:pPr>
            <w:r w:rsidRPr="00296330">
              <w:rPr>
                <w:color w:val="000000"/>
                <w:sz w:val="22"/>
                <w:szCs w:val="22"/>
              </w:rPr>
              <w:t>4.33**</w:t>
            </w:r>
          </w:p>
        </w:tc>
        <w:tc>
          <w:tcPr>
            <w:tcW w:w="774" w:type="dxa"/>
            <w:tcBorders>
              <w:top w:val="nil"/>
              <w:left w:val="nil"/>
              <w:bottom w:val="nil"/>
              <w:right w:val="nil"/>
            </w:tcBorders>
          </w:tcPr>
          <w:p w14:paraId="63CE7976" w14:textId="5BE87D52" w:rsidR="00B9640C" w:rsidRPr="00296330" w:rsidRDefault="00B9640C" w:rsidP="00B9640C">
            <w:pPr>
              <w:jc w:val="center"/>
              <w:rPr>
                <w:color w:val="000000"/>
                <w:sz w:val="22"/>
                <w:szCs w:val="22"/>
              </w:rPr>
            </w:pPr>
            <w:r>
              <w:rPr>
                <w:color w:val="000000"/>
                <w:sz w:val="22"/>
                <w:szCs w:val="22"/>
              </w:rPr>
              <w:t>0.123</w:t>
            </w:r>
          </w:p>
        </w:tc>
      </w:tr>
      <w:tr w:rsidR="00B9640C" w:rsidRPr="00296330" w14:paraId="6D98336F" w14:textId="0316A2CD" w:rsidTr="000660B4">
        <w:trPr>
          <w:trHeight w:val="310"/>
        </w:trPr>
        <w:tc>
          <w:tcPr>
            <w:tcW w:w="1081" w:type="dxa"/>
            <w:tcBorders>
              <w:top w:val="nil"/>
              <w:left w:val="nil"/>
              <w:bottom w:val="nil"/>
              <w:right w:val="nil"/>
            </w:tcBorders>
            <w:shd w:val="clear" w:color="auto" w:fill="auto"/>
            <w:noWrap/>
            <w:vAlign w:val="bottom"/>
            <w:hideMark/>
          </w:tcPr>
          <w:p w14:paraId="4796F789" w14:textId="77777777" w:rsidR="00B9640C" w:rsidRPr="00296330" w:rsidRDefault="00B9640C" w:rsidP="00B9640C">
            <w:pPr>
              <w:rPr>
                <w:color w:val="000000"/>
                <w:sz w:val="22"/>
                <w:szCs w:val="22"/>
              </w:rPr>
            </w:pPr>
          </w:p>
        </w:tc>
        <w:tc>
          <w:tcPr>
            <w:tcW w:w="2232" w:type="dxa"/>
            <w:tcBorders>
              <w:top w:val="nil"/>
              <w:left w:val="nil"/>
              <w:bottom w:val="nil"/>
              <w:right w:val="nil"/>
            </w:tcBorders>
            <w:shd w:val="clear" w:color="auto" w:fill="auto"/>
            <w:noWrap/>
            <w:vAlign w:val="bottom"/>
            <w:hideMark/>
          </w:tcPr>
          <w:p w14:paraId="05A323F5" w14:textId="77777777" w:rsidR="00B9640C" w:rsidRPr="00296330" w:rsidRDefault="00B9640C" w:rsidP="00B9640C">
            <w:pPr>
              <w:rPr>
                <w:sz w:val="22"/>
                <w:szCs w:val="22"/>
              </w:rPr>
            </w:pPr>
          </w:p>
        </w:tc>
        <w:tc>
          <w:tcPr>
            <w:tcW w:w="552" w:type="dxa"/>
            <w:gridSpan w:val="2"/>
            <w:tcBorders>
              <w:top w:val="nil"/>
              <w:left w:val="nil"/>
              <w:bottom w:val="nil"/>
              <w:right w:val="nil"/>
            </w:tcBorders>
            <w:shd w:val="clear" w:color="auto" w:fill="auto"/>
            <w:noWrap/>
            <w:vAlign w:val="bottom"/>
            <w:hideMark/>
          </w:tcPr>
          <w:p w14:paraId="5EA711AB"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4A5DB8A5"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08815E86"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6613E037" w14:textId="77777777" w:rsidR="00B9640C" w:rsidRPr="00296330" w:rsidRDefault="00B9640C" w:rsidP="00B9640C">
            <w:pPr>
              <w:rPr>
                <w:color w:val="000000"/>
                <w:sz w:val="22"/>
                <w:szCs w:val="22"/>
              </w:rPr>
            </w:pPr>
            <w:r w:rsidRPr="00296330">
              <w:rPr>
                <w:color w:val="000000"/>
                <w:sz w:val="22"/>
                <w:szCs w:val="22"/>
              </w:rPr>
              <w:t>Within</w:t>
            </w:r>
          </w:p>
        </w:tc>
        <w:tc>
          <w:tcPr>
            <w:tcW w:w="995" w:type="dxa"/>
            <w:tcBorders>
              <w:top w:val="nil"/>
              <w:left w:val="nil"/>
              <w:bottom w:val="nil"/>
              <w:right w:val="nil"/>
            </w:tcBorders>
            <w:shd w:val="clear" w:color="auto" w:fill="auto"/>
            <w:noWrap/>
            <w:vAlign w:val="center"/>
            <w:hideMark/>
          </w:tcPr>
          <w:p w14:paraId="238D9E42" w14:textId="77777777" w:rsidR="00B9640C" w:rsidRPr="00296330" w:rsidRDefault="00B9640C" w:rsidP="00B9640C">
            <w:pPr>
              <w:jc w:val="center"/>
              <w:rPr>
                <w:color w:val="000000"/>
                <w:sz w:val="22"/>
                <w:szCs w:val="22"/>
              </w:rPr>
            </w:pPr>
            <w:r w:rsidRPr="00296330">
              <w:rPr>
                <w:color w:val="000000"/>
                <w:sz w:val="22"/>
                <w:szCs w:val="22"/>
              </w:rPr>
              <w:t>99.244</w:t>
            </w:r>
          </w:p>
        </w:tc>
        <w:tc>
          <w:tcPr>
            <w:tcW w:w="601" w:type="dxa"/>
            <w:tcBorders>
              <w:top w:val="nil"/>
              <w:left w:val="nil"/>
              <w:bottom w:val="nil"/>
              <w:right w:val="nil"/>
            </w:tcBorders>
            <w:shd w:val="clear" w:color="auto" w:fill="auto"/>
            <w:noWrap/>
            <w:vAlign w:val="center"/>
            <w:hideMark/>
          </w:tcPr>
          <w:p w14:paraId="0AFD229F" w14:textId="77777777" w:rsidR="00B9640C" w:rsidRPr="00296330" w:rsidRDefault="00B9640C" w:rsidP="00B9640C">
            <w:pPr>
              <w:jc w:val="center"/>
              <w:rPr>
                <w:color w:val="000000"/>
                <w:sz w:val="22"/>
                <w:szCs w:val="22"/>
              </w:rPr>
            </w:pPr>
            <w:r w:rsidRPr="00296330">
              <w:rPr>
                <w:color w:val="000000"/>
                <w:sz w:val="22"/>
                <w:szCs w:val="22"/>
              </w:rPr>
              <w:t>123</w:t>
            </w:r>
          </w:p>
        </w:tc>
        <w:tc>
          <w:tcPr>
            <w:tcW w:w="1096" w:type="dxa"/>
            <w:tcBorders>
              <w:top w:val="nil"/>
              <w:left w:val="nil"/>
              <w:bottom w:val="nil"/>
              <w:right w:val="nil"/>
            </w:tcBorders>
            <w:shd w:val="clear" w:color="auto" w:fill="auto"/>
            <w:noWrap/>
            <w:vAlign w:val="center"/>
            <w:hideMark/>
          </w:tcPr>
          <w:p w14:paraId="2C25DCAB" w14:textId="77777777" w:rsidR="00B9640C" w:rsidRPr="00296330" w:rsidRDefault="00B9640C" w:rsidP="00B9640C">
            <w:pPr>
              <w:jc w:val="center"/>
              <w:rPr>
                <w:color w:val="000000"/>
                <w:sz w:val="22"/>
                <w:szCs w:val="22"/>
              </w:rPr>
            </w:pPr>
            <w:r w:rsidRPr="00296330">
              <w:rPr>
                <w:color w:val="000000"/>
                <w:sz w:val="22"/>
                <w:szCs w:val="22"/>
              </w:rPr>
              <w:t>0.81</w:t>
            </w:r>
          </w:p>
        </w:tc>
        <w:tc>
          <w:tcPr>
            <w:tcW w:w="1041" w:type="dxa"/>
            <w:tcBorders>
              <w:top w:val="nil"/>
              <w:left w:val="nil"/>
              <w:bottom w:val="nil"/>
              <w:right w:val="nil"/>
            </w:tcBorders>
            <w:shd w:val="clear" w:color="auto" w:fill="auto"/>
            <w:noWrap/>
            <w:vAlign w:val="center"/>
            <w:hideMark/>
          </w:tcPr>
          <w:p w14:paraId="438F5AB9" w14:textId="77777777" w:rsidR="00B9640C" w:rsidRPr="00296330" w:rsidRDefault="00B9640C" w:rsidP="00B9640C">
            <w:pPr>
              <w:jc w:val="center"/>
              <w:rPr>
                <w:color w:val="000000"/>
                <w:sz w:val="22"/>
                <w:szCs w:val="22"/>
              </w:rPr>
            </w:pPr>
          </w:p>
        </w:tc>
        <w:tc>
          <w:tcPr>
            <w:tcW w:w="774" w:type="dxa"/>
            <w:tcBorders>
              <w:top w:val="nil"/>
              <w:left w:val="nil"/>
              <w:bottom w:val="nil"/>
              <w:right w:val="nil"/>
            </w:tcBorders>
          </w:tcPr>
          <w:p w14:paraId="16703A6A" w14:textId="77777777" w:rsidR="00B9640C" w:rsidRPr="00296330" w:rsidRDefault="00B9640C" w:rsidP="00B9640C">
            <w:pPr>
              <w:jc w:val="center"/>
              <w:rPr>
                <w:color w:val="000000"/>
                <w:sz w:val="22"/>
                <w:szCs w:val="22"/>
              </w:rPr>
            </w:pPr>
          </w:p>
        </w:tc>
      </w:tr>
      <w:tr w:rsidR="00B9640C" w:rsidRPr="00296330" w14:paraId="1A4DFB4E" w14:textId="6A7DA0DE" w:rsidTr="000660B4">
        <w:trPr>
          <w:trHeight w:val="310"/>
        </w:trPr>
        <w:tc>
          <w:tcPr>
            <w:tcW w:w="1081" w:type="dxa"/>
            <w:tcBorders>
              <w:top w:val="nil"/>
              <w:left w:val="nil"/>
              <w:bottom w:val="nil"/>
              <w:right w:val="nil"/>
            </w:tcBorders>
            <w:shd w:val="clear" w:color="auto" w:fill="auto"/>
            <w:noWrap/>
            <w:vAlign w:val="bottom"/>
            <w:hideMark/>
          </w:tcPr>
          <w:p w14:paraId="02FA2D6D"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52AD6B10" w14:textId="77777777" w:rsidR="00B9640C" w:rsidRPr="00296330" w:rsidRDefault="00B9640C" w:rsidP="00B9640C">
            <w:pPr>
              <w:rPr>
                <w:color w:val="000000"/>
                <w:sz w:val="22"/>
                <w:szCs w:val="22"/>
              </w:rPr>
            </w:pPr>
            <w:r w:rsidRPr="00296330">
              <w:rPr>
                <w:color w:val="000000"/>
                <w:sz w:val="22"/>
                <w:szCs w:val="22"/>
              </w:rPr>
              <w:t>Racially Diverse</w:t>
            </w:r>
          </w:p>
        </w:tc>
        <w:tc>
          <w:tcPr>
            <w:tcW w:w="552" w:type="dxa"/>
            <w:gridSpan w:val="2"/>
            <w:tcBorders>
              <w:top w:val="nil"/>
              <w:left w:val="nil"/>
              <w:bottom w:val="nil"/>
              <w:right w:val="nil"/>
            </w:tcBorders>
            <w:shd w:val="clear" w:color="auto" w:fill="auto"/>
            <w:noWrap/>
            <w:vAlign w:val="bottom"/>
            <w:hideMark/>
          </w:tcPr>
          <w:p w14:paraId="61F1350E" w14:textId="77777777" w:rsidR="00B9640C" w:rsidRPr="00296330" w:rsidRDefault="00B9640C" w:rsidP="00B9640C">
            <w:pPr>
              <w:jc w:val="right"/>
              <w:rPr>
                <w:color w:val="000000"/>
                <w:sz w:val="22"/>
                <w:szCs w:val="22"/>
              </w:rPr>
            </w:pPr>
            <w:r w:rsidRPr="00296330">
              <w:rPr>
                <w:color w:val="000000"/>
                <w:sz w:val="22"/>
                <w:szCs w:val="22"/>
              </w:rPr>
              <w:t>19</w:t>
            </w:r>
          </w:p>
        </w:tc>
        <w:tc>
          <w:tcPr>
            <w:tcW w:w="601" w:type="dxa"/>
            <w:tcBorders>
              <w:top w:val="nil"/>
              <w:left w:val="nil"/>
              <w:bottom w:val="nil"/>
              <w:right w:val="nil"/>
            </w:tcBorders>
            <w:shd w:val="clear" w:color="auto" w:fill="auto"/>
            <w:noWrap/>
            <w:vAlign w:val="bottom"/>
            <w:hideMark/>
          </w:tcPr>
          <w:p w14:paraId="7D8D4EAC" w14:textId="77777777" w:rsidR="00B9640C" w:rsidRPr="00296330" w:rsidRDefault="00B9640C" w:rsidP="00B9640C">
            <w:pPr>
              <w:jc w:val="right"/>
              <w:rPr>
                <w:color w:val="000000"/>
                <w:sz w:val="22"/>
                <w:szCs w:val="22"/>
              </w:rPr>
            </w:pPr>
            <w:r w:rsidRPr="00296330">
              <w:rPr>
                <w:color w:val="000000"/>
                <w:sz w:val="22"/>
                <w:szCs w:val="22"/>
              </w:rPr>
              <w:t>1.16</w:t>
            </w:r>
          </w:p>
        </w:tc>
        <w:tc>
          <w:tcPr>
            <w:tcW w:w="605" w:type="dxa"/>
            <w:tcBorders>
              <w:top w:val="nil"/>
              <w:left w:val="nil"/>
              <w:bottom w:val="nil"/>
              <w:right w:val="nil"/>
            </w:tcBorders>
            <w:shd w:val="clear" w:color="auto" w:fill="auto"/>
            <w:noWrap/>
            <w:vAlign w:val="bottom"/>
            <w:hideMark/>
          </w:tcPr>
          <w:p w14:paraId="31100E9A" w14:textId="77777777" w:rsidR="00B9640C" w:rsidRPr="00296330" w:rsidRDefault="00B9640C" w:rsidP="00B9640C">
            <w:pPr>
              <w:jc w:val="right"/>
              <w:rPr>
                <w:color w:val="000000"/>
                <w:sz w:val="22"/>
                <w:szCs w:val="22"/>
              </w:rPr>
            </w:pPr>
            <w:r w:rsidRPr="00296330">
              <w:rPr>
                <w:color w:val="000000"/>
                <w:sz w:val="22"/>
                <w:szCs w:val="22"/>
              </w:rPr>
              <w:t>1.39</w:t>
            </w:r>
          </w:p>
        </w:tc>
        <w:tc>
          <w:tcPr>
            <w:tcW w:w="1049" w:type="dxa"/>
            <w:tcBorders>
              <w:top w:val="nil"/>
              <w:left w:val="nil"/>
              <w:bottom w:val="nil"/>
              <w:right w:val="nil"/>
            </w:tcBorders>
            <w:shd w:val="clear" w:color="auto" w:fill="auto"/>
            <w:noWrap/>
            <w:vAlign w:val="bottom"/>
            <w:hideMark/>
          </w:tcPr>
          <w:p w14:paraId="500CF5FF"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1C461F7D"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4932CECF"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3D34B138"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297F78E7"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70914381" w14:textId="77777777" w:rsidR="00B9640C" w:rsidRPr="00296330" w:rsidRDefault="00B9640C" w:rsidP="00B9640C">
            <w:pPr>
              <w:jc w:val="center"/>
              <w:rPr>
                <w:sz w:val="22"/>
                <w:szCs w:val="22"/>
              </w:rPr>
            </w:pPr>
          </w:p>
        </w:tc>
      </w:tr>
      <w:tr w:rsidR="00B9640C" w:rsidRPr="00296330" w14:paraId="39AC77E5" w14:textId="0FD7AA6C" w:rsidTr="000660B4">
        <w:trPr>
          <w:trHeight w:val="310"/>
        </w:trPr>
        <w:tc>
          <w:tcPr>
            <w:tcW w:w="1081" w:type="dxa"/>
            <w:tcBorders>
              <w:top w:val="nil"/>
              <w:left w:val="nil"/>
              <w:bottom w:val="nil"/>
              <w:right w:val="nil"/>
            </w:tcBorders>
            <w:shd w:val="clear" w:color="auto" w:fill="auto"/>
            <w:noWrap/>
            <w:vAlign w:val="bottom"/>
            <w:hideMark/>
          </w:tcPr>
          <w:p w14:paraId="3CAE9A74"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11683A0C" w14:textId="77777777" w:rsidR="00B9640C" w:rsidRPr="00296330" w:rsidRDefault="00B9640C" w:rsidP="00B9640C">
            <w:pPr>
              <w:rPr>
                <w:color w:val="000000"/>
                <w:sz w:val="22"/>
                <w:szCs w:val="22"/>
              </w:rPr>
            </w:pPr>
            <w:r w:rsidRPr="00296330">
              <w:rPr>
                <w:color w:val="000000"/>
                <w:sz w:val="22"/>
                <w:szCs w:val="22"/>
              </w:rPr>
              <w:t>Majority Black</w:t>
            </w:r>
          </w:p>
        </w:tc>
        <w:tc>
          <w:tcPr>
            <w:tcW w:w="552" w:type="dxa"/>
            <w:gridSpan w:val="2"/>
            <w:tcBorders>
              <w:top w:val="nil"/>
              <w:left w:val="nil"/>
              <w:bottom w:val="nil"/>
              <w:right w:val="nil"/>
            </w:tcBorders>
            <w:shd w:val="clear" w:color="auto" w:fill="auto"/>
            <w:noWrap/>
            <w:vAlign w:val="bottom"/>
            <w:hideMark/>
          </w:tcPr>
          <w:p w14:paraId="66879308" w14:textId="77777777" w:rsidR="00B9640C" w:rsidRPr="00296330" w:rsidRDefault="00B9640C" w:rsidP="00B9640C">
            <w:pPr>
              <w:jc w:val="right"/>
              <w:rPr>
                <w:color w:val="000000"/>
                <w:sz w:val="22"/>
                <w:szCs w:val="22"/>
              </w:rPr>
            </w:pPr>
            <w:r w:rsidRPr="00296330">
              <w:rPr>
                <w:color w:val="000000"/>
                <w:sz w:val="22"/>
                <w:szCs w:val="22"/>
              </w:rPr>
              <w:t>26</w:t>
            </w:r>
          </w:p>
        </w:tc>
        <w:tc>
          <w:tcPr>
            <w:tcW w:w="601" w:type="dxa"/>
            <w:tcBorders>
              <w:top w:val="nil"/>
              <w:left w:val="nil"/>
              <w:bottom w:val="nil"/>
              <w:right w:val="nil"/>
            </w:tcBorders>
            <w:shd w:val="clear" w:color="auto" w:fill="auto"/>
            <w:noWrap/>
            <w:vAlign w:val="bottom"/>
            <w:hideMark/>
          </w:tcPr>
          <w:p w14:paraId="7A208E57" w14:textId="77777777" w:rsidR="00B9640C" w:rsidRPr="00296330" w:rsidRDefault="00B9640C" w:rsidP="00B9640C">
            <w:pPr>
              <w:jc w:val="right"/>
              <w:rPr>
                <w:color w:val="000000"/>
                <w:sz w:val="22"/>
                <w:szCs w:val="22"/>
              </w:rPr>
            </w:pPr>
            <w:r w:rsidRPr="00296330">
              <w:rPr>
                <w:color w:val="000000"/>
                <w:sz w:val="22"/>
                <w:szCs w:val="22"/>
              </w:rPr>
              <w:t>0.35</w:t>
            </w:r>
          </w:p>
        </w:tc>
        <w:tc>
          <w:tcPr>
            <w:tcW w:w="605" w:type="dxa"/>
            <w:tcBorders>
              <w:top w:val="nil"/>
              <w:left w:val="nil"/>
              <w:bottom w:val="nil"/>
              <w:right w:val="nil"/>
            </w:tcBorders>
            <w:shd w:val="clear" w:color="auto" w:fill="auto"/>
            <w:noWrap/>
            <w:vAlign w:val="bottom"/>
            <w:hideMark/>
          </w:tcPr>
          <w:p w14:paraId="4E01AA26" w14:textId="77777777" w:rsidR="00B9640C" w:rsidRPr="00296330" w:rsidRDefault="00B9640C" w:rsidP="00B9640C">
            <w:pPr>
              <w:jc w:val="right"/>
              <w:rPr>
                <w:color w:val="000000"/>
                <w:sz w:val="22"/>
                <w:szCs w:val="22"/>
              </w:rPr>
            </w:pPr>
            <w:r w:rsidRPr="00296330">
              <w:rPr>
                <w:color w:val="000000"/>
                <w:sz w:val="22"/>
                <w:szCs w:val="22"/>
              </w:rPr>
              <w:t>0.75</w:t>
            </w:r>
          </w:p>
        </w:tc>
        <w:tc>
          <w:tcPr>
            <w:tcW w:w="1049" w:type="dxa"/>
            <w:tcBorders>
              <w:top w:val="nil"/>
              <w:left w:val="nil"/>
              <w:bottom w:val="nil"/>
              <w:right w:val="nil"/>
            </w:tcBorders>
            <w:shd w:val="clear" w:color="auto" w:fill="auto"/>
            <w:noWrap/>
            <w:vAlign w:val="bottom"/>
            <w:hideMark/>
          </w:tcPr>
          <w:p w14:paraId="30E9481A"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007FCE30"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4215B884"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565478D1"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01ABDF91"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5FB19CC4" w14:textId="77777777" w:rsidR="00B9640C" w:rsidRPr="00296330" w:rsidRDefault="00B9640C" w:rsidP="00B9640C">
            <w:pPr>
              <w:jc w:val="center"/>
              <w:rPr>
                <w:sz w:val="22"/>
                <w:szCs w:val="22"/>
              </w:rPr>
            </w:pPr>
          </w:p>
        </w:tc>
      </w:tr>
      <w:tr w:rsidR="00B9640C" w:rsidRPr="00296330" w14:paraId="3BA03FB2" w14:textId="3BD7F980" w:rsidTr="000660B4">
        <w:trPr>
          <w:trHeight w:val="310"/>
        </w:trPr>
        <w:tc>
          <w:tcPr>
            <w:tcW w:w="1081" w:type="dxa"/>
            <w:tcBorders>
              <w:top w:val="nil"/>
              <w:left w:val="nil"/>
              <w:bottom w:val="nil"/>
              <w:right w:val="nil"/>
            </w:tcBorders>
            <w:shd w:val="clear" w:color="auto" w:fill="auto"/>
            <w:noWrap/>
            <w:vAlign w:val="bottom"/>
            <w:hideMark/>
          </w:tcPr>
          <w:p w14:paraId="28806B34"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619D80A8" w14:textId="77777777" w:rsidR="00B9640C" w:rsidRPr="00296330" w:rsidRDefault="00B9640C" w:rsidP="00B9640C">
            <w:pPr>
              <w:rPr>
                <w:color w:val="000000"/>
                <w:sz w:val="22"/>
                <w:szCs w:val="22"/>
              </w:rPr>
            </w:pPr>
            <w:r w:rsidRPr="00296330">
              <w:rPr>
                <w:color w:val="000000"/>
                <w:sz w:val="22"/>
                <w:szCs w:val="22"/>
              </w:rPr>
              <w:t>Majority White</w:t>
            </w:r>
          </w:p>
        </w:tc>
        <w:tc>
          <w:tcPr>
            <w:tcW w:w="552" w:type="dxa"/>
            <w:gridSpan w:val="2"/>
            <w:tcBorders>
              <w:top w:val="nil"/>
              <w:left w:val="nil"/>
              <w:bottom w:val="nil"/>
              <w:right w:val="nil"/>
            </w:tcBorders>
            <w:shd w:val="clear" w:color="auto" w:fill="auto"/>
            <w:noWrap/>
            <w:vAlign w:val="bottom"/>
            <w:hideMark/>
          </w:tcPr>
          <w:p w14:paraId="725D93E8" w14:textId="77777777" w:rsidR="00B9640C" w:rsidRPr="00296330" w:rsidRDefault="00B9640C" w:rsidP="00B9640C">
            <w:pPr>
              <w:jc w:val="right"/>
              <w:rPr>
                <w:color w:val="000000"/>
                <w:sz w:val="22"/>
                <w:szCs w:val="22"/>
              </w:rPr>
            </w:pPr>
            <w:r w:rsidRPr="00296330">
              <w:rPr>
                <w:color w:val="000000"/>
                <w:sz w:val="22"/>
                <w:szCs w:val="22"/>
              </w:rPr>
              <w:t>72</w:t>
            </w:r>
          </w:p>
        </w:tc>
        <w:tc>
          <w:tcPr>
            <w:tcW w:w="601" w:type="dxa"/>
            <w:tcBorders>
              <w:top w:val="nil"/>
              <w:left w:val="nil"/>
              <w:bottom w:val="nil"/>
              <w:right w:val="nil"/>
            </w:tcBorders>
            <w:shd w:val="clear" w:color="auto" w:fill="auto"/>
            <w:noWrap/>
            <w:vAlign w:val="bottom"/>
            <w:hideMark/>
          </w:tcPr>
          <w:p w14:paraId="0B00142F" w14:textId="77777777" w:rsidR="00B9640C" w:rsidRPr="00296330" w:rsidRDefault="00B9640C" w:rsidP="00B9640C">
            <w:pPr>
              <w:jc w:val="right"/>
              <w:rPr>
                <w:color w:val="000000"/>
                <w:sz w:val="22"/>
                <w:szCs w:val="22"/>
              </w:rPr>
            </w:pPr>
            <w:r w:rsidRPr="00296330">
              <w:rPr>
                <w:color w:val="000000"/>
                <w:sz w:val="22"/>
                <w:szCs w:val="22"/>
              </w:rPr>
              <w:t>0.53</w:t>
            </w:r>
          </w:p>
        </w:tc>
        <w:tc>
          <w:tcPr>
            <w:tcW w:w="605" w:type="dxa"/>
            <w:tcBorders>
              <w:top w:val="nil"/>
              <w:left w:val="nil"/>
              <w:bottom w:val="nil"/>
              <w:right w:val="nil"/>
            </w:tcBorders>
            <w:shd w:val="clear" w:color="auto" w:fill="auto"/>
            <w:noWrap/>
            <w:vAlign w:val="bottom"/>
            <w:hideMark/>
          </w:tcPr>
          <w:p w14:paraId="1D130DF1" w14:textId="77777777" w:rsidR="00B9640C" w:rsidRPr="00296330" w:rsidRDefault="00B9640C" w:rsidP="00B9640C">
            <w:pPr>
              <w:jc w:val="right"/>
              <w:rPr>
                <w:color w:val="000000"/>
                <w:sz w:val="22"/>
                <w:szCs w:val="22"/>
              </w:rPr>
            </w:pPr>
            <w:r w:rsidRPr="00296330">
              <w:rPr>
                <w:color w:val="000000"/>
                <w:sz w:val="22"/>
                <w:szCs w:val="22"/>
              </w:rPr>
              <w:t>0.77</w:t>
            </w:r>
          </w:p>
        </w:tc>
        <w:tc>
          <w:tcPr>
            <w:tcW w:w="1049" w:type="dxa"/>
            <w:tcBorders>
              <w:top w:val="nil"/>
              <w:left w:val="nil"/>
              <w:bottom w:val="nil"/>
              <w:right w:val="nil"/>
            </w:tcBorders>
            <w:shd w:val="clear" w:color="auto" w:fill="auto"/>
            <w:noWrap/>
            <w:vAlign w:val="bottom"/>
            <w:hideMark/>
          </w:tcPr>
          <w:p w14:paraId="7F0A993C"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54A585F6"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6D110F3F"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4282DEC5"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31A90136"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678B655C" w14:textId="77777777" w:rsidR="00B9640C" w:rsidRPr="00296330" w:rsidRDefault="00B9640C" w:rsidP="00B9640C">
            <w:pPr>
              <w:jc w:val="center"/>
              <w:rPr>
                <w:sz w:val="22"/>
                <w:szCs w:val="22"/>
              </w:rPr>
            </w:pPr>
          </w:p>
        </w:tc>
      </w:tr>
      <w:tr w:rsidR="00B9640C" w:rsidRPr="00296330" w14:paraId="6CC0CCB8" w14:textId="69BC6DA9" w:rsidTr="000660B4">
        <w:trPr>
          <w:trHeight w:val="310"/>
        </w:trPr>
        <w:tc>
          <w:tcPr>
            <w:tcW w:w="1081" w:type="dxa"/>
            <w:tcBorders>
              <w:top w:val="nil"/>
              <w:left w:val="nil"/>
              <w:bottom w:val="nil"/>
              <w:right w:val="nil"/>
            </w:tcBorders>
            <w:shd w:val="clear" w:color="auto" w:fill="auto"/>
            <w:noWrap/>
            <w:vAlign w:val="bottom"/>
            <w:hideMark/>
          </w:tcPr>
          <w:p w14:paraId="0DB869A8"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76BA0B46" w14:textId="77777777" w:rsidR="00B9640C" w:rsidRPr="00296330" w:rsidRDefault="00B9640C" w:rsidP="00B9640C">
            <w:pPr>
              <w:rPr>
                <w:color w:val="000000"/>
                <w:sz w:val="22"/>
                <w:szCs w:val="22"/>
              </w:rPr>
            </w:pPr>
            <w:r w:rsidRPr="00296330">
              <w:rPr>
                <w:color w:val="000000"/>
                <w:sz w:val="22"/>
                <w:szCs w:val="22"/>
              </w:rPr>
              <w:t>Majority Latino</w:t>
            </w:r>
          </w:p>
        </w:tc>
        <w:tc>
          <w:tcPr>
            <w:tcW w:w="552" w:type="dxa"/>
            <w:gridSpan w:val="2"/>
            <w:tcBorders>
              <w:top w:val="nil"/>
              <w:left w:val="nil"/>
              <w:bottom w:val="nil"/>
              <w:right w:val="nil"/>
            </w:tcBorders>
            <w:shd w:val="clear" w:color="auto" w:fill="auto"/>
            <w:noWrap/>
            <w:vAlign w:val="bottom"/>
            <w:hideMark/>
          </w:tcPr>
          <w:p w14:paraId="5A4F73F0" w14:textId="77777777" w:rsidR="00B9640C" w:rsidRPr="00296330" w:rsidRDefault="00B9640C" w:rsidP="00B9640C">
            <w:pPr>
              <w:jc w:val="right"/>
              <w:rPr>
                <w:color w:val="000000"/>
                <w:sz w:val="22"/>
                <w:szCs w:val="22"/>
              </w:rPr>
            </w:pPr>
            <w:r w:rsidRPr="00296330">
              <w:rPr>
                <w:color w:val="000000"/>
                <w:sz w:val="22"/>
                <w:szCs w:val="22"/>
              </w:rPr>
              <w:t>9</w:t>
            </w:r>
          </w:p>
        </w:tc>
        <w:tc>
          <w:tcPr>
            <w:tcW w:w="601" w:type="dxa"/>
            <w:tcBorders>
              <w:top w:val="nil"/>
              <w:left w:val="nil"/>
              <w:bottom w:val="nil"/>
              <w:right w:val="nil"/>
            </w:tcBorders>
            <w:shd w:val="clear" w:color="auto" w:fill="auto"/>
            <w:noWrap/>
            <w:vAlign w:val="bottom"/>
            <w:hideMark/>
          </w:tcPr>
          <w:p w14:paraId="351FB39A" w14:textId="77777777" w:rsidR="00B9640C" w:rsidRPr="00296330" w:rsidRDefault="00B9640C" w:rsidP="00B9640C">
            <w:pPr>
              <w:jc w:val="right"/>
              <w:rPr>
                <w:color w:val="000000"/>
                <w:sz w:val="22"/>
                <w:szCs w:val="22"/>
              </w:rPr>
            </w:pPr>
            <w:r w:rsidRPr="00296330">
              <w:rPr>
                <w:color w:val="000000"/>
                <w:sz w:val="22"/>
                <w:szCs w:val="22"/>
              </w:rPr>
              <w:t>0.11</w:t>
            </w:r>
          </w:p>
        </w:tc>
        <w:tc>
          <w:tcPr>
            <w:tcW w:w="605" w:type="dxa"/>
            <w:tcBorders>
              <w:top w:val="nil"/>
              <w:left w:val="nil"/>
              <w:bottom w:val="nil"/>
              <w:right w:val="nil"/>
            </w:tcBorders>
            <w:shd w:val="clear" w:color="auto" w:fill="auto"/>
            <w:noWrap/>
            <w:vAlign w:val="bottom"/>
            <w:hideMark/>
          </w:tcPr>
          <w:p w14:paraId="1C39E6A0" w14:textId="77777777" w:rsidR="00B9640C" w:rsidRPr="00296330" w:rsidRDefault="00B9640C" w:rsidP="00B9640C">
            <w:pPr>
              <w:jc w:val="right"/>
              <w:rPr>
                <w:color w:val="000000"/>
                <w:sz w:val="22"/>
                <w:szCs w:val="22"/>
              </w:rPr>
            </w:pPr>
            <w:r w:rsidRPr="00296330">
              <w:rPr>
                <w:color w:val="000000"/>
                <w:sz w:val="22"/>
                <w:szCs w:val="22"/>
              </w:rPr>
              <w:t>0.33</w:t>
            </w:r>
          </w:p>
        </w:tc>
        <w:tc>
          <w:tcPr>
            <w:tcW w:w="1049" w:type="dxa"/>
            <w:tcBorders>
              <w:top w:val="nil"/>
              <w:left w:val="nil"/>
              <w:bottom w:val="nil"/>
              <w:right w:val="nil"/>
            </w:tcBorders>
            <w:shd w:val="clear" w:color="auto" w:fill="auto"/>
            <w:noWrap/>
            <w:vAlign w:val="bottom"/>
            <w:hideMark/>
          </w:tcPr>
          <w:p w14:paraId="74514D22"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6E08F65A"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68DFD533"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6E030521"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04E8A9A5"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7CC7D42B" w14:textId="77777777" w:rsidR="00B9640C" w:rsidRPr="00296330" w:rsidRDefault="00B9640C" w:rsidP="00B9640C">
            <w:pPr>
              <w:jc w:val="center"/>
              <w:rPr>
                <w:sz w:val="22"/>
                <w:szCs w:val="22"/>
              </w:rPr>
            </w:pPr>
          </w:p>
        </w:tc>
      </w:tr>
      <w:tr w:rsidR="00B9640C" w:rsidRPr="00296330" w14:paraId="3BF1DCC2" w14:textId="1923656B" w:rsidTr="000660B4">
        <w:trPr>
          <w:trHeight w:val="310"/>
        </w:trPr>
        <w:tc>
          <w:tcPr>
            <w:tcW w:w="3313" w:type="dxa"/>
            <w:gridSpan w:val="2"/>
            <w:tcBorders>
              <w:top w:val="nil"/>
              <w:left w:val="nil"/>
              <w:bottom w:val="nil"/>
              <w:right w:val="nil"/>
            </w:tcBorders>
            <w:shd w:val="clear" w:color="auto" w:fill="auto"/>
            <w:noWrap/>
            <w:vAlign w:val="bottom"/>
            <w:hideMark/>
          </w:tcPr>
          <w:p w14:paraId="6C805258" w14:textId="4DE5CF1A" w:rsidR="00B9640C" w:rsidRPr="00296330" w:rsidRDefault="00B9640C" w:rsidP="00B9640C">
            <w:pPr>
              <w:rPr>
                <w:b/>
                <w:bCs/>
                <w:color w:val="000000"/>
                <w:sz w:val="22"/>
                <w:szCs w:val="22"/>
              </w:rPr>
            </w:pPr>
            <w:r w:rsidRPr="00296330">
              <w:rPr>
                <w:b/>
                <w:bCs/>
                <w:color w:val="000000"/>
                <w:sz w:val="22"/>
                <w:szCs w:val="22"/>
              </w:rPr>
              <w:t>Knowledge of Law</w:t>
            </w:r>
          </w:p>
        </w:tc>
        <w:tc>
          <w:tcPr>
            <w:tcW w:w="552" w:type="dxa"/>
            <w:gridSpan w:val="2"/>
            <w:tcBorders>
              <w:top w:val="nil"/>
              <w:left w:val="nil"/>
              <w:bottom w:val="nil"/>
              <w:right w:val="nil"/>
            </w:tcBorders>
            <w:shd w:val="clear" w:color="auto" w:fill="auto"/>
            <w:noWrap/>
            <w:vAlign w:val="bottom"/>
            <w:hideMark/>
          </w:tcPr>
          <w:p w14:paraId="11E3E006"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6E1608F0"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5E61D952"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6ADAFB9F" w14:textId="7D762790" w:rsidR="00B9640C" w:rsidRPr="00296330" w:rsidRDefault="00B9640C" w:rsidP="00B9640C">
            <w:pPr>
              <w:rPr>
                <w:sz w:val="22"/>
                <w:szCs w:val="22"/>
              </w:rPr>
            </w:pPr>
            <w:r>
              <w:rPr>
                <w:sz w:val="22"/>
                <w:szCs w:val="22"/>
              </w:rPr>
              <w:t>Between</w:t>
            </w:r>
          </w:p>
        </w:tc>
        <w:tc>
          <w:tcPr>
            <w:tcW w:w="995" w:type="dxa"/>
            <w:tcBorders>
              <w:top w:val="nil"/>
              <w:left w:val="nil"/>
              <w:bottom w:val="nil"/>
              <w:right w:val="nil"/>
            </w:tcBorders>
            <w:shd w:val="clear" w:color="auto" w:fill="auto"/>
            <w:noWrap/>
            <w:vAlign w:val="center"/>
            <w:hideMark/>
          </w:tcPr>
          <w:p w14:paraId="6DF404FC" w14:textId="34A1C17D" w:rsidR="00B9640C" w:rsidRPr="00296330" w:rsidRDefault="00B9640C" w:rsidP="00B9640C">
            <w:pPr>
              <w:jc w:val="center"/>
              <w:rPr>
                <w:sz w:val="22"/>
                <w:szCs w:val="22"/>
              </w:rPr>
            </w:pPr>
            <w:r w:rsidRPr="00296330">
              <w:rPr>
                <w:color w:val="000000"/>
                <w:sz w:val="22"/>
                <w:szCs w:val="22"/>
              </w:rPr>
              <w:t>14.63</w:t>
            </w:r>
          </w:p>
        </w:tc>
        <w:tc>
          <w:tcPr>
            <w:tcW w:w="601" w:type="dxa"/>
            <w:tcBorders>
              <w:top w:val="nil"/>
              <w:left w:val="nil"/>
              <w:bottom w:val="nil"/>
              <w:right w:val="nil"/>
            </w:tcBorders>
            <w:shd w:val="clear" w:color="auto" w:fill="auto"/>
            <w:noWrap/>
            <w:vAlign w:val="center"/>
            <w:hideMark/>
          </w:tcPr>
          <w:p w14:paraId="45702C0F" w14:textId="3C889CD2" w:rsidR="00B9640C" w:rsidRPr="00296330" w:rsidRDefault="00B9640C" w:rsidP="00B9640C">
            <w:pPr>
              <w:jc w:val="center"/>
              <w:rPr>
                <w:sz w:val="22"/>
                <w:szCs w:val="22"/>
              </w:rPr>
            </w:pPr>
            <w:r w:rsidRPr="00296330">
              <w:rPr>
                <w:color w:val="000000"/>
                <w:sz w:val="22"/>
                <w:szCs w:val="22"/>
              </w:rPr>
              <w:t>1</w:t>
            </w:r>
          </w:p>
        </w:tc>
        <w:tc>
          <w:tcPr>
            <w:tcW w:w="1096" w:type="dxa"/>
            <w:tcBorders>
              <w:top w:val="nil"/>
              <w:left w:val="nil"/>
              <w:bottom w:val="nil"/>
              <w:right w:val="nil"/>
            </w:tcBorders>
            <w:shd w:val="clear" w:color="auto" w:fill="auto"/>
            <w:noWrap/>
            <w:vAlign w:val="center"/>
            <w:hideMark/>
          </w:tcPr>
          <w:p w14:paraId="7B5726AB" w14:textId="5FF4F7E8" w:rsidR="00B9640C" w:rsidRPr="00296330" w:rsidRDefault="00B9640C" w:rsidP="00B9640C">
            <w:pPr>
              <w:jc w:val="center"/>
              <w:rPr>
                <w:sz w:val="22"/>
                <w:szCs w:val="22"/>
              </w:rPr>
            </w:pPr>
            <w:r w:rsidRPr="00296330">
              <w:rPr>
                <w:color w:val="000000"/>
                <w:sz w:val="22"/>
                <w:szCs w:val="22"/>
              </w:rPr>
              <w:t>14.63</w:t>
            </w:r>
          </w:p>
        </w:tc>
        <w:tc>
          <w:tcPr>
            <w:tcW w:w="1041" w:type="dxa"/>
            <w:tcBorders>
              <w:top w:val="nil"/>
              <w:left w:val="nil"/>
              <w:bottom w:val="nil"/>
              <w:right w:val="nil"/>
            </w:tcBorders>
            <w:shd w:val="clear" w:color="auto" w:fill="auto"/>
            <w:noWrap/>
            <w:vAlign w:val="center"/>
            <w:hideMark/>
          </w:tcPr>
          <w:p w14:paraId="59736B8D" w14:textId="53D77465" w:rsidR="00B9640C" w:rsidRPr="00296330" w:rsidRDefault="00B9640C" w:rsidP="00B9640C">
            <w:pPr>
              <w:jc w:val="center"/>
              <w:rPr>
                <w:sz w:val="22"/>
                <w:szCs w:val="22"/>
              </w:rPr>
            </w:pPr>
            <w:r w:rsidRPr="00296330">
              <w:rPr>
                <w:color w:val="000000"/>
                <w:sz w:val="22"/>
                <w:szCs w:val="22"/>
              </w:rPr>
              <w:t>14.15***</w:t>
            </w:r>
          </w:p>
        </w:tc>
        <w:tc>
          <w:tcPr>
            <w:tcW w:w="774" w:type="dxa"/>
            <w:tcBorders>
              <w:top w:val="nil"/>
              <w:left w:val="nil"/>
              <w:bottom w:val="nil"/>
              <w:right w:val="nil"/>
            </w:tcBorders>
          </w:tcPr>
          <w:p w14:paraId="7DF66DA5" w14:textId="0B991CDD" w:rsidR="00B9640C" w:rsidRPr="00296330" w:rsidRDefault="00B9640C" w:rsidP="00B9640C">
            <w:pPr>
              <w:jc w:val="center"/>
              <w:rPr>
                <w:sz w:val="22"/>
                <w:szCs w:val="22"/>
              </w:rPr>
            </w:pPr>
            <w:r>
              <w:rPr>
                <w:color w:val="000000"/>
                <w:sz w:val="22"/>
                <w:szCs w:val="22"/>
              </w:rPr>
              <w:t>0.092</w:t>
            </w:r>
          </w:p>
        </w:tc>
      </w:tr>
      <w:tr w:rsidR="00B9640C" w:rsidRPr="00296330" w14:paraId="13E6CE75" w14:textId="71D9407C" w:rsidTr="000660B4">
        <w:trPr>
          <w:trHeight w:val="310"/>
        </w:trPr>
        <w:tc>
          <w:tcPr>
            <w:tcW w:w="1081" w:type="dxa"/>
            <w:tcBorders>
              <w:top w:val="nil"/>
              <w:left w:val="nil"/>
              <w:bottom w:val="nil"/>
              <w:right w:val="nil"/>
            </w:tcBorders>
            <w:shd w:val="clear" w:color="auto" w:fill="auto"/>
            <w:noWrap/>
            <w:vAlign w:val="bottom"/>
            <w:hideMark/>
          </w:tcPr>
          <w:p w14:paraId="48AEE4D4"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788D777F" w14:textId="77777777" w:rsidR="00B9640C" w:rsidRPr="00296330" w:rsidRDefault="00B9640C" w:rsidP="00B9640C">
            <w:pPr>
              <w:rPr>
                <w:sz w:val="22"/>
                <w:szCs w:val="22"/>
              </w:rPr>
            </w:pPr>
          </w:p>
        </w:tc>
        <w:tc>
          <w:tcPr>
            <w:tcW w:w="552" w:type="dxa"/>
            <w:gridSpan w:val="2"/>
            <w:tcBorders>
              <w:top w:val="nil"/>
              <w:left w:val="nil"/>
              <w:bottom w:val="nil"/>
              <w:right w:val="nil"/>
            </w:tcBorders>
            <w:shd w:val="clear" w:color="auto" w:fill="auto"/>
            <w:noWrap/>
            <w:vAlign w:val="bottom"/>
            <w:hideMark/>
          </w:tcPr>
          <w:p w14:paraId="662E4536"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18220F0C"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6DA7FE72"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center"/>
            <w:hideMark/>
          </w:tcPr>
          <w:p w14:paraId="60D9595E" w14:textId="50113B03" w:rsidR="00B9640C" w:rsidRPr="00296330" w:rsidRDefault="00B9640C" w:rsidP="00B9640C">
            <w:pPr>
              <w:rPr>
                <w:sz w:val="22"/>
                <w:szCs w:val="22"/>
              </w:rPr>
            </w:pPr>
            <w:r w:rsidRPr="00296330">
              <w:rPr>
                <w:color w:val="000000"/>
                <w:sz w:val="22"/>
                <w:szCs w:val="22"/>
              </w:rPr>
              <w:t>143.64</w:t>
            </w:r>
          </w:p>
        </w:tc>
        <w:tc>
          <w:tcPr>
            <w:tcW w:w="995" w:type="dxa"/>
            <w:tcBorders>
              <w:top w:val="nil"/>
              <w:left w:val="nil"/>
              <w:bottom w:val="nil"/>
              <w:right w:val="nil"/>
            </w:tcBorders>
            <w:shd w:val="clear" w:color="auto" w:fill="auto"/>
            <w:noWrap/>
            <w:vAlign w:val="center"/>
            <w:hideMark/>
          </w:tcPr>
          <w:p w14:paraId="0D465207" w14:textId="4011C452" w:rsidR="00B9640C" w:rsidRPr="00296330" w:rsidRDefault="00B9640C" w:rsidP="00B9640C">
            <w:pPr>
              <w:jc w:val="center"/>
              <w:rPr>
                <w:sz w:val="22"/>
                <w:szCs w:val="22"/>
              </w:rPr>
            </w:pPr>
            <w:r w:rsidRPr="00296330">
              <w:rPr>
                <w:color w:val="000000"/>
                <w:sz w:val="22"/>
                <w:szCs w:val="22"/>
              </w:rPr>
              <w:t>139</w:t>
            </w:r>
          </w:p>
        </w:tc>
        <w:tc>
          <w:tcPr>
            <w:tcW w:w="601" w:type="dxa"/>
            <w:tcBorders>
              <w:top w:val="nil"/>
              <w:left w:val="nil"/>
              <w:bottom w:val="nil"/>
              <w:right w:val="nil"/>
            </w:tcBorders>
            <w:shd w:val="clear" w:color="auto" w:fill="auto"/>
            <w:noWrap/>
            <w:vAlign w:val="center"/>
            <w:hideMark/>
          </w:tcPr>
          <w:p w14:paraId="5DC59914" w14:textId="04A55CA7" w:rsidR="00B9640C" w:rsidRPr="00296330" w:rsidRDefault="00B9640C" w:rsidP="00B9640C">
            <w:pPr>
              <w:jc w:val="center"/>
              <w:rPr>
                <w:sz w:val="22"/>
                <w:szCs w:val="22"/>
              </w:rPr>
            </w:pPr>
            <w:r w:rsidRPr="00296330">
              <w:rPr>
                <w:color w:val="000000"/>
                <w:sz w:val="22"/>
                <w:szCs w:val="22"/>
              </w:rPr>
              <w:t>1.03</w:t>
            </w:r>
          </w:p>
        </w:tc>
        <w:tc>
          <w:tcPr>
            <w:tcW w:w="1096" w:type="dxa"/>
            <w:tcBorders>
              <w:top w:val="nil"/>
              <w:left w:val="nil"/>
              <w:bottom w:val="nil"/>
              <w:right w:val="nil"/>
            </w:tcBorders>
            <w:shd w:val="clear" w:color="auto" w:fill="auto"/>
            <w:noWrap/>
            <w:vAlign w:val="center"/>
            <w:hideMark/>
          </w:tcPr>
          <w:p w14:paraId="008E797F"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hideMark/>
          </w:tcPr>
          <w:p w14:paraId="74D7BFD2"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368BC477" w14:textId="77777777" w:rsidR="00B9640C" w:rsidRPr="00296330" w:rsidRDefault="00B9640C" w:rsidP="00B9640C">
            <w:pPr>
              <w:jc w:val="center"/>
              <w:rPr>
                <w:sz w:val="22"/>
                <w:szCs w:val="22"/>
              </w:rPr>
            </w:pPr>
          </w:p>
        </w:tc>
      </w:tr>
      <w:tr w:rsidR="00B9640C" w:rsidRPr="00296330" w14:paraId="03852576" w14:textId="2AFCE6F8" w:rsidTr="000660B4">
        <w:trPr>
          <w:trHeight w:val="310"/>
        </w:trPr>
        <w:tc>
          <w:tcPr>
            <w:tcW w:w="1081" w:type="dxa"/>
            <w:tcBorders>
              <w:top w:val="nil"/>
              <w:left w:val="nil"/>
              <w:bottom w:val="nil"/>
              <w:right w:val="nil"/>
            </w:tcBorders>
            <w:shd w:val="clear" w:color="auto" w:fill="auto"/>
            <w:noWrap/>
            <w:vAlign w:val="bottom"/>
            <w:hideMark/>
          </w:tcPr>
          <w:p w14:paraId="188B2491"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2D067BC9" w14:textId="77777777" w:rsidR="00B9640C" w:rsidRPr="00296330" w:rsidRDefault="00B9640C" w:rsidP="00B9640C">
            <w:pPr>
              <w:rPr>
                <w:color w:val="000000"/>
                <w:sz w:val="22"/>
                <w:szCs w:val="22"/>
              </w:rPr>
            </w:pPr>
            <w:r w:rsidRPr="00296330">
              <w:rPr>
                <w:color w:val="000000"/>
                <w:sz w:val="22"/>
                <w:szCs w:val="22"/>
              </w:rPr>
              <w:t>Below Average</w:t>
            </w:r>
          </w:p>
        </w:tc>
        <w:tc>
          <w:tcPr>
            <w:tcW w:w="552" w:type="dxa"/>
            <w:gridSpan w:val="2"/>
            <w:tcBorders>
              <w:top w:val="nil"/>
              <w:left w:val="nil"/>
              <w:bottom w:val="nil"/>
              <w:right w:val="nil"/>
            </w:tcBorders>
            <w:shd w:val="clear" w:color="auto" w:fill="auto"/>
            <w:noWrap/>
            <w:vAlign w:val="bottom"/>
            <w:hideMark/>
          </w:tcPr>
          <w:p w14:paraId="6CC78ED5" w14:textId="77777777" w:rsidR="00B9640C" w:rsidRPr="00296330" w:rsidRDefault="00B9640C" w:rsidP="00B9640C">
            <w:pPr>
              <w:jc w:val="right"/>
              <w:rPr>
                <w:color w:val="000000"/>
                <w:sz w:val="22"/>
                <w:szCs w:val="22"/>
              </w:rPr>
            </w:pPr>
            <w:r w:rsidRPr="00296330">
              <w:rPr>
                <w:color w:val="000000"/>
                <w:sz w:val="22"/>
                <w:szCs w:val="22"/>
              </w:rPr>
              <w:t>49</w:t>
            </w:r>
          </w:p>
        </w:tc>
        <w:tc>
          <w:tcPr>
            <w:tcW w:w="601" w:type="dxa"/>
            <w:tcBorders>
              <w:top w:val="nil"/>
              <w:left w:val="nil"/>
              <w:bottom w:val="nil"/>
              <w:right w:val="nil"/>
            </w:tcBorders>
            <w:shd w:val="clear" w:color="auto" w:fill="auto"/>
            <w:noWrap/>
            <w:vAlign w:val="bottom"/>
            <w:hideMark/>
          </w:tcPr>
          <w:p w14:paraId="3EBF5FCA" w14:textId="77777777" w:rsidR="00B9640C" w:rsidRPr="00296330" w:rsidRDefault="00B9640C" w:rsidP="00B9640C">
            <w:pPr>
              <w:jc w:val="right"/>
              <w:rPr>
                <w:color w:val="000000"/>
                <w:sz w:val="22"/>
                <w:szCs w:val="22"/>
              </w:rPr>
            </w:pPr>
            <w:r w:rsidRPr="00296330">
              <w:rPr>
                <w:color w:val="000000"/>
                <w:sz w:val="22"/>
                <w:szCs w:val="22"/>
              </w:rPr>
              <w:t>0.20</w:t>
            </w:r>
          </w:p>
        </w:tc>
        <w:tc>
          <w:tcPr>
            <w:tcW w:w="605" w:type="dxa"/>
            <w:tcBorders>
              <w:top w:val="nil"/>
              <w:left w:val="nil"/>
              <w:bottom w:val="nil"/>
              <w:right w:val="nil"/>
            </w:tcBorders>
            <w:shd w:val="clear" w:color="auto" w:fill="auto"/>
            <w:noWrap/>
            <w:vAlign w:val="bottom"/>
            <w:hideMark/>
          </w:tcPr>
          <w:p w14:paraId="4ECA9D20" w14:textId="77777777" w:rsidR="00B9640C" w:rsidRPr="00296330" w:rsidRDefault="00B9640C" w:rsidP="00B9640C">
            <w:pPr>
              <w:jc w:val="right"/>
              <w:rPr>
                <w:color w:val="000000"/>
                <w:sz w:val="22"/>
                <w:szCs w:val="22"/>
              </w:rPr>
            </w:pPr>
            <w:r w:rsidRPr="00296330">
              <w:rPr>
                <w:color w:val="000000"/>
                <w:sz w:val="22"/>
                <w:szCs w:val="22"/>
              </w:rPr>
              <w:t>0.45</w:t>
            </w:r>
          </w:p>
        </w:tc>
        <w:tc>
          <w:tcPr>
            <w:tcW w:w="1049" w:type="dxa"/>
            <w:tcBorders>
              <w:top w:val="nil"/>
              <w:left w:val="nil"/>
              <w:bottom w:val="nil"/>
              <w:right w:val="nil"/>
            </w:tcBorders>
            <w:shd w:val="clear" w:color="auto" w:fill="auto"/>
            <w:noWrap/>
            <w:vAlign w:val="bottom"/>
            <w:hideMark/>
          </w:tcPr>
          <w:p w14:paraId="4DFABF2C"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tcPr>
          <w:p w14:paraId="2784E011" w14:textId="5BA6D9D8" w:rsidR="00B9640C" w:rsidRPr="00296330" w:rsidRDefault="00B9640C" w:rsidP="00B9640C">
            <w:pPr>
              <w:jc w:val="center"/>
              <w:rPr>
                <w:color w:val="000000"/>
                <w:sz w:val="22"/>
                <w:szCs w:val="22"/>
              </w:rPr>
            </w:pPr>
          </w:p>
        </w:tc>
        <w:tc>
          <w:tcPr>
            <w:tcW w:w="601" w:type="dxa"/>
            <w:tcBorders>
              <w:top w:val="nil"/>
              <w:left w:val="nil"/>
              <w:bottom w:val="nil"/>
              <w:right w:val="nil"/>
            </w:tcBorders>
            <w:shd w:val="clear" w:color="auto" w:fill="auto"/>
            <w:noWrap/>
            <w:vAlign w:val="center"/>
          </w:tcPr>
          <w:p w14:paraId="2F94A0ED" w14:textId="18FDCCCF" w:rsidR="00B9640C" w:rsidRPr="00296330" w:rsidRDefault="00B9640C" w:rsidP="00B9640C">
            <w:pPr>
              <w:jc w:val="center"/>
              <w:rPr>
                <w:color w:val="000000"/>
                <w:sz w:val="22"/>
                <w:szCs w:val="22"/>
              </w:rPr>
            </w:pPr>
          </w:p>
        </w:tc>
        <w:tc>
          <w:tcPr>
            <w:tcW w:w="1096" w:type="dxa"/>
            <w:tcBorders>
              <w:top w:val="nil"/>
              <w:left w:val="nil"/>
              <w:bottom w:val="nil"/>
              <w:right w:val="nil"/>
            </w:tcBorders>
            <w:shd w:val="clear" w:color="auto" w:fill="auto"/>
            <w:noWrap/>
            <w:vAlign w:val="center"/>
          </w:tcPr>
          <w:p w14:paraId="73EE7923" w14:textId="1C98478E" w:rsidR="00B9640C" w:rsidRPr="00296330" w:rsidRDefault="00B9640C" w:rsidP="00B9640C">
            <w:pPr>
              <w:jc w:val="center"/>
              <w:rPr>
                <w:color w:val="000000"/>
                <w:sz w:val="22"/>
                <w:szCs w:val="22"/>
              </w:rPr>
            </w:pPr>
          </w:p>
        </w:tc>
        <w:tc>
          <w:tcPr>
            <w:tcW w:w="1041" w:type="dxa"/>
            <w:tcBorders>
              <w:top w:val="nil"/>
              <w:left w:val="nil"/>
              <w:bottom w:val="nil"/>
              <w:right w:val="nil"/>
            </w:tcBorders>
            <w:shd w:val="clear" w:color="auto" w:fill="auto"/>
            <w:noWrap/>
            <w:vAlign w:val="center"/>
          </w:tcPr>
          <w:p w14:paraId="1EAA3A23" w14:textId="1CB666F3" w:rsidR="00B9640C" w:rsidRPr="00296330" w:rsidRDefault="00B9640C" w:rsidP="00B9640C">
            <w:pPr>
              <w:jc w:val="center"/>
              <w:rPr>
                <w:color w:val="000000"/>
                <w:sz w:val="22"/>
                <w:szCs w:val="22"/>
              </w:rPr>
            </w:pPr>
          </w:p>
        </w:tc>
        <w:tc>
          <w:tcPr>
            <w:tcW w:w="774" w:type="dxa"/>
            <w:tcBorders>
              <w:top w:val="nil"/>
              <w:left w:val="nil"/>
              <w:bottom w:val="nil"/>
              <w:right w:val="nil"/>
            </w:tcBorders>
          </w:tcPr>
          <w:p w14:paraId="4335747C" w14:textId="2A7319ED" w:rsidR="00B9640C" w:rsidRPr="00296330" w:rsidRDefault="00B9640C" w:rsidP="00B9640C">
            <w:pPr>
              <w:jc w:val="center"/>
              <w:rPr>
                <w:color w:val="000000"/>
                <w:sz w:val="22"/>
                <w:szCs w:val="22"/>
              </w:rPr>
            </w:pPr>
          </w:p>
        </w:tc>
      </w:tr>
      <w:tr w:rsidR="00B9640C" w:rsidRPr="00296330" w14:paraId="111B0A4E" w14:textId="74C2A251" w:rsidTr="000660B4">
        <w:trPr>
          <w:trHeight w:val="310"/>
        </w:trPr>
        <w:tc>
          <w:tcPr>
            <w:tcW w:w="1081" w:type="dxa"/>
            <w:tcBorders>
              <w:top w:val="nil"/>
              <w:left w:val="nil"/>
              <w:bottom w:val="nil"/>
              <w:right w:val="nil"/>
            </w:tcBorders>
            <w:shd w:val="clear" w:color="auto" w:fill="auto"/>
            <w:noWrap/>
            <w:vAlign w:val="bottom"/>
            <w:hideMark/>
          </w:tcPr>
          <w:p w14:paraId="25FAE40E" w14:textId="77777777" w:rsidR="00B9640C" w:rsidRPr="00296330" w:rsidRDefault="00B9640C" w:rsidP="00B9640C">
            <w:pPr>
              <w:rPr>
                <w:color w:val="000000"/>
                <w:sz w:val="22"/>
                <w:szCs w:val="22"/>
              </w:rPr>
            </w:pPr>
          </w:p>
        </w:tc>
        <w:tc>
          <w:tcPr>
            <w:tcW w:w="2232" w:type="dxa"/>
            <w:tcBorders>
              <w:top w:val="nil"/>
              <w:left w:val="nil"/>
              <w:bottom w:val="nil"/>
              <w:right w:val="nil"/>
            </w:tcBorders>
            <w:shd w:val="clear" w:color="auto" w:fill="auto"/>
            <w:noWrap/>
            <w:vAlign w:val="bottom"/>
            <w:hideMark/>
          </w:tcPr>
          <w:p w14:paraId="250BABCE" w14:textId="77777777" w:rsidR="00B9640C" w:rsidRPr="00296330" w:rsidRDefault="00B9640C" w:rsidP="00B9640C">
            <w:pPr>
              <w:rPr>
                <w:color w:val="000000"/>
                <w:sz w:val="22"/>
                <w:szCs w:val="22"/>
              </w:rPr>
            </w:pPr>
            <w:r w:rsidRPr="00296330">
              <w:rPr>
                <w:color w:val="000000"/>
                <w:sz w:val="22"/>
                <w:szCs w:val="22"/>
              </w:rPr>
              <w:t>Above Average</w:t>
            </w:r>
          </w:p>
        </w:tc>
        <w:tc>
          <w:tcPr>
            <w:tcW w:w="552" w:type="dxa"/>
            <w:gridSpan w:val="2"/>
            <w:tcBorders>
              <w:top w:val="nil"/>
              <w:left w:val="nil"/>
              <w:bottom w:val="nil"/>
              <w:right w:val="nil"/>
            </w:tcBorders>
            <w:shd w:val="clear" w:color="auto" w:fill="auto"/>
            <w:noWrap/>
            <w:vAlign w:val="bottom"/>
            <w:hideMark/>
          </w:tcPr>
          <w:p w14:paraId="4BCAB296" w14:textId="77777777" w:rsidR="00B9640C" w:rsidRPr="00296330" w:rsidRDefault="00B9640C" w:rsidP="00B9640C">
            <w:pPr>
              <w:jc w:val="right"/>
              <w:rPr>
                <w:color w:val="000000"/>
                <w:sz w:val="22"/>
                <w:szCs w:val="22"/>
              </w:rPr>
            </w:pPr>
            <w:r w:rsidRPr="00296330">
              <w:rPr>
                <w:color w:val="000000"/>
                <w:sz w:val="22"/>
                <w:szCs w:val="22"/>
              </w:rPr>
              <w:t>92</w:t>
            </w:r>
          </w:p>
        </w:tc>
        <w:tc>
          <w:tcPr>
            <w:tcW w:w="601" w:type="dxa"/>
            <w:tcBorders>
              <w:top w:val="nil"/>
              <w:left w:val="nil"/>
              <w:bottom w:val="nil"/>
              <w:right w:val="nil"/>
            </w:tcBorders>
            <w:shd w:val="clear" w:color="auto" w:fill="auto"/>
            <w:noWrap/>
            <w:vAlign w:val="bottom"/>
            <w:hideMark/>
          </w:tcPr>
          <w:p w14:paraId="3A31F989" w14:textId="77777777" w:rsidR="00B9640C" w:rsidRPr="00296330" w:rsidRDefault="00B9640C" w:rsidP="00B9640C">
            <w:pPr>
              <w:jc w:val="right"/>
              <w:rPr>
                <w:color w:val="000000"/>
                <w:sz w:val="22"/>
                <w:szCs w:val="22"/>
              </w:rPr>
            </w:pPr>
            <w:r w:rsidRPr="00296330">
              <w:rPr>
                <w:color w:val="000000"/>
                <w:sz w:val="22"/>
                <w:szCs w:val="22"/>
              </w:rPr>
              <w:t>0.88</w:t>
            </w:r>
          </w:p>
        </w:tc>
        <w:tc>
          <w:tcPr>
            <w:tcW w:w="605" w:type="dxa"/>
            <w:tcBorders>
              <w:top w:val="nil"/>
              <w:left w:val="nil"/>
              <w:bottom w:val="nil"/>
              <w:right w:val="nil"/>
            </w:tcBorders>
            <w:shd w:val="clear" w:color="auto" w:fill="auto"/>
            <w:noWrap/>
            <w:vAlign w:val="bottom"/>
            <w:hideMark/>
          </w:tcPr>
          <w:p w14:paraId="2A3EDCD4" w14:textId="77777777" w:rsidR="00B9640C" w:rsidRPr="00296330" w:rsidRDefault="00B9640C" w:rsidP="00B9640C">
            <w:pPr>
              <w:jc w:val="right"/>
              <w:rPr>
                <w:color w:val="000000"/>
                <w:sz w:val="22"/>
                <w:szCs w:val="22"/>
              </w:rPr>
            </w:pPr>
            <w:r w:rsidRPr="00296330">
              <w:rPr>
                <w:color w:val="000000"/>
                <w:sz w:val="22"/>
                <w:szCs w:val="22"/>
              </w:rPr>
              <w:t>1.21</w:t>
            </w:r>
          </w:p>
        </w:tc>
        <w:tc>
          <w:tcPr>
            <w:tcW w:w="1049" w:type="dxa"/>
            <w:tcBorders>
              <w:top w:val="nil"/>
              <w:left w:val="nil"/>
              <w:bottom w:val="nil"/>
              <w:right w:val="nil"/>
            </w:tcBorders>
            <w:shd w:val="clear" w:color="auto" w:fill="auto"/>
            <w:noWrap/>
            <w:vAlign w:val="bottom"/>
            <w:hideMark/>
          </w:tcPr>
          <w:p w14:paraId="48AA859C"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tcPr>
          <w:p w14:paraId="50D48E48" w14:textId="40BF28F8" w:rsidR="00B9640C" w:rsidRPr="00296330" w:rsidRDefault="00B9640C" w:rsidP="00B9640C">
            <w:pPr>
              <w:jc w:val="center"/>
              <w:rPr>
                <w:color w:val="000000"/>
                <w:sz w:val="22"/>
                <w:szCs w:val="22"/>
              </w:rPr>
            </w:pPr>
          </w:p>
        </w:tc>
        <w:tc>
          <w:tcPr>
            <w:tcW w:w="601" w:type="dxa"/>
            <w:tcBorders>
              <w:top w:val="nil"/>
              <w:left w:val="nil"/>
              <w:bottom w:val="nil"/>
              <w:right w:val="nil"/>
            </w:tcBorders>
            <w:shd w:val="clear" w:color="auto" w:fill="auto"/>
            <w:noWrap/>
            <w:vAlign w:val="center"/>
          </w:tcPr>
          <w:p w14:paraId="05634D7B" w14:textId="3DE2CC29" w:rsidR="00B9640C" w:rsidRPr="00296330" w:rsidRDefault="00B9640C" w:rsidP="00B9640C">
            <w:pPr>
              <w:jc w:val="center"/>
              <w:rPr>
                <w:color w:val="000000"/>
                <w:sz w:val="22"/>
                <w:szCs w:val="22"/>
              </w:rPr>
            </w:pPr>
          </w:p>
        </w:tc>
        <w:tc>
          <w:tcPr>
            <w:tcW w:w="1096" w:type="dxa"/>
            <w:tcBorders>
              <w:top w:val="nil"/>
              <w:left w:val="nil"/>
              <w:bottom w:val="nil"/>
              <w:right w:val="nil"/>
            </w:tcBorders>
            <w:shd w:val="clear" w:color="auto" w:fill="auto"/>
            <w:noWrap/>
            <w:vAlign w:val="center"/>
          </w:tcPr>
          <w:p w14:paraId="4DA01BAF" w14:textId="2B001999" w:rsidR="00B9640C" w:rsidRPr="00296330" w:rsidRDefault="00B9640C" w:rsidP="00B9640C">
            <w:pPr>
              <w:jc w:val="center"/>
              <w:rPr>
                <w:color w:val="000000"/>
                <w:sz w:val="22"/>
                <w:szCs w:val="22"/>
              </w:rPr>
            </w:pPr>
          </w:p>
        </w:tc>
        <w:tc>
          <w:tcPr>
            <w:tcW w:w="1041" w:type="dxa"/>
            <w:tcBorders>
              <w:top w:val="nil"/>
              <w:left w:val="nil"/>
              <w:bottom w:val="nil"/>
              <w:right w:val="nil"/>
            </w:tcBorders>
            <w:shd w:val="clear" w:color="auto" w:fill="auto"/>
            <w:noWrap/>
            <w:vAlign w:val="center"/>
          </w:tcPr>
          <w:p w14:paraId="1252E4AA" w14:textId="77777777" w:rsidR="00B9640C" w:rsidRPr="00296330" w:rsidRDefault="00B9640C" w:rsidP="00B9640C">
            <w:pPr>
              <w:jc w:val="center"/>
              <w:rPr>
                <w:color w:val="000000"/>
                <w:sz w:val="22"/>
                <w:szCs w:val="22"/>
              </w:rPr>
            </w:pPr>
          </w:p>
        </w:tc>
        <w:tc>
          <w:tcPr>
            <w:tcW w:w="774" w:type="dxa"/>
            <w:tcBorders>
              <w:top w:val="nil"/>
              <w:left w:val="nil"/>
              <w:bottom w:val="nil"/>
              <w:right w:val="nil"/>
            </w:tcBorders>
          </w:tcPr>
          <w:p w14:paraId="69DA057E" w14:textId="77777777" w:rsidR="00B9640C" w:rsidRPr="00296330" w:rsidRDefault="00B9640C" w:rsidP="00B9640C">
            <w:pPr>
              <w:jc w:val="center"/>
              <w:rPr>
                <w:color w:val="000000"/>
                <w:sz w:val="22"/>
                <w:szCs w:val="22"/>
              </w:rPr>
            </w:pPr>
          </w:p>
        </w:tc>
      </w:tr>
      <w:tr w:rsidR="00B9640C" w:rsidRPr="00296330" w14:paraId="3CE71156" w14:textId="6C11AD94" w:rsidTr="000660B4">
        <w:trPr>
          <w:trHeight w:val="310"/>
        </w:trPr>
        <w:tc>
          <w:tcPr>
            <w:tcW w:w="1081" w:type="dxa"/>
            <w:tcBorders>
              <w:top w:val="nil"/>
              <w:left w:val="nil"/>
              <w:bottom w:val="nil"/>
              <w:right w:val="nil"/>
            </w:tcBorders>
            <w:shd w:val="clear" w:color="auto" w:fill="auto"/>
            <w:noWrap/>
            <w:vAlign w:val="bottom"/>
            <w:hideMark/>
          </w:tcPr>
          <w:p w14:paraId="5566FCD2"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6AFDDDC0" w14:textId="77777777" w:rsidR="00B9640C" w:rsidRPr="00296330" w:rsidRDefault="00B9640C" w:rsidP="00B9640C">
            <w:pPr>
              <w:rPr>
                <w:sz w:val="22"/>
                <w:szCs w:val="22"/>
              </w:rPr>
            </w:pPr>
          </w:p>
        </w:tc>
        <w:tc>
          <w:tcPr>
            <w:tcW w:w="552" w:type="dxa"/>
            <w:gridSpan w:val="2"/>
            <w:tcBorders>
              <w:top w:val="nil"/>
              <w:left w:val="nil"/>
              <w:bottom w:val="nil"/>
              <w:right w:val="nil"/>
            </w:tcBorders>
            <w:shd w:val="clear" w:color="auto" w:fill="auto"/>
            <w:noWrap/>
            <w:vAlign w:val="bottom"/>
            <w:hideMark/>
          </w:tcPr>
          <w:p w14:paraId="28310A4F"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7C654067"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5364A91A"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57B823AF" w14:textId="77777777" w:rsidR="00B9640C" w:rsidRPr="00296330" w:rsidRDefault="00B9640C" w:rsidP="00B9640C">
            <w:pPr>
              <w:rPr>
                <w:sz w:val="22"/>
                <w:szCs w:val="22"/>
              </w:rPr>
            </w:pPr>
          </w:p>
        </w:tc>
        <w:tc>
          <w:tcPr>
            <w:tcW w:w="995" w:type="dxa"/>
            <w:tcBorders>
              <w:top w:val="nil"/>
              <w:left w:val="nil"/>
              <w:bottom w:val="nil"/>
              <w:right w:val="nil"/>
            </w:tcBorders>
            <w:shd w:val="clear" w:color="auto" w:fill="auto"/>
            <w:noWrap/>
            <w:vAlign w:val="center"/>
            <w:hideMark/>
          </w:tcPr>
          <w:p w14:paraId="4E3DD73A"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3576A011"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22E77768"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24DC9258"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7D3CFBCD" w14:textId="77777777" w:rsidR="00B9640C" w:rsidRPr="00296330" w:rsidRDefault="00B9640C" w:rsidP="00B9640C">
            <w:pPr>
              <w:jc w:val="center"/>
              <w:rPr>
                <w:sz w:val="22"/>
                <w:szCs w:val="22"/>
              </w:rPr>
            </w:pPr>
          </w:p>
        </w:tc>
      </w:tr>
      <w:tr w:rsidR="00B9640C" w:rsidRPr="00296330" w14:paraId="5D816E89" w14:textId="2794DD30" w:rsidTr="000660B4">
        <w:trPr>
          <w:trHeight w:val="144"/>
        </w:trPr>
        <w:tc>
          <w:tcPr>
            <w:tcW w:w="3313" w:type="dxa"/>
            <w:gridSpan w:val="2"/>
            <w:tcBorders>
              <w:top w:val="nil"/>
              <w:left w:val="nil"/>
              <w:bottom w:val="nil"/>
              <w:right w:val="nil"/>
            </w:tcBorders>
            <w:shd w:val="clear" w:color="auto" w:fill="auto"/>
            <w:vAlign w:val="bottom"/>
            <w:hideMark/>
          </w:tcPr>
          <w:p w14:paraId="0790E225" w14:textId="74B96161" w:rsidR="00B9640C" w:rsidRPr="00296330" w:rsidRDefault="00B9640C" w:rsidP="00B9640C">
            <w:pPr>
              <w:rPr>
                <w:b/>
                <w:bCs/>
                <w:color w:val="000000"/>
                <w:sz w:val="22"/>
                <w:szCs w:val="22"/>
              </w:rPr>
            </w:pPr>
            <w:r w:rsidRPr="00296330">
              <w:rPr>
                <w:b/>
                <w:bCs/>
                <w:color w:val="000000"/>
                <w:sz w:val="22"/>
                <w:szCs w:val="22"/>
              </w:rPr>
              <w:t>I/ECMHC Experience</w:t>
            </w:r>
          </w:p>
        </w:tc>
        <w:tc>
          <w:tcPr>
            <w:tcW w:w="552" w:type="dxa"/>
            <w:gridSpan w:val="2"/>
            <w:tcBorders>
              <w:top w:val="nil"/>
              <w:left w:val="nil"/>
              <w:bottom w:val="nil"/>
              <w:right w:val="nil"/>
            </w:tcBorders>
            <w:shd w:val="clear" w:color="auto" w:fill="auto"/>
            <w:noWrap/>
            <w:vAlign w:val="bottom"/>
            <w:hideMark/>
          </w:tcPr>
          <w:p w14:paraId="5C404702" w14:textId="77777777" w:rsidR="00B9640C" w:rsidRPr="00296330" w:rsidRDefault="00B9640C" w:rsidP="00B9640C">
            <w:pPr>
              <w:rPr>
                <w:b/>
                <w:bCs/>
                <w:color w:val="000000"/>
                <w:sz w:val="22"/>
                <w:szCs w:val="22"/>
              </w:rPr>
            </w:pPr>
          </w:p>
        </w:tc>
        <w:tc>
          <w:tcPr>
            <w:tcW w:w="601" w:type="dxa"/>
            <w:tcBorders>
              <w:top w:val="nil"/>
              <w:left w:val="nil"/>
              <w:bottom w:val="nil"/>
              <w:right w:val="nil"/>
            </w:tcBorders>
            <w:shd w:val="clear" w:color="auto" w:fill="auto"/>
            <w:noWrap/>
            <w:vAlign w:val="bottom"/>
            <w:hideMark/>
          </w:tcPr>
          <w:p w14:paraId="28F0FFF4"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40980084"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2258AFBB" w14:textId="77777777" w:rsidR="00B9640C" w:rsidRPr="00296330" w:rsidRDefault="00B9640C" w:rsidP="00B9640C">
            <w:pPr>
              <w:rPr>
                <w:color w:val="000000"/>
                <w:sz w:val="22"/>
                <w:szCs w:val="22"/>
              </w:rPr>
            </w:pPr>
            <w:r w:rsidRPr="00296330">
              <w:rPr>
                <w:color w:val="000000"/>
                <w:sz w:val="22"/>
                <w:szCs w:val="22"/>
              </w:rPr>
              <w:t>Between</w:t>
            </w:r>
          </w:p>
        </w:tc>
        <w:tc>
          <w:tcPr>
            <w:tcW w:w="995" w:type="dxa"/>
            <w:tcBorders>
              <w:top w:val="nil"/>
              <w:left w:val="nil"/>
              <w:bottom w:val="nil"/>
              <w:right w:val="nil"/>
            </w:tcBorders>
            <w:shd w:val="clear" w:color="auto" w:fill="auto"/>
            <w:noWrap/>
            <w:vAlign w:val="center"/>
            <w:hideMark/>
          </w:tcPr>
          <w:p w14:paraId="3F5A625D" w14:textId="77777777" w:rsidR="00B9640C" w:rsidRPr="00296330" w:rsidRDefault="00B9640C" w:rsidP="00B9640C">
            <w:pPr>
              <w:jc w:val="center"/>
              <w:rPr>
                <w:color w:val="000000"/>
                <w:sz w:val="22"/>
                <w:szCs w:val="22"/>
              </w:rPr>
            </w:pPr>
            <w:r w:rsidRPr="00296330">
              <w:rPr>
                <w:color w:val="000000"/>
                <w:sz w:val="22"/>
                <w:szCs w:val="22"/>
              </w:rPr>
              <w:t>3.38</w:t>
            </w:r>
          </w:p>
        </w:tc>
        <w:tc>
          <w:tcPr>
            <w:tcW w:w="601" w:type="dxa"/>
            <w:tcBorders>
              <w:top w:val="nil"/>
              <w:left w:val="nil"/>
              <w:bottom w:val="nil"/>
              <w:right w:val="nil"/>
            </w:tcBorders>
            <w:shd w:val="clear" w:color="auto" w:fill="auto"/>
            <w:noWrap/>
            <w:vAlign w:val="center"/>
            <w:hideMark/>
          </w:tcPr>
          <w:p w14:paraId="097C63ED" w14:textId="77777777" w:rsidR="00B9640C" w:rsidRPr="00296330" w:rsidRDefault="00B9640C" w:rsidP="00B9640C">
            <w:pPr>
              <w:jc w:val="center"/>
              <w:rPr>
                <w:color w:val="000000"/>
                <w:sz w:val="22"/>
                <w:szCs w:val="22"/>
              </w:rPr>
            </w:pPr>
            <w:r w:rsidRPr="00296330">
              <w:rPr>
                <w:color w:val="000000"/>
                <w:sz w:val="22"/>
                <w:szCs w:val="22"/>
              </w:rPr>
              <w:t>1</w:t>
            </w:r>
          </w:p>
        </w:tc>
        <w:tc>
          <w:tcPr>
            <w:tcW w:w="1096" w:type="dxa"/>
            <w:tcBorders>
              <w:top w:val="nil"/>
              <w:left w:val="nil"/>
              <w:bottom w:val="nil"/>
              <w:right w:val="nil"/>
            </w:tcBorders>
            <w:shd w:val="clear" w:color="auto" w:fill="auto"/>
            <w:noWrap/>
            <w:vAlign w:val="center"/>
            <w:hideMark/>
          </w:tcPr>
          <w:p w14:paraId="04124249" w14:textId="77777777" w:rsidR="00B9640C" w:rsidRPr="00296330" w:rsidRDefault="00B9640C" w:rsidP="00B9640C">
            <w:pPr>
              <w:jc w:val="center"/>
              <w:rPr>
                <w:color w:val="000000"/>
                <w:sz w:val="22"/>
                <w:szCs w:val="22"/>
              </w:rPr>
            </w:pPr>
            <w:r w:rsidRPr="00296330">
              <w:rPr>
                <w:color w:val="000000"/>
                <w:sz w:val="22"/>
                <w:szCs w:val="22"/>
              </w:rPr>
              <w:t>3.83</w:t>
            </w:r>
          </w:p>
        </w:tc>
        <w:tc>
          <w:tcPr>
            <w:tcW w:w="1041" w:type="dxa"/>
            <w:tcBorders>
              <w:top w:val="nil"/>
              <w:left w:val="nil"/>
              <w:bottom w:val="nil"/>
              <w:right w:val="nil"/>
            </w:tcBorders>
            <w:shd w:val="clear" w:color="auto" w:fill="auto"/>
            <w:noWrap/>
            <w:vAlign w:val="center"/>
            <w:hideMark/>
          </w:tcPr>
          <w:p w14:paraId="4B858D10" w14:textId="77777777" w:rsidR="00B9640C" w:rsidRPr="00296330" w:rsidRDefault="00B9640C" w:rsidP="00B9640C">
            <w:pPr>
              <w:jc w:val="center"/>
              <w:rPr>
                <w:color w:val="000000"/>
                <w:sz w:val="22"/>
                <w:szCs w:val="22"/>
              </w:rPr>
            </w:pPr>
            <w:r w:rsidRPr="00296330">
              <w:rPr>
                <w:color w:val="000000"/>
                <w:sz w:val="22"/>
                <w:szCs w:val="22"/>
              </w:rPr>
              <w:t>3.10+</w:t>
            </w:r>
          </w:p>
        </w:tc>
        <w:tc>
          <w:tcPr>
            <w:tcW w:w="774" w:type="dxa"/>
            <w:tcBorders>
              <w:top w:val="nil"/>
              <w:left w:val="nil"/>
              <w:bottom w:val="nil"/>
              <w:right w:val="nil"/>
            </w:tcBorders>
          </w:tcPr>
          <w:p w14:paraId="14F63BB4" w14:textId="3F688CDE" w:rsidR="00B9640C" w:rsidRPr="00296330" w:rsidRDefault="00B9640C" w:rsidP="00B9640C">
            <w:pPr>
              <w:jc w:val="center"/>
              <w:rPr>
                <w:color w:val="000000"/>
                <w:sz w:val="22"/>
                <w:szCs w:val="22"/>
              </w:rPr>
            </w:pPr>
            <w:r>
              <w:rPr>
                <w:color w:val="000000"/>
                <w:sz w:val="22"/>
                <w:szCs w:val="22"/>
              </w:rPr>
              <w:t>0.021</w:t>
            </w:r>
          </w:p>
        </w:tc>
      </w:tr>
      <w:tr w:rsidR="00B9640C" w:rsidRPr="00296330" w14:paraId="3637AD79" w14:textId="455D23E2" w:rsidTr="000660B4">
        <w:trPr>
          <w:trHeight w:val="310"/>
        </w:trPr>
        <w:tc>
          <w:tcPr>
            <w:tcW w:w="1081" w:type="dxa"/>
            <w:tcBorders>
              <w:top w:val="nil"/>
              <w:left w:val="nil"/>
              <w:bottom w:val="nil"/>
              <w:right w:val="nil"/>
            </w:tcBorders>
            <w:shd w:val="clear" w:color="auto" w:fill="auto"/>
            <w:noWrap/>
            <w:vAlign w:val="bottom"/>
            <w:hideMark/>
          </w:tcPr>
          <w:p w14:paraId="497A61CC" w14:textId="77777777" w:rsidR="00B9640C" w:rsidRPr="00296330" w:rsidRDefault="00B9640C" w:rsidP="00B9640C">
            <w:pPr>
              <w:rPr>
                <w:color w:val="000000"/>
                <w:sz w:val="22"/>
                <w:szCs w:val="22"/>
              </w:rPr>
            </w:pPr>
          </w:p>
        </w:tc>
        <w:tc>
          <w:tcPr>
            <w:tcW w:w="2232" w:type="dxa"/>
            <w:tcBorders>
              <w:top w:val="nil"/>
              <w:left w:val="nil"/>
              <w:bottom w:val="nil"/>
              <w:right w:val="nil"/>
            </w:tcBorders>
            <w:shd w:val="clear" w:color="auto" w:fill="auto"/>
            <w:noWrap/>
            <w:vAlign w:val="bottom"/>
            <w:hideMark/>
          </w:tcPr>
          <w:p w14:paraId="7706BBC1" w14:textId="77777777" w:rsidR="00B9640C" w:rsidRPr="00296330" w:rsidRDefault="00B9640C" w:rsidP="00B9640C">
            <w:pPr>
              <w:rPr>
                <w:sz w:val="22"/>
                <w:szCs w:val="22"/>
              </w:rPr>
            </w:pPr>
          </w:p>
        </w:tc>
        <w:tc>
          <w:tcPr>
            <w:tcW w:w="552" w:type="dxa"/>
            <w:gridSpan w:val="2"/>
            <w:tcBorders>
              <w:top w:val="nil"/>
              <w:left w:val="nil"/>
              <w:bottom w:val="nil"/>
              <w:right w:val="nil"/>
            </w:tcBorders>
            <w:shd w:val="clear" w:color="auto" w:fill="auto"/>
            <w:noWrap/>
            <w:vAlign w:val="bottom"/>
            <w:hideMark/>
          </w:tcPr>
          <w:p w14:paraId="585DC37D" w14:textId="77777777" w:rsidR="00B9640C" w:rsidRPr="00296330" w:rsidRDefault="00B9640C" w:rsidP="00B9640C">
            <w:pPr>
              <w:rPr>
                <w:sz w:val="22"/>
                <w:szCs w:val="22"/>
              </w:rPr>
            </w:pPr>
          </w:p>
        </w:tc>
        <w:tc>
          <w:tcPr>
            <w:tcW w:w="601" w:type="dxa"/>
            <w:tcBorders>
              <w:top w:val="nil"/>
              <w:left w:val="nil"/>
              <w:bottom w:val="nil"/>
              <w:right w:val="nil"/>
            </w:tcBorders>
            <w:shd w:val="clear" w:color="auto" w:fill="auto"/>
            <w:noWrap/>
            <w:vAlign w:val="bottom"/>
            <w:hideMark/>
          </w:tcPr>
          <w:p w14:paraId="20216D4D" w14:textId="77777777" w:rsidR="00B9640C" w:rsidRPr="00296330" w:rsidRDefault="00B9640C" w:rsidP="00B9640C">
            <w:pPr>
              <w:rPr>
                <w:sz w:val="22"/>
                <w:szCs w:val="22"/>
              </w:rPr>
            </w:pPr>
          </w:p>
        </w:tc>
        <w:tc>
          <w:tcPr>
            <w:tcW w:w="605" w:type="dxa"/>
            <w:tcBorders>
              <w:top w:val="nil"/>
              <w:left w:val="nil"/>
              <w:bottom w:val="nil"/>
              <w:right w:val="nil"/>
            </w:tcBorders>
            <w:shd w:val="clear" w:color="auto" w:fill="auto"/>
            <w:noWrap/>
            <w:vAlign w:val="bottom"/>
            <w:hideMark/>
          </w:tcPr>
          <w:p w14:paraId="3D6AE31D" w14:textId="77777777" w:rsidR="00B9640C" w:rsidRPr="00296330" w:rsidRDefault="00B9640C" w:rsidP="00B9640C">
            <w:pPr>
              <w:rPr>
                <w:sz w:val="22"/>
                <w:szCs w:val="22"/>
              </w:rPr>
            </w:pPr>
          </w:p>
        </w:tc>
        <w:tc>
          <w:tcPr>
            <w:tcW w:w="1049" w:type="dxa"/>
            <w:tcBorders>
              <w:top w:val="nil"/>
              <w:left w:val="nil"/>
              <w:bottom w:val="nil"/>
              <w:right w:val="nil"/>
            </w:tcBorders>
            <w:shd w:val="clear" w:color="auto" w:fill="auto"/>
            <w:noWrap/>
            <w:vAlign w:val="bottom"/>
            <w:hideMark/>
          </w:tcPr>
          <w:p w14:paraId="48979598" w14:textId="77777777" w:rsidR="00B9640C" w:rsidRPr="00296330" w:rsidRDefault="00B9640C" w:rsidP="00B9640C">
            <w:pPr>
              <w:rPr>
                <w:color w:val="000000"/>
                <w:sz w:val="22"/>
                <w:szCs w:val="22"/>
              </w:rPr>
            </w:pPr>
            <w:r w:rsidRPr="00296330">
              <w:rPr>
                <w:color w:val="000000"/>
                <w:sz w:val="22"/>
                <w:szCs w:val="22"/>
              </w:rPr>
              <w:t>Within</w:t>
            </w:r>
          </w:p>
        </w:tc>
        <w:tc>
          <w:tcPr>
            <w:tcW w:w="995" w:type="dxa"/>
            <w:tcBorders>
              <w:top w:val="nil"/>
              <w:left w:val="nil"/>
              <w:bottom w:val="nil"/>
              <w:right w:val="nil"/>
            </w:tcBorders>
            <w:shd w:val="clear" w:color="auto" w:fill="auto"/>
            <w:noWrap/>
            <w:vAlign w:val="center"/>
            <w:hideMark/>
          </w:tcPr>
          <w:p w14:paraId="7A52BBB0" w14:textId="77777777" w:rsidR="00B9640C" w:rsidRPr="00296330" w:rsidRDefault="00B9640C" w:rsidP="00B9640C">
            <w:pPr>
              <w:jc w:val="center"/>
              <w:rPr>
                <w:color w:val="000000"/>
                <w:sz w:val="22"/>
                <w:szCs w:val="22"/>
              </w:rPr>
            </w:pPr>
            <w:r w:rsidRPr="00296330">
              <w:rPr>
                <w:color w:val="000000"/>
                <w:sz w:val="22"/>
                <w:szCs w:val="22"/>
              </w:rPr>
              <w:t>159.18</w:t>
            </w:r>
          </w:p>
        </w:tc>
        <w:tc>
          <w:tcPr>
            <w:tcW w:w="601" w:type="dxa"/>
            <w:tcBorders>
              <w:top w:val="nil"/>
              <w:left w:val="nil"/>
              <w:bottom w:val="nil"/>
              <w:right w:val="nil"/>
            </w:tcBorders>
            <w:shd w:val="clear" w:color="auto" w:fill="auto"/>
            <w:noWrap/>
            <w:vAlign w:val="center"/>
            <w:hideMark/>
          </w:tcPr>
          <w:p w14:paraId="52F7361D" w14:textId="77777777" w:rsidR="00B9640C" w:rsidRPr="00296330" w:rsidRDefault="00B9640C" w:rsidP="00B9640C">
            <w:pPr>
              <w:jc w:val="center"/>
              <w:rPr>
                <w:color w:val="000000"/>
                <w:sz w:val="22"/>
                <w:szCs w:val="22"/>
              </w:rPr>
            </w:pPr>
            <w:r w:rsidRPr="00296330">
              <w:rPr>
                <w:color w:val="000000"/>
                <w:sz w:val="22"/>
                <w:szCs w:val="22"/>
              </w:rPr>
              <w:t>146</w:t>
            </w:r>
          </w:p>
        </w:tc>
        <w:tc>
          <w:tcPr>
            <w:tcW w:w="1096" w:type="dxa"/>
            <w:tcBorders>
              <w:top w:val="nil"/>
              <w:left w:val="nil"/>
              <w:bottom w:val="nil"/>
              <w:right w:val="nil"/>
            </w:tcBorders>
            <w:shd w:val="clear" w:color="auto" w:fill="auto"/>
            <w:noWrap/>
            <w:vAlign w:val="center"/>
            <w:hideMark/>
          </w:tcPr>
          <w:p w14:paraId="70E3D504" w14:textId="77777777" w:rsidR="00B9640C" w:rsidRPr="00296330" w:rsidRDefault="00B9640C" w:rsidP="00B9640C">
            <w:pPr>
              <w:jc w:val="center"/>
              <w:rPr>
                <w:color w:val="000000"/>
                <w:sz w:val="22"/>
                <w:szCs w:val="22"/>
              </w:rPr>
            </w:pPr>
            <w:r w:rsidRPr="00296330">
              <w:rPr>
                <w:color w:val="000000"/>
                <w:sz w:val="22"/>
                <w:szCs w:val="22"/>
              </w:rPr>
              <w:t>1.09</w:t>
            </w:r>
          </w:p>
        </w:tc>
        <w:tc>
          <w:tcPr>
            <w:tcW w:w="1041" w:type="dxa"/>
            <w:tcBorders>
              <w:top w:val="nil"/>
              <w:left w:val="nil"/>
              <w:bottom w:val="nil"/>
              <w:right w:val="nil"/>
            </w:tcBorders>
            <w:shd w:val="clear" w:color="auto" w:fill="auto"/>
            <w:noWrap/>
            <w:vAlign w:val="center"/>
            <w:hideMark/>
          </w:tcPr>
          <w:p w14:paraId="6F6FFC87" w14:textId="77777777" w:rsidR="00B9640C" w:rsidRPr="00296330" w:rsidRDefault="00B9640C" w:rsidP="00B9640C">
            <w:pPr>
              <w:jc w:val="center"/>
              <w:rPr>
                <w:color w:val="000000"/>
                <w:sz w:val="22"/>
                <w:szCs w:val="22"/>
              </w:rPr>
            </w:pPr>
          </w:p>
        </w:tc>
        <w:tc>
          <w:tcPr>
            <w:tcW w:w="774" w:type="dxa"/>
            <w:tcBorders>
              <w:top w:val="nil"/>
              <w:left w:val="nil"/>
              <w:bottom w:val="nil"/>
              <w:right w:val="nil"/>
            </w:tcBorders>
          </w:tcPr>
          <w:p w14:paraId="2136777C" w14:textId="77777777" w:rsidR="00B9640C" w:rsidRPr="00296330" w:rsidRDefault="00B9640C" w:rsidP="00B9640C">
            <w:pPr>
              <w:jc w:val="center"/>
              <w:rPr>
                <w:color w:val="000000"/>
                <w:sz w:val="22"/>
                <w:szCs w:val="22"/>
              </w:rPr>
            </w:pPr>
          </w:p>
        </w:tc>
      </w:tr>
      <w:tr w:rsidR="00B9640C" w:rsidRPr="00296330" w14:paraId="7E267052" w14:textId="4192967B" w:rsidTr="000660B4">
        <w:trPr>
          <w:trHeight w:val="310"/>
        </w:trPr>
        <w:tc>
          <w:tcPr>
            <w:tcW w:w="1081" w:type="dxa"/>
            <w:tcBorders>
              <w:top w:val="nil"/>
              <w:left w:val="nil"/>
              <w:bottom w:val="nil"/>
              <w:right w:val="nil"/>
            </w:tcBorders>
            <w:shd w:val="clear" w:color="auto" w:fill="auto"/>
            <w:noWrap/>
            <w:vAlign w:val="bottom"/>
            <w:hideMark/>
          </w:tcPr>
          <w:p w14:paraId="1106BA20" w14:textId="77777777" w:rsidR="00B9640C" w:rsidRPr="00296330" w:rsidRDefault="00B9640C" w:rsidP="00B9640C">
            <w:pPr>
              <w:rPr>
                <w:sz w:val="22"/>
                <w:szCs w:val="22"/>
              </w:rPr>
            </w:pPr>
          </w:p>
        </w:tc>
        <w:tc>
          <w:tcPr>
            <w:tcW w:w="2232" w:type="dxa"/>
            <w:tcBorders>
              <w:top w:val="nil"/>
              <w:left w:val="nil"/>
              <w:bottom w:val="nil"/>
              <w:right w:val="nil"/>
            </w:tcBorders>
            <w:shd w:val="clear" w:color="auto" w:fill="auto"/>
            <w:noWrap/>
            <w:vAlign w:val="bottom"/>
            <w:hideMark/>
          </w:tcPr>
          <w:p w14:paraId="4A1F15D2" w14:textId="1B77661C" w:rsidR="00B9640C" w:rsidRPr="00296330" w:rsidRDefault="00B9640C" w:rsidP="00B9640C">
            <w:pPr>
              <w:rPr>
                <w:color w:val="000000"/>
                <w:sz w:val="22"/>
                <w:szCs w:val="22"/>
              </w:rPr>
            </w:pPr>
            <w:r w:rsidRPr="00296330">
              <w:rPr>
                <w:color w:val="000000"/>
                <w:sz w:val="22"/>
                <w:szCs w:val="22"/>
              </w:rPr>
              <w:t>None</w:t>
            </w:r>
          </w:p>
        </w:tc>
        <w:tc>
          <w:tcPr>
            <w:tcW w:w="552" w:type="dxa"/>
            <w:gridSpan w:val="2"/>
            <w:tcBorders>
              <w:top w:val="nil"/>
              <w:left w:val="nil"/>
              <w:bottom w:val="nil"/>
              <w:right w:val="nil"/>
            </w:tcBorders>
            <w:shd w:val="clear" w:color="auto" w:fill="auto"/>
            <w:noWrap/>
            <w:vAlign w:val="bottom"/>
            <w:hideMark/>
          </w:tcPr>
          <w:p w14:paraId="2594FBF9" w14:textId="77777777" w:rsidR="00B9640C" w:rsidRPr="00296330" w:rsidRDefault="00B9640C" w:rsidP="00B9640C">
            <w:pPr>
              <w:jc w:val="right"/>
              <w:rPr>
                <w:color w:val="000000"/>
                <w:sz w:val="22"/>
                <w:szCs w:val="22"/>
              </w:rPr>
            </w:pPr>
            <w:r w:rsidRPr="00296330">
              <w:rPr>
                <w:color w:val="000000"/>
                <w:sz w:val="22"/>
                <w:szCs w:val="22"/>
              </w:rPr>
              <w:t>86</w:t>
            </w:r>
          </w:p>
        </w:tc>
        <w:tc>
          <w:tcPr>
            <w:tcW w:w="601" w:type="dxa"/>
            <w:tcBorders>
              <w:top w:val="nil"/>
              <w:left w:val="nil"/>
              <w:bottom w:val="nil"/>
              <w:right w:val="nil"/>
            </w:tcBorders>
            <w:shd w:val="clear" w:color="auto" w:fill="auto"/>
            <w:noWrap/>
            <w:vAlign w:val="bottom"/>
            <w:hideMark/>
          </w:tcPr>
          <w:p w14:paraId="5F933B66" w14:textId="77777777" w:rsidR="00B9640C" w:rsidRPr="00296330" w:rsidRDefault="00B9640C" w:rsidP="00B9640C">
            <w:pPr>
              <w:jc w:val="right"/>
              <w:rPr>
                <w:color w:val="000000"/>
                <w:sz w:val="22"/>
                <w:szCs w:val="22"/>
              </w:rPr>
            </w:pPr>
            <w:r w:rsidRPr="00296330">
              <w:rPr>
                <w:color w:val="000000"/>
                <w:sz w:val="22"/>
                <w:szCs w:val="22"/>
              </w:rPr>
              <w:t>0.5</w:t>
            </w:r>
          </w:p>
        </w:tc>
        <w:tc>
          <w:tcPr>
            <w:tcW w:w="605" w:type="dxa"/>
            <w:tcBorders>
              <w:top w:val="nil"/>
              <w:left w:val="nil"/>
              <w:bottom w:val="nil"/>
              <w:right w:val="nil"/>
            </w:tcBorders>
            <w:shd w:val="clear" w:color="auto" w:fill="auto"/>
            <w:noWrap/>
            <w:vAlign w:val="bottom"/>
            <w:hideMark/>
          </w:tcPr>
          <w:p w14:paraId="2E5A9DE2" w14:textId="77777777" w:rsidR="00B9640C" w:rsidRPr="00296330" w:rsidRDefault="00B9640C" w:rsidP="00B9640C">
            <w:pPr>
              <w:jc w:val="right"/>
              <w:rPr>
                <w:color w:val="000000"/>
                <w:sz w:val="22"/>
                <w:szCs w:val="22"/>
              </w:rPr>
            </w:pPr>
            <w:r w:rsidRPr="00296330">
              <w:rPr>
                <w:color w:val="000000"/>
                <w:sz w:val="22"/>
                <w:szCs w:val="22"/>
              </w:rPr>
              <w:t>0.99</w:t>
            </w:r>
          </w:p>
        </w:tc>
        <w:tc>
          <w:tcPr>
            <w:tcW w:w="1049" w:type="dxa"/>
            <w:tcBorders>
              <w:top w:val="nil"/>
              <w:left w:val="nil"/>
              <w:bottom w:val="nil"/>
              <w:right w:val="nil"/>
            </w:tcBorders>
            <w:shd w:val="clear" w:color="auto" w:fill="auto"/>
            <w:noWrap/>
            <w:vAlign w:val="bottom"/>
            <w:hideMark/>
          </w:tcPr>
          <w:p w14:paraId="6567BB2B" w14:textId="77777777" w:rsidR="00B9640C" w:rsidRPr="00296330" w:rsidRDefault="00B9640C" w:rsidP="00B9640C">
            <w:pPr>
              <w:jc w:val="right"/>
              <w:rPr>
                <w:color w:val="000000"/>
                <w:sz w:val="22"/>
                <w:szCs w:val="22"/>
              </w:rPr>
            </w:pPr>
          </w:p>
        </w:tc>
        <w:tc>
          <w:tcPr>
            <w:tcW w:w="995" w:type="dxa"/>
            <w:tcBorders>
              <w:top w:val="nil"/>
              <w:left w:val="nil"/>
              <w:bottom w:val="nil"/>
              <w:right w:val="nil"/>
            </w:tcBorders>
            <w:shd w:val="clear" w:color="auto" w:fill="auto"/>
            <w:noWrap/>
            <w:vAlign w:val="center"/>
            <w:hideMark/>
          </w:tcPr>
          <w:p w14:paraId="5784592E" w14:textId="77777777" w:rsidR="00B9640C" w:rsidRPr="00296330" w:rsidRDefault="00B9640C" w:rsidP="00B9640C">
            <w:pPr>
              <w:jc w:val="center"/>
              <w:rPr>
                <w:sz w:val="22"/>
                <w:szCs w:val="22"/>
              </w:rPr>
            </w:pPr>
          </w:p>
        </w:tc>
        <w:tc>
          <w:tcPr>
            <w:tcW w:w="601" w:type="dxa"/>
            <w:tcBorders>
              <w:top w:val="nil"/>
              <w:left w:val="nil"/>
              <w:bottom w:val="nil"/>
              <w:right w:val="nil"/>
            </w:tcBorders>
            <w:shd w:val="clear" w:color="auto" w:fill="auto"/>
            <w:noWrap/>
            <w:vAlign w:val="center"/>
            <w:hideMark/>
          </w:tcPr>
          <w:p w14:paraId="0B5E1D85" w14:textId="77777777" w:rsidR="00B9640C" w:rsidRPr="00296330" w:rsidRDefault="00B9640C" w:rsidP="00B9640C">
            <w:pPr>
              <w:jc w:val="center"/>
              <w:rPr>
                <w:sz w:val="22"/>
                <w:szCs w:val="22"/>
              </w:rPr>
            </w:pPr>
          </w:p>
        </w:tc>
        <w:tc>
          <w:tcPr>
            <w:tcW w:w="1096" w:type="dxa"/>
            <w:tcBorders>
              <w:top w:val="nil"/>
              <w:left w:val="nil"/>
              <w:bottom w:val="nil"/>
              <w:right w:val="nil"/>
            </w:tcBorders>
            <w:shd w:val="clear" w:color="auto" w:fill="auto"/>
            <w:noWrap/>
            <w:vAlign w:val="center"/>
            <w:hideMark/>
          </w:tcPr>
          <w:p w14:paraId="349F28B2" w14:textId="77777777" w:rsidR="00B9640C" w:rsidRPr="00296330" w:rsidRDefault="00B9640C" w:rsidP="00B9640C">
            <w:pPr>
              <w:jc w:val="center"/>
              <w:rPr>
                <w:sz w:val="22"/>
                <w:szCs w:val="22"/>
              </w:rPr>
            </w:pPr>
          </w:p>
        </w:tc>
        <w:tc>
          <w:tcPr>
            <w:tcW w:w="1041" w:type="dxa"/>
            <w:tcBorders>
              <w:top w:val="nil"/>
              <w:left w:val="nil"/>
              <w:bottom w:val="nil"/>
              <w:right w:val="nil"/>
            </w:tcBorders>
            <w:shd w:val="clear" w:color="auto" w:fill="auto"/>
            <w:noWrap/>
            <w:vAlign w:val="center"/>
            <w:hideMark/>
          </w:tcPr>
          <w:p w14:paraId="58E9030A" w14:textId="77777777" w:rsidR="00B9640C" w:rsidRPr="00296330" w:rsidRDefault="00B9640C" w:rsidP="00B9640C">
            <w:pPr>
              <w:jc w:val="center"/>
              <w:rPr>
                <w:sz w:val="22"/>
                <w:szCs w:val="22"/>
              </w:rPr>
            </w:pPr>
          </w:p>
        </w:tc>
        <w:tc>
          <w:tcPr>
            <w:tcW w:w="774" w:type="dxa"/>
            <w:tcBorders>
              <w:top w:val="nil"/>
              <w:left w:val="nil"/>
              <w:bottom w:val="nil"/>
              <w:right w:val="nil"/>
            </w:tcBorders>
          </w:tcPr>
          <w:p w14:paraId="2FA3BCA2" w14:textId="77777777" w:rsidR="00B9640C" w:rsidRPr="00296330" w:rsidRDefault="00B9640C" w:rsidP="00B9640C">
            <w:pPr>
              <w:jc w:val="center"/>
              <w:rPr>
                <w:sz w:val="22"/>
                <w:szCs w:val="22"/>
              </w:rPr>
            </w:pPr>
          </w:p>
        </w:tc>
      </w:tr>
      <w:tr w:rsidR="00B9640C" w:rsidRPr="00296330" w14:paraId="65623492" w14:textId="3788656C" w:rsidTr="000660B4">
        <w:trPr>
          <w:trHeight w:val="310"/>
        </w:trPr>
        <w:tc>
          <w:tcPr>
            <w:tcW w:w="1081" w:type="dxa"/>
            <w:tcBorders>
              <w:top w:val="nil"/>
              <w:left w:val="nil"/>
              <w:bottom w:val="single" w:sz="4" w:space="0" w:color="auto"/>
              <w:right w:val="nil"/>
            </w:tcBorders>
            <w:shd w:val="clear" w:color="auto" w:fill="auto"/>
            <w:noWrap/>
            <w:vAlign w:val="bottom"/>
            <w:hideMark/>
          </w:tcPr>
          <w:p w14:paraId="23AFE3E4" w14:textId="77777777" w:rsidR="00B9640C" w:rsidRPr="00296330" w:rsidRDefault="00B9640C" w:rsidP="00B9640C">
            <w:pPr>
              <w:rPr>
                <w:color w:val="000000"/>
                <w:sz w:val="22"/>
                <w:szCs w:val="22"/>
              </w:rPr>
            </w:pPr>
            <w:r w:rsidRPr="00296330">
              <w:rPr>
                <w:color w:val="000000"/>
                <w:sz w:val="22"/>
                <w:szCs w:val="22"/>
              </w:rPr>
              <w:t> </w:t>
            </w:r>
          </w:p>
        </w:tc>
        <w:tc>
          <w:tcPr>
            <w:tcW w:w="2232" w:type="dxa"/>
            <w:tcBorders>
              <w:top w:val="nil"/>
              <w:left w:val="nil"/>
              <w:bottom w:val="single" w:sz="4" w:space="0" w:color="auto"/>
              <w:right w:val="nil"/>
            </w:tcBorders>
            <w:shd w:val="clear" w:color="auto" w:fill="auto"/>
            <w:noWrap/>
            <w:vAlign w:val="bottom"/>
            <w:hideMark/>
          </w:tcPr>
          <w:p w14:paraId="2DC65D19" w14:textId="4E94EDF4" w:rsidR="00B9640C" w:rsidRPr="00296330" w:rsidRDefault="00B9640C" w:rsidP="00B9640C">
            <w:pPr>
              <w:rPr>
                <w:color w:val="000000"/>
                <w:sz w:val="22"/>
                <w:szCs w:val="22"/>
              </w:rPr>
            </w:pPr>
            <w:r w:rsidRPr="00296330">
              <w:rPr>
                <w:color w:val="000000"/>
                <w:sz w:val="22"/>
                <w:szCs w:val="22"/>
              </w:rPr>
              <w:t xml:space="preserve">Any </w:t>
            </w:r>
          </w:p>
        </w:tc>
        <w:tc>
          <w:tcPr>
            <w:tcW w:w="552" w:type="dxa"/>
            <w:gridSpan w:val="2"/>
            <w:tcBorders>
              <w:top w:val="nil"/>
              <w:left w:val="nil"/>
              <w:bottom w:val="single" w:sz="4" w:space="0" w:color="auto"/>
              <w:right w:val="nil"/>
            </w:tcBorders>
            <w:shd w:val="clear" w:color="auto" w:fill="auto"/>
            <w:noWrap/>
            <w:vAlign w:val="bottom"/>
            <w:hideMark/>
          </w:tcPr>
          <w:p w14:paraId="2DEE558F" w14:textId="77777777" w:rsidR="00B9640C" w:rsidRPr="00296330" w:rsidRDefault="00B9640C" w:rsidP="00B9640C">
            <w:pPr>
              <w:jc w:val="right"/>
              <w:rPr>
                <w:color w:val="000000"/>
                <w:sz w:val="22"/>
                <w:szCs w:val="22"/>
              </w:rPr>
            </w:pPr>
            <w:r w:rsidRPr="00296330">
              <w:rPr>
                <w:color w:val="000000"/>
                <w:sz w:val="22"/>
                <w:szCs w:val="22"/>
              </w:rPr>
              <w:t>62</w:t>
            </w:r>
          </w:p>
        </w:tc>
        <w:tc>
          <w:tcPr>
            <w:tcW w:w="601" w:type="dxa"/>
            <w:tcBorders>
              <w:top w:val="nil"/>
              <w:left w:val="nil"/>
              <w:bottom w:val="single" w:sz="4" w:space="0" w:color="auto"/>
              <w:right w:val="nil"/>
            </w:tcBorders>
            <w:shd w:val="clear" w:color="auto" w:fill="auto"/>
            <w:noWrap/>
            <w:vAlign w:val="bottom"/>
            <w:hideMark/>
          </w:tcPr>
          <w:p w14:paraId="2B5521BF" w14:textId="77777777" w:rsidR="00B9640C" w:rsidRPr="00296330" w:rsidRDefault="00B9640C" w:rsidP="00B9640C">
            <w:pPr>
              <w:jc w:val="right"/>
              <w:rPr>
                <w:color w:val="000000"/>
                <w:sz w:val="22"/>
                <w:szCs w:val="22"/>
              </w:rPr>
            </w:pPr>
            <w:r w:rsidRPr="00296330">
              <w:rPr>
                <w:color w:val="000000"/>
                <w:sz w:val="22"/>
                <w:szCs w:val="22"/>
              </w:rPr>
              <w:t>0.81</w:t>
            </w:r>
          </w:p>
        </w:tc>
        <w:tc>
          <w:tcPr>
            <w:tcW w:w="605" w:type="dxa"/>
            <w:tcBorders>
              <w:top w:val="nil"/>
              <w:left w:val="nil"/>
              <w:bottom w:val="single" w:sz="4" w:space="0" w:color="auto"/>
              <w:right w:val="nil"/>
            </w:tcBorders>
            <w:shd w:val="clear" w:color="auto" w:fill="auto"/>
            <w:noWrap/>
            <w:vAlign w:val="bottom"/>
            <w:hideMark/>
          </w:tcPr>
          <w:p w14:paraId="7BFC6B35" w14:textId="77777777" w:rsidR="00B9640C" w:rsidRPr="00296330" w:rsidRDefault="00B9640C" w:rsidP="00B9640C">
            <w:pPr>
              <w:jc w:val="right"/>
              <w:rPr>
                <w:color w:val="000000"/>
                <w:sz w:val="22"/>
                <w:szCs w:val="22"/>
              </w:rPr>
            </w:pPr>
            <w:r w:rsidRPr="00296330">
              <w:rPr>
                <w:color w:val="000000"/>
                <w:sz w:val="22"/>
                <w:szCs w:val="22"/>
              </w:rPr>
              <w:t>1.11</w:t>
            </w:r>
          </w:p>
        </w:tc>
        <w:tc>
          <w:tcPr>
            <w:tcW w:w="1049" w:type="dxa"/>
            <w:tcBorders>
              <w:top w:val="nil"/>
              <w:left w:val="nil"/>
              <w:bottom w:val="single" w:sz="4" w:space="0" w:color="auto"/>
              <w:right w:val="nil"/>
            </w:tcBorders>
            <w:shd w:val="clear" w:color="auto" w:fill="auto"/>
            <w:noWrap/>
            <w:vAlign w:val="bottom"/>
            <w:hideMark/>
          </w:tcPr>
          <w:p w14:paraId="1DA9D3C1" w14:textId="77777777" w:rsidR="00B9640C" w:rsidRPr="00296330" w:rsidRDefault="00B9640C" w:rsidP="00B9640C">
            <w:pPr>
              <w:rPr>
                <w:color w:val="000000"/>
                <w:sz w:val="22"/>
                <w:szCs w:val="22"/>
              </w:rPr>
            </w:pPr>
            <w:r w:rsidRPr="00296330">
              <w:rPr>
                <w:color w:val="000000"/>
                <w:sz w:val="22"/>
                <w:szCs w:val="22"/>
              </w:rPr>
              <w:t> </w:t>
            </w:r>
          </w:p>
        </w:tc>
        <w:tc>
          <w:tcPr>
            <w:tcW w:w="995" w:type="dxa"/>
            <w:tcBorders>
              <w:top w:val="nil"/>
              <w:left w:val="nil"/>
              <w:bottom w:val="single" w:sz="4" w:space="0" w:color="auto"/>
              <w:right w:val="nil"/>
            </w:tcBorders>
            <w:shd w:val="clear" w:color="auto" w:fill="auto"/>
            <w:noWrap/>
            <w:vAlign w:val="center"/>
            <w:hideMark/>
          </w:tcPr>
          <w:p w14:paraId="172D6490" w14:textId="77777777" w:rsidR="00B9640C" w:rsidRPr="00296330" w:rsidRDefault="00B9640C" w:rsidP="00B9640C">
            <w:pPr>
              <w:jc w:val="center"/>
              <w:rPr>
                <w:color w:val="000000"/>
                <w:sz w:val="22"/>
                <w:szCs w:val="22"/>
              </w:rPr>
            </w:pPr>
          </w:p>
        </w:tc>
        <w:tc>
          <w:tcPr>
            <w:tcW w:w="601" w:type="dxa"/>
            <w:tcBorders>
              <w:top w:val="nil"/>
              <w:left w:val="nil"/>
              <w:bottom w:val="single" w:sz="4" w:space="0" w:color="auto"/>
              <w:right w:val="nil"/>
            </w:tcBorders>
            <w:shd w:val="clear" w:color="auto" w:fill="auto"/>
            <w:noWrap/>
            <w:vAlign w:val="center"/>
            <w:hideMark/>
          </w:tcPr>
          <w:p w14:paraId="4377ACCC" w14:textId="77777777" w:rsidR="00B9640C" w:rsidRPr="00296330" w:rsidRDefault="00B9640C" w:rsidP="00B9640C">
            <w:pPr>
              <w:jc w:val="center"/>
              <w:rPr>
                <w:color w:val="000000"/>
                <w:sz w:val="22"/>
                <w:szCs w:val="22"/>
              </w:rPr>
            </w:pPr>
          </w:p>
        </w:tc>
        <w:tc>
          <w:tcPr>
            <w:tcW w:w="1096" w:type="dxa"/>
            <w:tcBorders>
              <w:top w:val="nil"/>
              <w:left w:val="nil"/>
              <w:bottom w:val="single" w:sz="4" w:space="0" w:color="auto"/>
              <w:right w:val="nil"/>
            </w:tcBorders>
            <w:shd w:val="clear" w:color="auto" w:fill="auto"/>
            <w:noWrap/>
            <w:vAlign w:val="center"/>
            <w:hideMark/>
          </w:tcPr>
          <w:p w14:paraId="612CE8B2" w14:textId="77777777" w:rsidR="00B9640C" w:rsidRPr="00296330" w:rsidRDefault="00B9640C" w:rsidP="00B9640C">
            <w:pPr>
              <w:jc w:val="center"/>
              <w:rPr>
                <w:color w:val="000000"/>
                <w:sz w:val="22"/>
                <w:szCs w:val="22"/>
              </w:rPr>
            </w:pPr>
          </w:p>
        </w:tc>
        <w:tc>
          <w:tcPr>
            <w:tcW w:w="1041" w:type="dxa"/>
            <w:tcBorders>
              <w:top w:val="nil"/>
              <w:left w:val="nil"/>
              <w:bottom w:val="single" w:sz="4" w:space="0" w:color="auto"/>
              <w:right w:val="nil"/>
            </w:tcBorders>
            <w:shd w:val="clear" w:color="auto" w:fill="auto"/>
            <w:noWrap/>
            <w:vAlign w:val="center"/>
            <w:hideMark/>
          </w:tcPr>
          <w:p w14:paraId="12E7E5A9" w14:textId="77777777" w:rsidR="00B9640C" w:rsidRPr="00296330" w:rsidRDefault="00B9640C" w:rsidP="00B9640C">
            <w:pPr>
              <w:jc w:val="center"/>
              <w:rPr>
                <w:color w:val="000000"/>
                <w:sz w:val="22"/>
                <w:szCs w:val="22"/>
              </w:rPr>
            </w:pPr>
          </w:p>
        </w:tc>
        <w:tc>
          <w:tcPr>
            <w:tcW w:w="774" w:type="dxa"/>
            <w:tcBorders>
              <w:top w:val="nil"/>
              <w:left w:val="nil"/>
              <w:bottom w:val="single" w:sz="4" w:space="0" w:color="auto"/>
              <w:right w:val="nil"/>
            </w:tcBorders>
          </w:tcPr>
          <w:p w14:paraId="06A7C085" w14:textId="77777777" w:rsidR="00B9640C" w:rsidRPr="00296330" w:rsidRDefault="00B9640C" w:rsidP="00B9640C">
            <w:pPr>
              <w:jc w:val="center"/>
              <w:rPr>
                <w:color w:val="000000"/>
                <w:sz w:val="22"/>
                <w:szCs w:val="22"/>
              </w:rPr>
            </w:pPr>
          </w:p>
        </w:tc>
      </w:tr>
    </w:tbl>
    <w:p w14:paraId="3F293E58" w14:textId="2CD2D102" w:rsidR="00EB3C69" w:rsidRPr="00296330" w:rsidRDefault="000D5606" w:rsidP="00E141A0">
      <w:pPr>
        <w:spacing w:line="259" w:lineRule="auto"/>
        <w:rPr>
          <w:i/>
          <w:sz w:val="22"/>
          <w:szCs w:val="22"/>
        </w:rPr>
      </w:pPr>
      <w:r w:rsidRPr="00E141A0">
        <w:rPr>
          <w:i/>
          <w:iCs/>
          <w:sz w:val="22"/>
          <w:szCs w:val="22"/>
        </w:rPr>
        <w:t>Note</w:t>
      </w:r>
      <w:r w:rsidRPr="00E141A0">
        <w:rPr>
          <w:iCs/>
          <w:sz w:val="22"/>
          <w:szCs w:val="22"/>
        </w:rPr>
        <w:t>.</w:t>
      </w:r>
      <w:r w:rsidRPr="00296330">
        <w:rPr>
          <w:sz w:val="22"/>
          <w:szCs w:val="22"/>
        </w:rPr>
        <w:t xml:space="preserve"> </w:t>
      </w:r>
      <w:r w:rsidR="00624F27" w:rsidRPr="00296330">
        <w:rPr>
          <w:sz w:val="22"/>
          <w:szCs w:val="22"/>
        </w:rPr>
        <w:t xml:space="preserve">* </w:t>
      </w:r>
      <w:r w:rsidR="00624F27" w:rsidRPr="00296330">
        <w:rPr>
          <w:i/>
          <w:sz w:val="22"/>
          <w:szCs w:val="22"/>
        </w:rPr>
        <w:t>p=</w:t>
      </w:r>
      <w:r w:rsidR="00624F27" w:rsidRPr="00296330">
        <w:rPr>
          <w:sz w:val="22"/>
          <w:szCs w:val="22"/>
        </w:rPr>
        <w:t xml:space="preserve">.05, ** </w:t>
      </w:r>
      <w:r w:rsidR="00624F27" w:rsidRPr="00296330">
        <w:rPr>
          <w:i/>
          <w:sz w:val="22"/>
          <w:szCs w:val="22"/>
        </w:rPr>
        <w:t>p</w:t>
      </w:r>
      <w:r w:rsidR="00624F27" w:rsidRPr="00296330">
        <w:rPr>
          <w:sz w:val="22"/>
          <w:szCs w:val="22"/>
        </w:rPr>
        <w:t xml:space="preserve">=.01, *** </w:t>
      </w:r>
      <w:r w:rsidR="00624F27" w:rsidRPr="00296330">
        <w:rPr>
          <w:i/>
          <w:sz w:val="22"/>
          <w:szCs w:val="22"/>
        </w:rPr>
        <w:t>p&lt;.</w:t>
      </w:r>
      <w:r w:rsidR="00624F27" w:rsidRPr="00296330">
        <w:rPr>
          <w:sz w:val="22"/>
          <w:szCs w:val="22"/>
        </w:rPr>
        <w:t xml:space="preserve">01, + </w:t>
      </w:r>
      <w:r w:rsidR="00624F27" w:rsidRPr="00296330">
        <w:rPr>
          <w:i/>
          <w:sz w:val="22"/>
          <w:szCs w:val="22"/>
        </w:rPr>
        <w:t>p&lt;.10</w:t>
      </w:r>
    </w:p>
    <w:p w14:paraId="3AA22870" w14:textId="77777777" w:rsidR="00FC3797" w:rsidRPr="00296330" w:rsidRDefault="00FC3797" w:rsidP="00E141A0">
      <w:pPr>
        <w:spacing w:line="259" w:lineRule="auto"/>
        <w:rPr>
          <w:i/>
          <w:sz w:val="22"/>
          <w:szCs w:val="22"/>
        </w:rPr>
      </w:pPr>
    </w:p>
    <w:p w14:paraId="14331F8B" w14:textId="77777777" w:rsidR="00FC3797" w:rsidRPr="00296330" w:rsidRDefault="00FC3797" w:rsidP="00E141A0">
      <w:pPr>
        <w:spacing w:line="259" w:lineRule="auto"/>
        <w:rPr>
          <w:i/>
          <w:sz w:val="22"/>
          <w:szCs w:val="22"/>
        </w:rPr>
      </w:pPr>
      <w:r w:rsidRPr="00296330">
        <w:rPr>
          <w:i/>
          <w:sz w:val="22"/>
          <w:szCs w:val="22"/>
        </w:rPr>
        <w:br w:type="page"/>
      </w:r>
    </w:p>
    <w:p w14:paraId="636F46D5" w14:textId="2C4B09A1" w:rsidR="00E45089" w:rsidRPr="00E45089" w:rsidRDefault="00FC3797" w:rsidP="00E141A0">
      <w:pPr>
        <w:spacing w:line="259" w:lineRule="auto"/>
        <w:rPr>
          <w:iCs/>
          <w:sz w:val="22"/>
          <w:szCs w:val="22"/>
        </w:rPr>
      </w:pPr>
      <w:r w:rsidRPr="00E45089">
        <w:rPr>
          <w:iCs/>
          <w:sz w:val="22"/>
          <w:szCs w:val="22"/>
        </w:rPr>
        <w:lastRenderedPageBreak/>
        <w:t>Table 4</w:t>
      </w:r>
    </w:p>
    <w:p w14:paraId="175CE692" w14:textId="77777777" w:rsidR="00E45089" w:rsidRDefault="00E45089" w:rsidP="00E141A0">
      <w:pPr>
        <w:spacing w:line="259" w:lineRule="auto"/>
        <w:rPr>
          <w:i/>
          <w:sz w:val="22"/>
          <w:szCs w:val="22"/>
        </w:rPr>
      </w:pPr>
    </w:p>
    <w:p w14:paraId="2EA911FE" w14:textId="3EFD52C3" w:rsidR="00EB3C69" w:rsidRPr="00296330" w:rsidRDefault="00FC3797" w:rsidP="00E141A0">
      <w:pPr>
        <w:spacing w:line="259" w:lineRule="auto"/>
        <w:rPr>
          <w:i/>
          <w:sz w:val="22"/>
          <w:szCs w:val="22"/>
        </w:rPr>
      </w:pPr>
      <w:r w:rsidRPr="00E141A0">
        <w:rPr>
          <w:i/>
          <w:sz w:val="22"/>
          <w:szCs w:val="22"/>
        </w:rPr>
        <w:t xml:space="preserve">Year 2 (2018-2019) Demographic Characteristics of Excluded Children </w:t>
      </w:r>
    </w:p>
    <w:tbl>
      <w:tblPr>
        <w:tblW w:w="7759" w:type="dxa"/>
        <w:tblLook w:val="04A0" w:firstRow="1" w:lastRow="0" w:firstColumn="1" w:lastColumn="0" w:noHBand="0" w:noVBand="1"/>
      </w:tblPr>
      <w:tblGrid>
        <w:gridCol w:w="1976"/>
        <w:gridCol w:w="1206"/>
        <w:gridCol w:w="1111"/>
        <w:gridCol w:w="1328"/>
        <w:gridCol w:w="998"/>
        <w:gridCol w:w="1206"/>
      </w:tblGrid>
      <w:tr w:rsidR="00EB3C69" w:rsidRPr="00296330" w14:paraId="482BE59F" w14:textId="77777777" w:rsidTr="00E141A0">
        <w:trPr>
          <w:trHeight w:val="290"/>
        </w:trPr>
        <w:tc>
          <w:tcPr>
            <w:tcW w:w="1976" w:type="dxa"/>
            <w:tcBorders>
              <w:top w:val="nil"/>
              <w:left w:val="nil"/>
              <w:bottom w:val="nil"/>
              <w:right w:val="nil"/>
            </w:tcBorders>
            <w:shd w:val="clear" w:color="auto" w:fill="auto"/>
            <w:noWrap/>
            <w:vAlign w:val="bottom"/>
            <w:hideMark/>
          </w:tcPr>
          <w:p w14:paraId="69A35C8C" w14:textId="77777777" w:rsidR="00EB3C69" w:rsidRPr="00E141A0" w:rsidRDefault="00EB3C69">
            <w:pPr>
              <w:rPr>
                <w:sz w:val="22"/>
                <w:szCs w:val="22"/>
              </w:rPr>
            </w:pPr>
          </w:p>
        </w:tc>
        <w:tc>
          <w:tcPr>
            <w:tcW w:w="1140" w:type="dxa"/>
            <w:tcBorders>
              <w:top w:val="nil"/>
              <w:left w:val="nil"/>
              <w:bottom w:val="nil"/>
              <w:right w:val="nil"/>
            </w:tcBorders>
            <w:shd w:val="clear" w:color="auto" w:fill="auto"/>
            <w:noWrap/>
            <w:vAlign w:val="bottom"/>
            <w:hideMark/>
          </w:tcPr>
          <w:p w14:paraId="3B224B30" w14:textId="0F619FAD" w:rsidR="00EB3C69" w:rsidRPr="00E141A0" w:rsidRDefault="00EB3C69">
            <w:pPr>
              <w:rPr>
                <w:sz w:val="22"/>
                <w:szCs w:val="22"/>
              </w:rPr>
            </w:pPr>
            <w:r w:rsidRPr="00E141A0">
              <w:rPr>
                <w:sz w:val="22"/>
                <w:szCs w:val="22"/>
              </w:rPr>
              <w:t xml:space="preserve">Total Enrollment </w:t>
            </w:r>
          </w:p>
        </w:tc>
        <w:tc>
          <w:tcPr>
            <w:tcW w:w="1111" w:type="dxa"/>
            <w:tcBorders>
              <w:top w:val="nil"/>
              <w:left w:val="nil"/>
              <w:bottom w:val="nil"/>
              <w:right w:val="nil"/>
            </w:tcBorders>
            <w:shd w:val="clear" w:color="auto" w:fill="auto"/>
            <w:noWrap/>
            <w:vAlign w:val="bottom"/>
            <w:hideMark/>
          </w:tcPr>
          <w:p w14:paraId="2DAB5298" w14:textId="77777777" w:rsidR="00EB3C69" w:rsidRPr="00E141A0" w:rsidRDefault="00EB3C69">
            <w:pPr>
              <w:rPr>
                <w:color w:val="000000"/>
                <w:sz w:val="22"/>
                <w:szCs w:val="22"/>
              </w:rPr>
            </w:pPr>
            <w:r w:rsidRPr="00E141A0">
              <w:rPr>
                <w:color w:val="000000"/>
                <w:sz w:val="22"/>
                <w:szCs w:val="22"/>
              </w:rPr>
              <w:t>All Excluded</w:t>
            </w:r>
          </w:p>
        </w:tc>
        <w:tc>
          <w:tcPr>
            <w:tcW w:w="1328" w:type="dxa"/>
            <w:tcBorders>
              <w:top w:val="nil"/>
              <w:left w:val="nil"/>
              <w:bottom w:val="nil"/>
              <w:right w:val="nil"/>
            </w:tcBorders>
            <w:shd w:val="clear" w:color="auto" w:fill="auto"/>
            <w:noWrap/>
            <w:vAlign w:val="bottom"/>
            <w:hideMark/>
          </w:tcPr>
          <w:p w14:paraId="208C691D" w14:textId="77777777" w:rsidR="00EB3C69" w:rsidRPr="00E141A0" w:rsidRDefault="00EB3C69">
            <w:pPr>
              <w:rPr>
                <w:color w:val="000000"/>
                <w:sz w:val="22"/>
                <w:szCs w:val="22"/>
              </w:rPr>
            </w:pPr>
            <w:r w:rsidRPr="00E141A0">
              <w:rPr>
                <w:color w:val="000000"/>
                <w:sz w:val="22"/>
                <w:szCs w:val="22"/>
              </w:rPr>
              <w:t>Transitioned</w:t>
            </w:r>
          </w:p>
        </w:tc>
        <w:tc>
          <w:tcPr>
            <w:tcW w:w="998" w:type="dxa"/>
            <w:tcBorders>
              <w:top w:val="nil"/>
              <w:left w:val="nil"/>
              <w:bottom w:val="nil"/>
              <w:right w:val="nil"/>
            </w:tcBorders>
            <w:shd w:val="clear" w:color="auto" w:fill="auto"/>
            <w:noWrap/>
            <w:vAlign w:val="bottom"/>
            <w:hideMark/>
          </w:tcPr>
          <w:p w14:paraId="45A9337C" w14:textId="77777777" w:rsidR="00EB3C69" w:rsidRPr="00E141A0" w:rsidRDefault="00EB3C69">
            <w:pPr>
              <w:rPr>
                <w:color w:val="000000"/>
                <w:sz w:val="22"/>
                <w:szCs w:val="22"/>
              </w:rPr>
            </w:pPr>
            <w:r w:rsidRPr="00E141A0">
              <w:rPr>
                <w:color w:val="000000"/>
                <w:sz w:val="22"/>
                <w:szCs w:val="22"/>
              </w:rPr>
              <w:t>Expelled</w:t>
            </w:r>
          </w:p>
        </w:tc>
        <w:tc>
          <w:tcPr>
            <w:tcW w:w="1206" w:type="dxa"/>
            <w:tcBorders>
              <w:top w:val="nil"/>
              <w:left w:val="nil"/>
              <w:bottom w:val="nil"/>
              <w:right w:val="nil"/>
            </w:tcBorders>
            <w:shd w:val="clear" w:color="auto" w:fill="auto"/>
            <w:noWrap/>
            <w:vAlign w:val="bottom"/>
            <w:hideMark/>
          </w:tcPr>
          <w:p w14:paraId="0728ED7F" w14:textId="77777777" w:rsidR="00EB3C69" w:rsidRPr="00E141A0" w:rsidRDefault="00EB3C69">
            <w:pPr>
              <w:rPr>
                <w:color w:val="000000"/>
                <w:sz w:val="22"/>
                <w:szCs w:val="22"/>
              </w:rPr>
            </w:pPr>
            <w:r w:rsidRPr="00E141A0">
              <w:rPr>
                <w:color w:val="000000"/>
                <w:sz w:val="22"/>
                <w:szCs w:val="22"/>
              </w:rPr>
              <w:t>Withdrawn</w:t>
            </w:r>
          </w:p>
        </w:tc>
      </w:tr>
      <w:tr w:rsidR="00EB3C69" w:rsidRPr="00296330" w14:paraId="51FDDF33" w14:textId="77777777" w:rsidTr="00E141A0">
        <w:trPr>
          <w:trHeight w:val="290"/>
        </w:trPr>
        <w:tc>
          <w:tcPr>
            <w:tcW w:w="1976" w:type="dxa"/>
            <w:tcBorders>
              <w:top w:val="nil"/>
              <w:left w:val="nil"/>
              <w:bottom w:val="nil"/>
              <w:right w:val="nil"/>
            </w:tcBorders>
            <w:shd w:val="clear" w:color="auto" w:fill="auto"/>
            <w:noWrap/>
            <w:vAlign w:val="bottom"/>
            <w:hideMark/>
          </w:tcPr>
          <w:p w14:paraId="5714DF59" w14:textId="45825EE4" w:rsidR="00EB3C69" w:rsidRPr="00E141A0" w:rsidRDefault="00EB3C69" w:rsidP="00E141A0">
            <w:pPr>
              <w:jc w:val="right"/>
              <w:rPr>
                <w:i/>
                <w:color w:val="000000"/>
                <w:sz w:val="22"/>
                <w:szCs w:val="22"/>
              </w:rPr>
            </w:pPr>
            <w:r w:rsidRPr="00E141A0">
              <w:rPr>
                <w:i/>
                <w:color w:val="000000"/>
                <w:sz w:val="22"/>
                <w:szCs w:val="22"/>
              </w:rPr>
              <w:t>N</w:t>
            </w:r>
            <w:r w:rsidR="0091704E" w:rsidRPr="00296330">
              <w:rPr>
                <w:i/>
                <w:color w:val="000000"/>
                <w:sz w:val="22"/>
                <w:szCs w:val="22"/>
              </w:rPr>
              <w:t xml:space="preserve"> </w:t>
            </w:r>
            <w:r w:rsidR="0091704E" w:rsidRPr="00E141A0">
              <w:rPr>
                <w:i/>
                <w:color w:val="000000"/>
                <w:sz w:val="22"/>
                <w:szCs w:val="22"/>
                <w:vertAlign w:val="subscript"/>
              </w:rPr>
              <w:t>children</w:t>
            </w:r>
          </w:p>
        </w:tc>
        <w:tc>
          <w:tcPr>
            <w:tcW w:w="1140" w:type="dxa"/>
            <w:tcBorders>
              <w:top w:val="nil"/>
              <w:left w:val="nil"/>
              <w:bottom w:val="nil"/>
              <w:right w:val="nil"/>
            </w:tcBorders>
            <w:shd w:val="clear" w:color="auto" w:fill="auto"/>
            <w:noWrap/>
            <w:vAlign w:val="bottom"/>
            <w:hideMark/>
          </w:tcPr>
          <w:p w14:paraId="56C94A53" w14:textId="2F6A345D" w:rsidR="00EB3C69" w:rsidRPr="00E141A0" w:rsidRDefault="00EB3C69" w:rsidP="00E141A0">
            <w:pPr>
              <w:jc w:val="right"/>
              <w:rPr>
                <w:color w:val="000000"/>
                <w:sz w:val="22"/>
                <w:szCs w:val="22"/>
              </w:rPr>
            </w:pPr>
            <w:r w:rsidRPr="00E141A0">
              <w:rPr>
                <w:color w:val="000000"/>
                <w:sz w:val="22"/>
                <w:szCs w:val="22"/>
              </w:rPr>
              <w:t>6774</w:t>
            </w:r>
          </w:p>
        </w:tc>
        <w:tc>
          <w:tcPr>
            <w:tcW w:w="1111" w:type="dxa"/>
            <w:tcBorders>
              <w:top w:val="nil"/>
              <w:left w:val="nil"/>
              <w:bottom w:val="nil"/>
              <w:right w:val="nil"/>
            </w:tcBorders>
            <w:shd w:val="clear" w:color="auto" w:fill="auto"/>
            <w:noWrap/>
            <w:vAlign w:val="bottom"/>
            <w:hideMark/>
          </w:tcPr>
          <w:p w14:paraId="033528B3" w14:textId="77777777" w:rsidR="00EB3C69" w:rsidRPr="00E141A0" w:rsidRDefault="00EB3C69">
            <w:pPr>
              <w:jc w:val="right"/>
              <w:rPr>
                <w:color w:val="000000"/>
                <w:sz w:val="22"/>
                <w:szCs w:val="22"/>
              </w:rPr>
            </w:pPr>
            <w:r w:rsidRPr="00E141A0">
              <w:rPr>
                <w:color w:val="000000"/>
                <w:sz w:val="22"/>
                <w:szCs w:val="22"/>
              </w:rPr>
              <w:t>51</w:t>
            </w:r>
          </w:p>
        </w:tc>
        <w:tc>
          <w:tcPr>
            <w:tcW w:w="1328" w:type="dxa"/>
            <w:tcBorders>
              <w:top w:val="nil"/>
              <w:left w:val="nil"/>
              <w:bottom w:val="nil"/>
              <w:right w:val="nil"/>
            </w:tcBorders>
            <w:shd w:val="clear" w:color="auto" w:fill="auto"/>
            <w:noWrap/>
            <w:vAlign w:val="bottom"/>
            <w:hideMark/>
          </w:tcPr>
          <w:p w14:paraId="296706A3" w14:textId="77777777" w:rsidR="00EB3C69" w:rsidRPr="00E141A0" w:rsidRDefault="00EB3C69">
            <w:pPr>
              <w:jc w:val="right"/>
              <w:rPr>
                <w:color w:val="000000"/>
                <w:sz w:val="22"/>
                <w:szCs w:val="22"/>
              </w:rPr>
            </w:pPr>
            <w:r w:rsidRPr="00E141A0">
              <w:rPr>
                <w:color w:val="000000"/>
                <w:sz w:val="22"/>
                <w:szCs w:val="22"/>
              </w:rPr>
              <w:t>13</w:t>
            </w:r>
          </w:p>
        </w:tc>
        <w:tc>
          <w:tcPr>
            <w:tcW w:w="998" w:type="dxa"/>
            <w:tcBorders>
              <w:top w:val="nil"/>
              <w:left w:val="nil"/>
              <w:bottom w:val="nil"/>
              <w:right w:val="nil"/>
            </w:tcBorders>
            <w:shd w:val="clear" w:color="auto" w:fill="auto"/>
            <w:noWrap/>
            <w:vAlign w:val="bottom"/>
            <w:hideMark/>
          </w:tcPr>
          <w:p w14:paraId="70766A1D" w14:textId="77777777" w:rsidR="00EB3C69" w:rsidRPr="00E141A0" w:rsidRDefault="00EB3C69">
            <w:pPr>
              <w:jc w:val="right"/>
              <w:rPr>
                <w:color w:val="000000"/>
                <w:sz w:val="22"/>
                <w:szCs w:val="22"/>
              </w:rPr>
            </w:pPr>
            <w:r w:rsidRPr="00E141A0">
              <w:rPr>
                <w:color w:val="000000"/>
                <w:sz w:val="22"/>
                <w:szCs w:val="22"/>
              </w:rPr>
              <w:t>12</w:t>
            </w:r>
          </w:p>
        </w:tc>
        <w:tc>
          <w:tcPr>
            <w:tcW w:w="1206" w:type="dxa"/>
            <w:tcBorders>
              <w:top w:val="nil"/>
              <w:left w:val="nil"/>
              <w:bottom w:val="nil"/>
              <w:right w:val="nil"/>
            </w:tcBorders>
            <w:shd w:val="clear" w:color="auto" w:fill="auto"/>
            <w:noWrap/>
            <w:vAlign w:val="bottom"/>
            <w:hideMark/>
          </w:tcPr>
          <w:p w14:paraId="09D1D5A5" w14:textId="77777777" w:rsidR="00EB3C69" w:rsidRPr="00E141A0" w:rsidRDefault="00EB3C69">
            <w:pPr>
              <w:jc w:val="right"/>
              <w:rPr>
                <w:color w:val="000000"/>
                <w:sz w:val="22"/>
                <w:szCs w:val="22"/>
              </w:rPr>
            </w:pPr>
            <w:r w:rsidRPr="00E141A0">
              <w:rPr>
                <w:color w:val="000000"/>
                <w:sz w:val="22"/>
                <w:szCs w:val="22"/>
              </w:rPr>
              <w:t>26</w:t>
            </w:r>
          </w:p>
        </w:tc>
      </w:tr>
      <w:tr w:rsidR="00EB3C69" w:rsidRPr="00296330" w14:paraId="063DBDAC" w14:textId="77777777" w:rsidTr="00FC3797">
        <w:trPr>
          <w:trHeight w:val="290"/>
        </w:trPr>
        <w:tc>
          <w:tcPr>
            <w:tcW w:w="1976" w:type="dxa"/>
            <w:tcBorders>
              <w:top w:val="nil"/>
              <w:left w:val="nil"/>
              <w:bottom w:val="nil"/>
              <w:right w:val="nil"/>
            </w:tcBorders>
            <w:shd w:val="clear" w:color="auto" w:fill="auto"/>
            <w:noWrap/>
            <w:vAlign w:val="bottom"/>
          </w:tcPr>
          <w:p w14:paraId="7398D9FF" w14:textId="614BC76E" w:rsidR="00EB3C69" w:rsidRPr="00E141A0" w:rsidRDefault="00EB3C69" w:rsidP="00E141A0">
            <w:pPr>
              <w:rPr>
                <w:b/>
                <w:color w:val="000000"/>
                <w:sz w:val="22"/>
                <w:szCs w:val="22"/>
              </w:rPr>
            </w:pPr>
            <w:r w:rsidRPr="00E141A0">
              <w:rPr>
                <w:b/>
                <w:color w:val="000000"/>
                <w:sz w:val="22"/>
                <w:szCs w:val="22"/>
              </w:rPr>
              <w:t>Gender</w:t>
            </w:r>
          </w:p>
        </w:tc>
        <w:tc>
          <w:tcPr>
            <w:tcW w:w="1140" w:type="dxa"/>
            <w:tcBorders>
              <w:top w:val="nil"/>
              <w:left w:val="nil"/>
              <w:bottom w:val="nil"/>
              <w:right w:val="nil"/>
            </w:tcBorders>
            <w:shd w:val="clear" w:color="auto" w:fill="auto"/>
            <w:noWrap/>
            <w:vAlign w:val="bottom"/>
          </w:tcPr>
          <w:p w14:paraId="49F00C70" w14:textId="77777777" w:rsidR="00EB3C69" w:rsidRPr="00296330" w:rsidRDefault="00EB3C69">
            <w:pPr>
              <w:jc w:val="right"/>
              <w:rPr>
                <w:color w:val="000000"/>
                <w:sz w:val="22"/>
                <w:szCs w:val="22"/>
              </w:rPr>
            </w:pPr>
          </w:p>
        </w:tc>
        <w:tc>
          <w:tcPr>
            <w:tcW w:w="1111" w:type="dxa"/>
            <w:tcBorders>
              <w:top w:val="nil"/>
              <w:left w:val="nil"/>
              <w:bottom w:val="nil"/>
              <w:right w:val="nil"/>
            </w:tcBorders>
            <w:shd w:val="clear" w:color="auto" w:fill="auto"/>
            <w:noWrap/>
            <w:vAlign w:val="bottom"/>
          </w:tcPr>
          <w:p w14:paraId="191A07D2" w14:textId="77777777" w:rsidR="00EB3C69" w:rsidRPr="00296330" w:rsidRDefault="00EB3C69">
            <w:pPr>
              <w:jc w:val="right"/>
              <w:rPr>
                <w:color w:val="000000"/>
                <w:sz w:val="22"/>
                <w:szCs w:val="22"/>
              </w:rPr>
            </w:pPr>
          </w:p>
        </w:tc>
        <w:tc>
          <w:tcPr>
            <w:tcW w:w="1328" w:type="dxa"/>
            <w:tcBorders>
              <w:top w:val="nil"/>
              <w:left w:val="nil"/>
              <w:bottom w:val="nil"/>
              <w:right w:val="nil"/>
            </w:tcBorders>
            <w:shd w:val="clear" w:color="auto" w:fill="auto"/>
            <w:noWrap/>
            <w:vAlign w:val="bottom"/>
          </w:tcPr>
          <w:p w14:paraId="16AAC2AE" w14:textId="77777777" w:rsidR="00EB3C69" w:rsidRPr="00296330" w:rsidRDefault="00EB3C69">
            <w:pPr>
              <w:jc w:val="right"/>
              <w:rPr>
                <w:color w:val="000000"/>
                <w:sz w:val="22"/>
                <w:szCs w:val="22"/>
              </w:rPr>
            </w:pPr>
          </w:p>
        </w:tc>
        <w:tc>
          <w:tcPr>
            <w:tcW w:w="998" w:type="dxa"/>
            <w:tcBorders>
              <w:top w:val="nil"/>
              <w:left w:val="nil"/>
              <w:bottom w:val="nil"/>
              <w:right w:val="nil"/>
            </w:tcBorders>
            <w:shd w:val="clear" w:color="auto" w:fill="auto"/>
            <w:noWrap/>
            <w:vAlign w:val="bottom"/>
          </w:tcPr>
          <w:p w14:paraId="2FFB5A50" w14:textId="77777777" w:rsidR="00EB3C69" w:rsidRPr="00296330" w:rsidRDefault="00EB3C69">
            <w:pPr>
              <w:jc w:val="right"/>
              <w:rPr>
                <w:color w:val="000000"/>
                <w:sz w:val="22"/>
                <w:szCs w:val="22"/>
              </w:rPr>
            </w:pPr>
          </w:p>
        </w:tc>
        <w:tc>
          <w:tcPr>
            <w:tcW w:w="1206" w:type="dxa"/>
            <w:tcBorders>
              <w:top w:val="nil"/>
              <w:left w:val="nil"/>
              <w:bottom w:val="nil"/>
              <w:right w:val="nil"/>
            </w:tcBorders>
            <w:shd w:val="clear" w:color="auto" w:fill="auto"/>
            <w:noWrap/>
            <w:vAlign w:val="bottom"/>
          </w:tcPr>
          <w:p w14:paraId="58C48561" w14:textId="77777777" w:rsidR="00EB3C69" w:rsidRPr="00296330" w:rsidRDefault="00EB3C69">
            <w:pPr>
              <w:jc w:val="right"/>
              <w:rPr>
                <w:color w:val="000000"/>
                <w:sz w:val="22"/>
                <w:szCs w:val="22"/>
              </w:rPr>
            </w:pPr>
          </w:p>
        </w:tc>
      </w:tr>
      <w:tr w:rsidR="00EB3C69" w:rsidRPr="00296330" w14:paraId="2AA58F36" w14:textId="77777777" w:rsidTr="00E141A0">
        <w:trPr>
          <w:trHeight w:val="290"/>
        </w:trPr>
        <w:tc>
          <w:tcPr>
            <w:tcW w:w="1976" w:type="dxa"/>
            <w:tcBorders>
              <w:top w:val="nil"/>
              <w:left w:val="nil"/>
              <w:bottom w:val="nil"/>
              <w:right w:val="nil"/>
            </w:tcBorders>
            <w:shd w:val="clear" w:color="auto" w:fill="auto"/>
            <w:noWrap/>
            <w:vAlign w:val="bottom"/>
            <w:hideMark/>
          </w:tcPr>
          <w:p w14:paraId="2E52D04E" w14:textId="77777777" w:rsidR="00EB3C69" w:rsidRPr="00E141A0" w:rsidRDefault="00EB3C69" w:rsidP="00E141A0">
            <w:pPr>
              <w:ind w:left="342"/>
              <w:rPr>
                <w:color w:val="000000"/>
                <w:sz w:val="22"/>
                <w:szCs w:val="22"/>
              </w:rPr>
            </w:pPr>
            <w:r w:rsidRPr="00E141A0">
              <w:rPr>
                <w:color w:val="000000"/>
                <w:sz w:val="22"/>
                <w:szCs w:val="22"/>
              </w:rPr>
              <w:t>Girls</w:t>
            </w:r>
          </w:p>
        </w:tc>
        <w:tc>
          <w:tcPr>
            <w:tcW w:w="1140" w:type="dxa"/>
            <w:tcBorders>
              <w:top w:val="nil"/>
              <w:left w:val="nil"/>
              <w:bottom w:val="nil"/>
              <w:right w:val="nil"/>
            </w:tcBorders>
            <w:shd w:val="clear" w:color="auto" w:fill="auto"/>
            <w:noWrap/>
            <w:vAlign w:val="bottom"/>
            <w:hideMark/>
          </w:tcPr>
          <w:p w14:paraId="3A0DFB4E" w14:textId="699BB8A9" w:rsidR="00EB3C69" w:rsidRPr="00E141A0" w:rsidRDefault="00FC3797">
            <w:pPr>
              <w:jc w:val="right"/>
              <w:rPr>
                <w:color w:val="000000"/>
                <w:sz w:val="22"/>
                <w:szCs w:val="22"/>
              </w:rPr>
            </w:pPr>
            <w:r w:rsidRPr="00296330">
              <w:rPr>
                <w:color w:val="000000"/>
                <w:sz w:val="22"/>
                <w:szCs w:val="22"/>
              </w:rPr>
              <w:t>47.70</w:t>
            </w:r>
            <w:r w:rsidR="00EB3C69" w:rsidRPr="00E141A0">
              <w:rPr>
                <w:color w:val="000000"/>
                <w:sz w:val="22"/>
                <w:szCs w:val="22"/>
              </w:rPr>
              <w:t>%</w:t>
            </w:r>
          </w:p>
        </w:tc>
        <w:tc>
          <w:tcPr>
            <w:tcW w:w="1111" w:type="dxa"/>
            <w:tcBorders>
              <w:top w:val="nil"/>
              <w:left w:val="nil"/>
              <w:bottom w:val="nil"/>
              <w:right w:val="nil"/>
            </w:tcBorders>
            <w:shd w:val="clear" w:color="auto" w:fill="auto"/>
            <w:noWrap/>
            <w:vAlign w:val="bottom"/>
            <w:hideMark/>
          </w:tcPr>
          <w:p w14:paraId="456EB74D" w14:textId="250056A6" w:rsidR="00EB3C69" w:rsidRPr="00E141A0" w:rsidRDefault="00EB3C69">
            <w:pPr>
              <w:jc w:val="right"/>
              <w:rPr>
                <w:color w:val="000000"/>
                <w:sz w:val="22"/>
                <w:szCs w:val="22"/>
              </w:rPr>
            </w:pPr>
            <w:r w:rsidRPr="00E141A0">
              <w:rPr>
                <w:color w:val="000000"/>
                <w:sz w:val="22"/>
                <w:szCs w:val="22"/>
              </w:rPr>
              <w:t>14.30%</w:t>
            </w:r>
          </w:p>
        </w:tc>
        <w:tc>
          <w:tcPr>
            <w:tcW w:w="1328" w:type="dxa"/>
            <w:tcBorders>
              <w:top w:val="nil"/>
              <w:left w:val="nil"/>
              <w:bottom w:val="nil"/>
              <w:right w:val="nil"/>
            </w:tcBorders>
            <w:shd w:val="clear" w:color="auto" w:fill="auto"/>
            <w:noWrap/>
            <w:vAlign w:val="bottom"/>
            <w:hideMark/>
          </w:tcPr>
          <w:p w14:paraId="437AE841" w14:textId="2BD7B5C6" w:rsidR="00EB3C69" w:rsidRPr="00E141A0" w:rsidRDefault="00EB3C69">
            <w:pPr>
              <w:jc w:val="right"/>
              <w:rPr>
                <w:color w:val="000000"/>
                <w:sz w:val="22"/>
                <w:szCs w:val="22"/>
              </w:rPr>
            </w:pPr>
            <w:r w:rsidRPr="00E141A0">
              <w:rPr>
                <w:color w:val="000000"/>
                <w:sz w:val="22"/>
                <w:szCs w:val="22"/>
              </w:rPr>
              <w:t>0.00%</w:t>
            </w:r>
          </w:p>
        </w:tc>
        <w:tc>
          <w:tcPr>
            <w:tcW w:w="998" w:type="dxa"/>
            <w:tcBorders>
              <w:top w:val="nil"/>
              <w:left w:val="nil"/>
              <w:bottom w:val="nil"/>
              <w:right w:val="nil"/>
            </w:tcBorders>
            <w:shd w:val="clear" w:color="auto" w:fill="auto"/>
            <w:noWrap/>
            <w:vAlign w:val="bottom"/>
            <w:hideMark/>
          </w:tcPr>
          <w:p w14:paraId="5D2CD2F0" w14:textId="5B29E6CD" w:rsidR="00EB3C69" w:rsidRPr="00E141A0" w:rsidRDefault="00EB3C69">
            <w:pPr>
              <w:jc w:val="right"/>
              <w:rPr>
                <w:color w:val="000000"/>
                <w:sz w:val="22"/>
                <w:szCs w:val="22"/>
              </w:rPr>
            </w:pPr>
            <w:r w:rsidRPr="00E141A0">
              <w:rPr>
                <w:color w:val="000000"/>
                <w:sz w:val="22"/>
                <w:szCs w:val="22"/>
              </w:rPr>
              <w:t>9.90%</w:t>
            </w:r>
          </w:p>
        </w:tc>
        <w:tc>
          <w:tcPr>
            <w:tcW w:w="1206" w:type="dxa"/>
            <w:tcBorders>
              <w:top w:val="nil"/>
              <w:left w:val="nil"/>
              <w:bottom w:val="nil"/>
              <w:right w:val="nil"/>
            </w:tcBorders>
            <w:shd w:val="clear" w:color="auto" w:fill="auto"/>
            <w:noWrap/>
            <w:vAlign w:val="bottom"/>
            <w:hideMark/>
          </w:tcPr>
          <w:p w14:paraId="1BA52C6A" w14:textId="680049A9" w:rsidR="00EB3C69" w:rsidRPr="00E141A0" w:rsidRDefault="00EB3C69">
            <w:pPr>
              <w:jc w:val="right"/>
              <w:rPr>
                <w:color w:val="000000"/>
                <w:sz w:val="22"/>
                <w:szCs w:val="22"/>
              </w:rPr>
            </w:pPr>
            <w:r w:rsidRPr="00E141A0">
              <w:rPr>
                <w:color w:val="000000"/>
                <w:sz w:val="22"/>
                <w:szCs w:val="22"/>
              </w:rPr>
              <w:t>24.00%</w:t>
            </w:r>
          </w:p>
        </w:tc>
      </w:tr>
      <w:tr w:rsidR="00EB3C69" w:rsidRPr="00296330" w14:paraId="759FFCDD" w14:textId="77777777" w:rsidTr="00E141A0">
        <w:trPr>
          <w:trHeight w:val="290"/>
        </w:trPr>
        <w:tc>
          <w:tcPr>
            <w:tcW w:w="1976" w:type="dxa"/>
            <w:tcBorders>
              <w:top w:val="nil"/>
              <w:left w:val="nil"/>
              <w:bottom w:val="nil"/>
              <w:right w:val="nil"/>
            </w:tcBorders>
            <w:shd w:val="clear" w:color="auto" w:fill="auto"/>
            <w:noWrap/>
            <w:vAlign w:val="bottom"/>
            <w:hideMark/>
          </w:tcPr>
          <w:p w14:paraId="2C73E701" w14:textId="77777777" w:rsidR="00EB3C69" w:rsidRPr="00E141A0" w:rsidRDefault="00EB3C69" w:rsidP="00E141A0">
            <w:pPr>
              <w:ind w:left="342"/>
              <w:rPr>
                <w:color w:val="000000"/>
                <w:sz w:val="22"/>
                <w:szCs w:val="22"/>
              </w:rPr>
            </w:pPr>
            <w:r w:rsidRPr="00E141A0">
              <w:rPr>
                <w:color w:val="000000"/>
                <w:sz w:val="22"/>
                <w:szCs w:val="22"/>
              </w:rPr>
              <w:t>Boys</w:t>
            </w:r>
          </w:p>
        </w:tc>
        <w:tc>
          <w:tcPr>
            <w:tcW w:w="1140" w:type="dxa"/>
            <w:tcBorders>
              <w:top w:val="nil"/>
              <w:left w:val="nil"/>
              <w:bottom w:val="nil"/>
              <w:right w:val="nil"/>
            </w:tcBorders>
            <w:shd w:val="clear" w:color="auto" w:fill="auto"/>
            <w:noWrap/>
            <w:vAlign w:val="bottom"/>
            <w:hideMark/>
          </w:tcPr>
          <w:p w14:paraId="7571E9C7" w14:textId="77777777" w:rsidR="00EB3C69" w:rsidRPr="00E141A0" w:rsidRDefault="00EB3C69">
            <w:pPr>
              <w:jc w:val="right"/>
              <w:rPr>
                <w:color w:val="000000"/>
                <w:sz w:val="22"/>
                <w:szCs w:val="22"/>
              </w:rPr>
            </w:pPr>
            <w:r w:rsidRPr="00E141A0">
              <w:rPr>
                <w:color w:val="000000"/>
                <w:sz w:val="22"/>
                <w:szCs w:val="22"/>
              </w:rPr>
              <w:t>52.30%</w:t>
            </w:r>
          </w:p>
        </w:tc>
        <w:tc>
          <w:tcPr>
            <w:tcW w:w="1111" w:type="dxa"/>
            <w:tcBorders>
              <w:top w:val="nil"/>
              <w:left w:val="nil"/>
              <w:bottom w:val="nil"/>
              <w:right w:val="nil"/>
            </w:tcBorders>
            <w:shd w:val="clear" w:color="auto" w:fill="auto"/>
            <w:noWrap/>
            <w:vAlign w:val="bottom"/>
            <w:hideMark/>
          </w:tcPr>
          <w:p w14:paraId="2E225E05" w14:textId="77777777" w:rsidR="00EB3C69" w:rsidRPr="00E141A0" w:rsidRDefault="00EB3C69">
            <w:pPr>
              <w:jc w:val="right"/>
              <w:rPr>
                <w:color w:val="000000"/>
                <w:sz w:val="22"/>
                <w:szCs w:val="22"/>
              </w:rPr>
            </w:pPr>
            <w:r w:rsidRPr="00E141A0">
              <w:rPr>
                <w:color w:val="000000"/>
                <w:sz w:val="22"/>
                <w:szCs w:val="22"/>
              </w:rPr>
              <w:t>85.70%</w:t>
            </w:r>
          </w:p>
        </w:tc>
        <w:tc>
          <w:tcPr>
            <w:tcW w:w="1328" w:type="dxa"/>
            <w:tcBorders>
              <w:top w:val="nil"/>
              <w:left w:val="nil"/>
              <w:bottom w:val="nil"/>
              <w:right w:val="nil"/>
            </w:tcBorders>
            <w:shd w:val="clear" w:color="auto" w:fill="auto"/>
            <w:noWrap/>
            <w:vAlign w:val="bottom"/>
            <w:hideMark/>
          </w:tcPr>
          <w:p w14:paraId="777DC0DA" w14:textId="77777777" w:rsidR="00EB3C69" w:rsidRPr="00E141A0" w:rsidRDefault="00EB3C69">
            <w:pPr>
              <w:jc w:val="right"/>
              <w:rPr>
                <w:color w:val="000000"/>
                <w:sz w:val="22"/>
                <w:szCs w:val="22"/>
              </w:rPr>
            </w:pPr>
            <w:r w:rsidRPr="00E141A0">
              <w:rPr>
                <w:color w:val="000000"/>
                <w:sz w:val="22"/>
                <w:szCs w:val="22"/>
              </w:rPr>
              <w:t>100%</w:t>
            </w:r>
          </w:p>
        </w:tc>
        <w:tc>
          <w:tcPr>
            <w:tcW w:w="998" w:type="dxa"/>
            <w:tcBorders>
              <w:top w:val="nil"/>
              <w:left w:val="nil"/>
              <w:bottom w:val="nil"/>
              <w:right w:val="nil"/>
            </w:tcBorders>
            <w:shd w:val="clear" w:color="auto" w:fill="auto"/>
            <w:noWrap/>
            <w:vAlign w:val="bottom"/>
            <w:hideMark/>
          </w:tcPr>
          <w:p w14:paraId="2E5C5FA3" w14:textId="77777777" w:rsidR="00EB3C69" w:rsidRPr="00E141A0" w:rsidRDefault="00EB3C69">
            <w:pPr>
              <w:jc w:val="right"/>
              <w:rPr>
                <w:color w:val="000000"/>
                <w:sz w:val="22"/>
                <w:szCs w:val="22"/>
              </w:rPr>
            </w:pPr>
            <w:r w:rsidRPr="00E141A0">
              <w:rPr>
                <w:color w:val="000000"/>
                <w:sz w:val="22"/>
                <w:szCs w:val="22"/>
              </w:rPr>
              <w:t>90.10%</w:t>
            </w:r>
          </w:p>
        </w:tc>
        <w:tc>
          <w:tcPr>
            <w:tcW w:w="1206" w:type="dxa"/>
            <w:tcBorders>
              <w:top w:val="nil"/>
              <w:left w:val="nil"/>
              <w:bottom w:val="nil"/>
              <w:right w:val="nil"/>
            </w:tcBorders>
            <w:shd w:val="clear" w:color="auto" w:fill="auto"/>
            <w:noWrap/>
            <w:vAlign w:val="bottom"/>
            <w:hideMark/>
          </w:tcPr>
          <w:p w14:paraId="28CDAE2F" w14:textId="77777777" w:rsidR="00EB3C69" w:rsidRPr="00E141A0" w:rsidRDefault="00EB3C69">
            <w:pPr>
              <w:jc w:val="right"/>
              <w:rPr>
                <w:color w:val="000000"/>
                <w:sz w:val="22"/>
                <w:szCs w:val="22"/>
              </w:rPr>
            </w:pPr>
            <w:r w:rsidRPr="00E141A0">
              <w:rPr>
                <w:color w:val="000000"/>
                <w:sz w:val="22"/>
                <w:szCs w:val="22"/>
              </w:rPr>
              <w:t>76%</w:t>
            </w:r>
          </w:p>
        </w:tc>
      </w:tr>
      <w:tr w:rsidR="00EB3C69" w:rsidRPr="00296330" w14:paraId="0C38FD59" w14:textId="77777777" w:rsidTr="00E141A0">
        <w:trPr>
          <w:trHeight w:val="290"/>
        </w:trPr>
        <w:tc>
          <w:tcPr>
            <w:tcW w:w="1976" w:type="dxa"/>
            <w:tcBorders>
              <w:top w:val="nil"/>
              <w:left w:val="nil"/>
              <w:bottom w:val="nil"/>
              <w:right w:val="nil"/>
            </w:tcBorders>
            <w:shd w:val="clear" w:color="auto" w:fill="auto"/>
            <w:noWrap/>
            <w:vAlign w:val="bottom"/>
            <w:hideMark/>
          </w:tcPr>
          <w:p w14:paraId="15B4A88B" w14:textId="3E4CAF0C" w:rsidR="00EB3C69" w:rsidRPr="00E141A0" w:rsidRDefault="00EB3C69" w:rsidP="00E141A0">
            <w:pPr>
              <w:rPr>
                <w:b/>
                <w:color w:val="000000"/>
                <w:sz w:val="22"/>
                <w:szCs w:val="22"/>
              </w:rPr>
            </w:pPr>
            <w:r w:rsidRPr="00E141A0">
              <w:rPr>
                <w:b/>
                <w:color w:val="000000"/>
                <w:sz w:val="22"/>
                <w:szCs w:val="22"/>
              </w:rPr>
              <w:t>Race/Ethnicity</w:t>
            </w:r>
          </w:p>
        </w:tc>
        <w:tc>
          <w:tcPr>
            <w:tcW w:w="1140" w:type="dxa"/>
            <w:tcBorders>
              <w:top w:val="nil"/>
              <w:left w:val="nil"/>
              <w:bottom w:val="nil"/>
              <w:right w:val="nil"/>
            </w:tcBorders>
            <w:shd w:val="clear" w:color="auto" w:fill="auto"/>
            <w:noWrap/>
            <w:vAlign w:val="bottom"/>
          </w:tcPr>
          <w:p w14:paraId="4EB29285" w14:textId="12B47AC5" w:rsidR="00EB3C69" w:rsidRPr="00E141A0" w:rsidRDefault="00EB3C69">
            <w:pPr>
              <w:rPr>
                <w:color w:val="000000"/>
                <w:sz w:val="22"/>
                <w:szCs w:val="22"/>
              </w:rPr>
            </w:pPr>
          </w:p>
        </w:tc>
        <w:tc>
          <w:tcPr>
            <w:tcW w:w="1111" w:type="dxa"/>
            <w:tcBorders>
              <w:top w:val="nil"/>
              <w:left w:val="nil"/>
              <w:bottom w:val="nil"/>
              <w:right w:val="nil"/>
            </w:tcBorders>
            <w:shd w:val="clear" w:color="auto" w:fill="auto"/>
            <w:noWrap/>
            <w:vAlign w:val="bottom"/>
          </w:tcPr>
          <w:p w14:paraId="33ABD0BC" w14:textId="30499A62" w:rsidR="00EB3C69" w:rsidRPr="00E141A0" w:rsidRDefault="00EB3C69">
            <w:pPr>
              <w:rPr>
                <w:color w:val="000000"/>
                <w:sz w:val="22"/>
                <w:szCs w:val="22"/>
              </w:rPr>
            </w:pPr>
          </w:p>
        </w:tc>
        <w:tc>
          <w:tcPr>
            <w:tcW w:w="1328" w:type="dxa"/>
            <w:tcBorders>
              <w:top w:val="nil"/>
              <w:left w:val="nil"/>
              <w:bottom w:val="nil"/>
              <w:right w:val="nil"/>
            </w:tcBorders>
            <w:shd w:val="clear" w:color="auto" w:fill="auto"/>
            <w:noWrap/>
            <w:vAlign w:val="bottom"/>
          </w:tcPr>
          <w:p w14:paraId="61737CA9" w14:textId="3B5468EA" w:rsidR="00EB3C69" w:rsidRPr="00E141A0" w:rsidRDefault="00EB3C69">
            <w:pPr>
              <w:rPr>
                <w:color w:val="000000"/>
                <w:sz w:val="22"/>
                <w:szCs w:val="22"/>
              </w:rPr>
            </w:pPr>
          </w:p>
        </w:tc>
        <w:tc>
          <w:tcPr>
            <w:tcW w:w="998" w:type="dxa"/>
            <w:tcBorders>
              <w:top w:val="nil"/>
              <w:left w:val="nil"/>
              <w:bottom w:val="nil"/>
              <w:right w:val="nil"/>
            </w:tcBorders>
            <w:shd w:val="clear" w:color="auto" w:fill="auto"/>
            <w:noWrap/>
            <w:vAlign w:val="bottom"/>
          </w:tcPr>
          <w:p w14:paraId="26823A5C" w14:textId="1DEA29DB" w:rsidR="00EB3C69" w:rsidRPr="00E141A0" w:rsidRDefault="00EB3C69">
            <w:pPr>
              <w:rPr>
                <w:color w:val="000000"/>
                <w:sz w:val="22"/>
                <w:szCs w:val="22"/>
              </w:rPr>
            </w:pPr>
          </w:p>
        </w:tc>
        <w:tc>
          <w:tcPr>
            <w:tcW w:w="1206" w:type="dxa"/>
            <w:tcBorders>
              <w:top w:val="nil"/>
              <w:left w:val="nil"/>
              <w:bottom w:val="nil"/>
              <w:right w:val="nil"/>
            </w:tcBorders>
            <w:shd w:val="clear" w:color="auto" w:fill="auto"/>
            <w:noWrap/>
            <w:vAlign w:val="bottom"/>
          </w:tcPr>
          <w:p w14:paraId="6D05A287" w14:textId="00E9A1A0" w:rsidR="00EB3C69" w:rsidRPr="00E141A0" w:rsidRDefault="00EB3C69">
            <w:pPr>
              <w:rPr>
                <w:color w:val="000000"/>
                <w:sz w:val="22"/>
                <w:szCs w:val="22"/>
              </w:rPr>
            </w:pPr>
          </w:p>
        </w:tc>
      </w:tr>
      <w:tr w:rsidR="00EB3C69" w:rsidRPr="00296330" w14:paraId="1EC0D121" w14:textId="77777777" w:rsidTr="00E141A0">
        <w:trPr>
          <w:trHeight w:val="290"/>
        </w:trPr>
        <w:tc>
          <w:tcPr>
            <w:tcW w:w="1976" w:type="dxa"/>
            <w:tcBorders>
              <w:top w:val="nil"/>
              <w:left w:val="nil"/>
              <w:bottom w:val="nil"/>
              <w:right w:val="nil"/>
            </w:tcBorders>
            <w:shd w:val="clear" w:color="auto" w:fill="auto"/>
            <w:noWrap/>
            <w:vAlign w:val="bottom"/>
            <w:hideMark/>
          </w:tcPr>
          <w:p w14:paraId="015BECD1" w14:textId="77777777" w:rsidR="00EB3C69" w:rsidRPr="00E141A0" w:rsidRDefault="00EB3C69" w:rsidP="00E141A0">
            <w:pPr>
              <w:ind w:left="342"/>
              <w:rPr>
                <w:color w:val="000000"/>
                <w:sz w:val="22"/>
                <w:szCs w:val="22"/>
              </w:rPr>
            </w:pPr>
            <w:r w:rsidRPr="00E141A0">
              <w:rPr>
                <w:color w:val="000000"/>
                <w:sz w:val="22"/>
                <w:szCs w:val="22"/>
              </w:rPr>
              <w:t>White</w:t>
            </w:r>
          </w:p>
        </w:tc>
        <w:tc>
          <w:tcPr>
            <w:tcW w:w="1140" w:type="dxa"/>
            <w:tcBorders>
              <w:top w:val="nil"/>
              <w:left w:val="nil"/>
              <w:bottom w:val="nil"/>
              <w:right w:val="nil"/>
            </w:tcBorders>
            <w:shd w:val="clear" w:color="auto" w:fill="auto"/>
            <w:noWrap/>
            <w:vAlign w:val="bottom"/>
            <w:hideMark/>
          </w:tcPr>
          <w:p w14:paraId="3E98CB38" w14:textId="77777777" w:rsidR="00EB3C69" w:rsidRPr="00E141A0" w:rsidRDefault="00EB3C69">
            <w:pPr>
              <w:jc w:val="right"/>
              <w:rPr>
                <w:color w:val="000000"/>
                <w:sz w:val="22"/>
                <w:szCs w:val="22"/>
              </w:rPr>
            </w:pPr>
            <w:r w:rsidRPr="00E141A0">
              <w:rPr>
                <w:color w:val="000000"/>
                <w:sz w:val="22"/>
                <w:szCs w:val="22"/>
              </w:rPr>
              <w:t>54.01%</w:t>
            </w:r>
          </w:p>
        </w:tc>
        <w:tc>
          <w:tcPr>
            <w:tcW w:w="1111" w:type="dxa"/>
            <w:tcBorders>
              <w:top w:val="nil"/>
              <w:left w:val="nil"/>
              <w:bottom w:val="nil"/>
              <w:right w:val="nil"/>
            </w:tcBorders>
            <w:shd w:val="clear" w:color="auto" w:fill="auto"/>
            <w:noWrap/>
            <w:vAlign w:val="bottom"/>
            <w:hideMark/>
          </w:tcPr>
          <w:p w14:paraId="06B8ED27" w14:textId="77777777" w:rsidR="00EB3C69" w:rsidRPr="00E141A0" w:rsidRDefault="00EB3C69">
            <w:pPr>
              <w:jc w:val="right"/>
              <w:rPr>
                <w:color w:val="000000"/>
                <w:sz w:val="22"/>
                <w:szCs w:val="22"/>
              </w:rPr>
            </w:pPr>
            <w:r w:rsidRPr="00E141A0">
              <w:rPr>
                <w:color w:val="000000"/>
                <w:sz w:val="22"/>
                <w:szCs w:val="22"/>
              </w:rPr>
              <w:t>59.60%</w:t>
            </w:r>
          </w:p>
        </w:tc>
        <w:tc>
          <w:tcPr>
            <w:tcW w:w="1328" w:type="dxa"/>
            <w:tcBorders>
              <w:top w:val="nil"/>
              <w:left w:val="nil"/>
              <w:bottom w:val="nil"/>
              <w:right w:val="nil"/>
            </w:tcBorders>
            <w:shd w:val="clear" w:color="auto" w:fill="auto"/>
            <w:noWrap/>
            <w:vAlign w:val="bottom"/>
            <w:hideMark/>
          </w:tcPr>
          <w:p w14:paraId="7F6EACE2" w14:textId="77777777" w:rsidR="00EB3C69" w:rsidRPr="00E141A0" w:rsidRDefault="00EB3C69">
            <w:pPr>
              <w:jc w:val="right"/>
              <w:rPr>
                <w:color w:val="000000"/>
                <w:sz w:val="22"/>
                <w:szCs w:val="22"/>
              </w:rPr>
            </w:pPr>
            <w:r w:rsidRPr="00E141A0">
              <w:rPr>
                <w:color w:val="000000"/>
                <w:sz w:val="22"/>
                <w:szCs w:val="22"/>
              </w:rPr>
              <w:t>58.30%</w:t>
            </w:r>
          </w:p>
        </w:tc>
        <w:tc>
          <w:tcPr>
            <w:tcW w:w="998" w:type="dxa"/>
            <w:tcBorders>
              <w:top w:val="nil"/>
              <w:left w:val="nil"/>
              <w:bottom w:val="nil"/>
              <w:right w:val="nil"/>
            </w:tcBorders>
            <w:shd w:val="clear" w:color="auto" w:fill="auto"/>
            <w:noWrap/>
            <w:vAlign w:val="bottom"/>
            <w:hideMark/>
          </w:tcPr>
          <w:p w14:paraId="53EB5163" w14:textId="77777777" w:rsidR="00EB3C69" w:rsidRPr="00E141A0" w:rsidRDefault="00EB3C69">
            <w:pPr>
              <w:jc w:val="right"/>
              <w:rPr>
                <w:color w:val="000000"/>
                <w:sz w:val="22"/>
                <w:szCs w:val="22"/>
              </w:rPr>
            </w:pPr>
            <w:r w:rsidRPr="00E141A0">
              <w:rPr>
                <w:color w:val="000000"/>
                <w:sz w:val="22"/>
                <w:szCs w:val="22"/>
              </w:rPr>
              <w:t>54%</w:t>
            </w:r>
          </w:p>
        </w:tc>
        <w:tc>
          <w:tcPr>
            <w:tcW w:w="1206" w:type="dxa"/>
            <w:tcBorders>
              <w:top w:val="nil"/>
              <w:left w:val="nil"/>
              <w:bottom w:val="nil"/>
              <w:right w:val="nil"/>
            </w:tcBorders>
            <w:shd w:val="clear" w:color="auto" w:fill="auto"/>
            <w:noWrap/>
            <w:vAlign w:val="bottom"/>
            <w:hideMark/>
          </w:tcPr>
          <w:p w14:paraId="059E2367" w14:textId="77777777" w:rsidR="00EB3C69" w:rsidRPr="00E141A0" w:rsidRDefault="00EB3C69">
            <w:pPr>
              <w:jc w:val="right"/>
              <w:rPr>
                <w:color w:val="000000"/>
                <w:sz w:val="22"/>
                <w:szCs w:val="22"/>
              </w:rPr>
            </w:pPr>
            <w:r w:rsidRPr="00E141A0">
              <w:rPr>
                <w:color w:val="000000"/>
                <w:sz w:val="22"/>
                <w:szCs w:val="22"/>
              </w:rPr>
              <w:t>65.20%</w:t>
            </w:r>
          </w:p>
        </w:tc>
      </w:tr>
      <w:tr w:rsidR="00EB3C69" w:rsidRPr="00296330" w14:paraId="0AB44339" w14:textId="77777777" w:rsidTr="00E141A0">
        <w:trPr>
          <w:trHeight w:val="290"/>
        </w:trPr>
        <w:tc>
          <w:tcPr>
            <w:tcW w:w="1976" w:type="dxa"/>
            <w:tcBorders>
              <w:top w:val="nil"/>
              <w:left w:val="nil"/>
              <w:bottom w:val="nil"/>
              <w:right w:val="nil"/>
            </w:tcBorders>
            <w:shd w:val="clear" w:color="auto" w:fill="auto"/>
            <w:noWrap/>
            <w:vAlign w:val="bottom"/>
            <w:hideMark/>
          </w:tcPr>
          <w:p w14:paraId="6623A6FE" w14:textId="77777777" w:rsidR="00EB3C69" w:rsidRPr="00E141A0" w:rsidRDefault="00EB3C69" w:rsidP="00E141A0">
            <w:pPr>
              <w:ind w:left="342"/>
              <w:rPr>
                <w:color w:val="000000"/>
                <w:sz w:val="22"/>
                <w:szCs w:val="22"/>
              </w:rPr>
            </w:pPr>
            <w:r w:rsidRPr="00E141A0">
              <w:rPr>
                <w:color w:val="000000"/>
                <w:sz w:val="22"/>
                <w:szCs w:val="22"/>
              </w:rPr>
              <w:t>Black</w:t>
            </w:r>
          </w:p>
        </w:tc>
        <w:tc>
          <w:tcPr>
            <w:tcW w:w="1140" w:type="dxa"/>
            <w:tcBorders>
              <w:top w:val="nil"/>
              <w:left w:val="nil"/>
              <w:bottom w:val="nil"/>
              <w:right w:val="nil"/>
            </w:tcBorders>
            <w:shd w:val="clear" w:color="auto" w:fill="auto"/>
            <w:noWrap/>
            <w:vAlign w:val="bottom"/>
            <w:hideMark/>
          </w:tcPr>
          <w:p w14:paraId="00CA4D79" w14:textId="77777777" w:rsidR="00EB3C69" w:rsidRPr="00E141A0" w:rsidRDefault="00EB3C69">
            <w:pPr>
              <w:jc w:val="right"/>
              <w:rPr>
                <w:color w:val="000000"/>
                <w:sz w:val="22"/>
                <w:szCs w:val="22"/>
              </w:rPr>
            </w:pPr>
            <w:r w:rsidRPr="00E141A0">
              <w:rPr>
                <w:color w:val="000000"/>
                <w:sz w:val="22"/>
                <w:szCs w:val="22"/>
              </w:rPr>
              <w:t>17.18%</w:t>
            </w:r>
          </w:p>
        </w:tc>
        <w:tc>
          <w:tcPr>
            <w:tcW w:w="1111" w:type="dxa"/>
            <w:tcBorders>
              <w:top w:val="nil"/>
              <w:left w:val="nil"/>
              <w:bottom w:val="nil"/>
              <w:right w:val="nil"/>
            </w:tcBorders>
            <w:shd w:val="clear" w:color="auto" w:fill="auto"/>
            <w:noWrap/>
            <w:vAlign w:val="bottom"/>
            <w:hideMark/>
          </w:tcPr>
          <w:p w14:paraId="6C0ABD59" w14:textId="77777777" w:rsidR="00EB3C69" w:rsidRPr="00E141A0" w:rsidRDefault="00EB3C69">
            <w:pPr>
              <w:jc w:val="right"/>
              <w:rPr>
                <w:color w:val="000000"/>
                <w:sz w:val="22"/>
                <w:szCs w:val="22"/>
              </w:rPr>
            </w:pPr>
            <w:r w:rsidRPr="00E141A0">
              <w:rPr>
                <w:color w:val="000000"/>
                <w:sz w:val="22"/>
                <w:szCs w:val="22"/>
              </w:rPr>
              <w:t>27.70%</w:t>
            </w:r>
          </w:p>
        </w:tc>
        <w:tc>
          <w:tcPr>
            <w:tcW w:w="1328" w:type="dxa"/>
            <w:tcBorders>
              <w:top w:val="nil"/>
              <w:left w:val="nil"/>
              <w:bottom w:val="nil"/>
              <w:right w:val="nil"/>
            </w:tcBorders>
            <w:shd w:val="clear" w:color="auto" w:fill="auto"/>
            <w:noWrap/>
            <w:vAlign w:val="bottom"/>
            <w:hideMark/>
          </w:tcPr>
          <w:p w14:paraId="730EE77B" w14:textId="77777777" w:rsidR="00EB3C69" w:rsidRPr="00E141A0" w:rsidRDefault="00EB3C69">
            <w:pPr>
              <w:jc w:val="right"/>
              <w:rPr>
                <w:color w:val="000000"/>
                <w:sz w:val="22"/>
                <w:szCs w:val="22"/>
              </w:rPr>
            </w:pPr>
            <w:r w:rsidRPr="00E141A0">
              <w:rPr>
                <w:color w:val="000000"/>
                <w:sz w:val="22"/>
                <w:szCs w:val="22"/>
              </w:rPr>
              <w:t>25%</w:t>
            </w:r>
          </w:p>
        </w:tc>
        <w:tc>
          <w:tcPr>
            <w:tcW w:w="998" w:type="dxa"/>
            <w:tcBorders>
              <w:top w:val="nil"/>
              <w:left w:val="nil"/>
              <w:bottom w:val="nil"/>
              <w:right w:val="nil"/>
            </w:tcBorders>
            <w:shd w:val="clear" w:color="auto" w:fill="auto"/>
            <w:noWrap/>
            <w:vAlign w:val="bottom"/>
            <w:hideMark/>
          </w:tcPr>
          <w:p w14:paraId="1DD3517F" w14:textId="77777777" w:rsidR="00EB3C69" w:rsidRPr="00E141A0" w:rsidRDefault="00EB3C69">
            <w:pPr>
              <w:jc w:val="right"/>
              <w:rPr>
                <w:color w:val="000000"/>
                <w:sz w:val="22"/>
                <w:szCs w:val="22"/>
              </w:rPr>
            </w:pPr>
            <w:r w:rsidRPr="00E141A0">
              <w:rPr>
                <w:color w:val="000000"/>
                <w:sz w:val="22"/>
                <w:szCs w:val="22"/>
              </w:rPr>
              <w:t>27%</w:t>
            </w:r>
          </w:p>
        </w:tc>
        <w:tc>
          <w:tcPr>
            <w:tcW w:w="1206" w:type="dxa"/>
            <w:tcBorders>
              <w:top w:val="nil"/>
              <w:left w:val="nil"/>
              <w:bottom w:val="nil"/>
              <w:right w:val="nil"/>
            </w:tcBorders>
            <w:shd w:val="clear" w:color="auto" w:fill="auto"/>
            <w:noWrap/>
            <w:vAlign w:val="bottom"/>
            <w:hideMark/>
          </w:tcPr>
          <w:p w14:paraId="4EEA39B2" w14:textId="77777777" w:rsidR="00EB3C69" w:rsidRPr="00E141A0" w:rsidRDefault="00EB3C69">
            <w:pPr>
              <w:jc w:val="right"/>
              <w:rPr>
                <w:color w:val="000000"/>
                <w:sz w:val="22"/>
                <w:szCs w:val="22"/>
              </w:rPr>
            </w:pPr>
            <w:r w:rsidRPr="00E141A0">
              <w:rPr>
                <w:color w:val="000000"/>
                <w:sz w:val="22"/>
                <w:szCs w:val="22"/>
              </w:rPr>
              <w:t>30.40%</w:t>
            </w:r>
          </w:p>
        </w:tc>
      </w:tr>
      <w:tr w:rsidR="00FC3797" w:rsidRPr="00296330" w14:paraId="75E47111" w14:textId="77777777" w:rsidTr="00E141A0">
        <w:trPr>
          <w:trHeight w:val="290"/>
        </w:trPr>
        <w:tc>
          <w:tcPr>
            <w:tcW w:w="1976" w:type="dxa"/>
            <w:tcBorders>
              <w:top w:val="nil"/>
              <w:left w:val="nil"/>
              <w:bottom w:val="nil"/>
              <w:right w:val="nil"/>
            </w:tcBorders>
            <w:shd w:val="clear" w:color="auto" w:fill="auto"/>
            <w:noWrap/>
            <w:vAlign w:val="bottom"/>
            <w:hideMark/>
          </w:tcPr>
          <w:p w14:paraId="4083A837" w14:textId="77777777" w:rsidR="00FC3797" w:rsidRPr="00E141A0" w:rsidRDefault="00FC3797" w:rsidP="00E141A0">
            <w:pPr>
              <w:ind w:left="342"/>
              <w:rPr>
                <w:color w:val="000000"/>
                <w:sz w:val="22"/>
                <w:szCs w:val="22"/>
              </w:rPr>
            </w:pPr>
            <w:r w:rsidRPr="00E141A0">
              <w:rPr>
                <w:color w:val="000000"/>
                <w:sz w:val="22"/>
                <w:szCs w:val="22"/>
              </w:rPr>
              <w:t>Asian</w:t>
            </w:r>
          </w:p>
        </w:tc>
        <w:tc>
          <w:tcPr>
            <w:tcW w:w="1140" w:type="dxa"/>
            <w:tcBorders>
              <w:top w:val="nil"/>
              <w:left w:val="nil"/>
              <w:bottom w:val="nil"/>
              <w:right w:val="nil"/>
            </w:tcBorders>
            <w:shd w:val="clear" w:color="auto" w:fill="auto"/>
            <w:noWrap/>
            <w:vAlign w:val="bottom"/>
            <w:hideMark/>
          </w:tcPr>
          <w:p w14:paraId="15D91CE6" w14:textId="77777777" w:rsidR="00FC3797" w:rsidRPr="00E141A0" w:rsidRDefault="00FC3797">
            <w:pPr>
              <w:jc w:val="right"/>
              <w:rPr>
                <w:color w:val="000000"/>
                <w:sz w:val="22"/>
                <w:szCs w:val="22"/>
              </w:rPr>
            </w:pPr>
            <w:r w:rsidRPr="00E141A0">
              <w:rPr>
                <w:color w:val="000000"/>
                <w:sz w:val="22"/>
                <w:szCs w:val="22"/>
              </w:rPr>
              <w:t>10.00%</w:t>
            </w:r>
          </w:p>
        </w:tc>
        <w:tc>
          <w:tcPr>
            <w:tcW w:w="1111" w:type="dxa"/>
            <w:tcBorders>
              <w:top w:val="nil"/>
              <w:left w:val="nil"/>
              <w:bottom w:val="nil"/>
              <w:right w:val="nil"/>
            </w:tcBorders>
            <w:shd w:val="clear" w:color="auto" w:fill="auto"/>
            <w:noWrap/>
            <w:vAlign w:val="bottom"/>
            <w:hideMark/>
          </w:tcPr>
          <w:p w14:paraId="45367201" w14:textId="77777777" w:rsidR="00FC3797" w:rsidRPr="00E141A0" w:rsidRDefault="00FC3797">
            <w:pPr>
              <w:jc w:val="right"/>
              <w:rPr>
                <w:color w:val="000000"/>
                <w:sz w:val="22"/>
                <w:szCs w:val="22"/>
              </w:rPr>
            </w:pPr>
            <w:r w:rsidRPr="00E141A0">
              <w:rPr>
                <w:color w:val="000000"/>
                <w:sz w:val="22"/>
                <w:szCs w:val="22"/>
              </w:rPr>
              <w:t>6.40%</w:t>
            </w:r>
          </w:p>
        </w:tc>
        <w:tc>
          <w:tcPr>
            <w:tcW w:w="1328" w:type="dxa"/>
            <w:tcBorders>
              <w:top w:val="nil"/>
              <w:left w:val="nil"/>
              <w:bottom w:val="nil"/>
              <w:right w:val="nil"/>
            </w:tcBorders>
            <w:shd w:val="clear" w:color="auto" w:fill="auto"/>
            <w:noWrap/>
            <w:vAlign w:val="bottom"/>
            <w:hideMark/>
          </w:tcPr>
          <w:p w14:paraId="54C07105" w14:textId="677EA0B1" w:rsidR="00FC3797" w:rsidRPr="00E141A0" w:rsidRDefault="00FC3797">
            <w:pPr>
              <w:jc w:val="right"/>
              <w:rPr>
                <w:color w:val="000000"/>
                <w:sz w:val="22"/>
                <w:szCs w:val="22"/>
              </w:rPr>
            </w:pPr>
            <w:r w:rsidRPr="00296330">
              <w:rPr>
                <w:color w:val="000000"/>
                <w:sz w:val="22"/>
                <w:szCs w:val="22"/>
              </w:rPr>
              <w:t>0.00%</w:t>
            </w:r>
          </w:p>
        </w:tc>
        <w:tc>
          <w:tcPr>
            <w:tcW w:w="998" w:type="dxa"/>
            <w:tcBorders>
              <w:top w:val="nil"/>
              <w:left w:val="nil"/>
              <w:bottom w:val="nil"/>
              <w:right w:val="nil"/>
            </w:tcBorders>
            <w:shd w:val="clear" w:color="auto" w:fill="auto"/>
            <w:noWrap/>
            <w:vAlign w:val="bottom"/>
            <w:hideMark/>
          </w:tcPr>
          <w:p w14:paraId="75BCB2CA" w14:textId="77777777" w:rsidR="00FC3797" w:rsidRPr="00E141A0" w:rsidRDefault="00FC3797">
            <w:pPr>
              <w:jc w:val="right"/>
              <w:rPr>
                <w:color w:val="000000"/>
                <w:sz w:val="22"/>
                <w:szCs w:val="22"/>
              </w:rPr>
            </w:pPr>
            <w:r w:rsidRPr="00E141A0">
              <w:rPr>
                <w:color w:val="000000"/>
                <w:sz w:val="22"/>
                <w:szCs w:val="22"/>
              </w:rPr>
              <w:t>18.20%</w:t>
            </w:r>
          </w:p>
        </w:tc>
        <w:tc>
          <w:tcPr>
            <w:tcW w:w="1206" w:type="dxa"/>
            <w:tcBorders>
              <w:top w:val="nil"/>
              <w:left w:val="nil"/>
              <w:bottom w:val="nil"/>
              <w:right w:val="nil"/>
            </w:tcBorders>
            <w:shd w:val="clear" w:color="auto" w:fill="auto"/>
            <w:noWrap/>
            <w:vAlign w:val="bottom"/>
            <w:hideMark/>
          </w:tcPr>
          <w:p w14:paraId="6323F7C0" w14:textId="77777777" w:rsidR="00FC3797" w:rsidRPr="00E141A0" w:rsidRDefault="00FC3797">
            <w:pPr>
              <w:jc w:val="right"/>
              <w:rPr>
                <w:color w:val="000000"/>
                <w:sz w:val="22"/>
                <w:szCs w:val="22"/>
              </w:rPr>
            </w:pPr>
            <w:r w:rsidRPr="00E141A0">
              <w:rPr>
                <w:color w:val="000000"/>
                <w:sz w:val="22"/>
                <w:szCs w:val="22"/>
              </w:rPr>
              <w:t>4.30%</w:t>
            </w:r>
          </w:p>
        </w:tc>
      </w:tr>
      <w:tr w:rsidR="00FC3797" w:rsidRPr="00296330" w14:paraId="7F4B5F9C" w14:textId="77777777" w:rsidTr="00E141A0">
        <w:trPr>
          <w:trHeight w:val="290"/>
        </w:trPr>
        <w:tc>
          <w:tcPr>
            <w:tcW w:w="1976" w:type="dxa"/>
            <w:tcBorders>
              <w:top w:val="nil"/>
              <w:left w:val="nil"/>
              <w:bottom w:val="nil"/>
              <w:right w:val="nil"/>
            </w:tcBorders>
            <w:shd w:val="clear" w:color="auto" w:fill="auto"/>
            <w:noWrap/>
            <w:vAlign w:val="bottom"/>
            <w:hideMark/>
          </w:tcPr>
          <w:p w14:paraId="57D27DBA" w14:textId="77777777" w:rsidR="00FC3797" w:rsidRPr="00E141A0" w:rsidRDefault="00FC3797" w:rsidP="00E141A0">
            <w:pPr>
              <w:ind w:left="342"/>
              <w:rPr>
                <w:color w:val="000000"/>
                <w:sz w:val="22"/>
                <w:szCs w:val="22"/>
              </w:rPr>
            </w:pPr>
            <w:r w:rsidRPr="00E141A0">
              <w:rPr>
                <w:color w:val="000000"/>
                <w:sz w:val="22"/>
                <w:szCs w:val="22"/>
              </w:rPr>
              <w:t>Other/Multi</w:t>
            </w:r>
          </w:p>
        </w:tc>
        <w:tc>
          <w:tcPr>
            <w:tcW w:w="1140" w:type="dxa"/>
            <w:tcBorders>
              <w:top w:val="nil"/>
              <w:left w:val="nil"/>
              <w:bottom w:val="nil"/>
              <w:right w:val="nil"/>
            </w:tcBorders>
            <w:shd w:val="clear" w:color="auto" w:fill="auto"/>
            <w:noWrap/>
            <w:vAlign w:val="bottom"/>
            <w:hideMark/>
          </w:tcPr>
          <w:p w14:paraId="412E3FC8" w14:textId="38699124" w:rsidR="00FC3797" w:rsidRPr="00E141A0" w:rsidRDefault="002871DE" w:rsidP="002871DE">
            <w:pPr>
              <w:jc w:val="right"/>
              <w:rPr>
                <w:color w:val="000000"/>
                <w:sz w:val="22"/>
                <w:szCs w:val="22"/>
              </w:rPr>
            </w:pPr>
            <w:r>
              <w:rPr>
                <w:color w:val="000000"/>
                <w:sz w:val="22"/>
                <w:szCs w:val="22"/>
              </w:rPr>
              <w:t>3</w:t>
            </w:r>
            <w:r w:rsidR="00FC3797" w:rsidRPr="00296330">
              <w:rPr>
                <w:color w:val="000000"/>
                <w:sz w:val="22"/>
                <w:szCs w:val="22"/>
              </w:rPr>
              <w:t>.0</w:t>
            </w:r>
            <w:r>
              <w:rPr>
                <w:color w:val="000000"/>
                <w:sz w:val="22"/>
                <w:szCs w:val="22"/>
              </w:rPr>
              <w:t>6</w:t>
            </w:r>
            <w:r w:rsidR="00FC3797" w:rsidRPr="00296330">
              <w:rPr>
                <w:color w:val="000000"/>
                <w:sz w:val="22"/>
                <w:szCs w:val="22"/>
              </w:rPr>
              <w:t>%</w:t>
            </w:r>
          </w:p>
        </w:tc>
        <w:tc>
          <w:tcPr>
            <w:tcW w:w="1111" w:type="dxa"/>
            <w:tcBorders>
              <w:top w:val="nil"/>
              <w:left w:val="nil"/>
              <w:bottom w:val="nil"/>
              <w:right w:val="nil"/>
            </w:tcBorders>
            <w:shd w:val="clear" w:color="auto" w:fill="auto"/>
            <w:noWrap/>
            <w:vAlign w:val="bottom"/>
            <w:hideMark/>
          </w:tcPr>
          <w:p w14:paraId="2651B51F" w14:textId="77777777" w:rsidR="00FC3797" w:rsidRPr="00E141A0" w:rsidRDefault="00FC3797">
            <w:pPr>
              <w:jc w:val="right"/>
              <w:rPr>
                <w:color w:val="000000"/>
                <w:sz w:val="22"/>
                <w:szCs w:val="22"/>
              </w:rPr>
            </w:pPr>
            <w:r w:rsidRPr="00E141A0">
              <w:rPr>
                <w:color w:val="000000"/>
                <w:sz w:val="22"/>
                <w:szCs w:val="22"/>
              </w:rPr>
              <w:t>6.40%</w:t>
            </w:r>
          </w:p>
        </w:tc>
        <w:tc>
          <w:tcPr>
            <w:tcW w:w="1328" w:type="dxa"/>
            <w:tcBorders>
              <w:top w:val="nil"/>
              <w:left w:val="nil"/>
              <w:bottom w:val="nil"/>
              <w:right w:val="nil"/>
            </w:tcBorders>
            <w:shd w:val="clear" w:color="auto" w:fill="auto"/>
            <w:noWrap/>
            <w:vAlign w:val="bottom"/>
            <w:hideMark/>
          </w:tcPr>
          <w:p w14:paraId="279E3B75" w14:textId="77777777" w:rsidR="00FC3797" w:rsidRPr="00E141A0" w:rsidRDefault="00FC3797">
            <w:pPr>
              <w:jc w:val="right"/>
              <w:rPr>
                <w:color w:val="000000"/>
                <w:sz w:val="22"/>
                <w:szCs w:val="22"/>
              </w:rPr>
            </w:pPr>
            <w:r w:rsidRPr="00E141A0">
              <w:rPr>
                <w:color w:val="000000"/>
                <w:sz w:val="22"/>
                <w:szCs w:val="22"/>
              </w:rPr>
              <w:t>16.70%</w:t>
            </w:r>
          </w:p>
        </w:tc>
        <w:tc>
          <w:tcPr>
            <w:tcW w:w="998" w:type="dxa"/>
            <w:tcBorders>
              <w:top w:val="nil"/>
              <w:left w:val="nil"/>
              <w:bottom w:val="nil"/>
              <w:right w:val="nil"/>
            </w:tcBorders>
            <w:shd w:val="clear" w:color="auto" w:fill="auto"/>
            <w:noWrap/>
            <w:vAlign w:val="bottom"/>
            <w:hideMark/>
          </w:tcPr>
          <w:p w14:paraId="7C5BBF22" w14:textId="52F19C0C" w:rsidR="00FC3797" w:rsidRPr="00E141A0" w:rsidRDefault="00FC3797">
            <w:pPr>
              <w:jc w:val="right"/>
              <w:rPr>
                <w:color w:val="000000"/>
                <w:sz w:val="22"/>
                <w:szCs w:val="22"/>
              </w:rPr>
            </w:pPr>
            <w:r w:rsidRPr="00296330">
              <w:rPr>
                <w:color w:val="000000"/>
                <w:sz w:val="22"/>
                <w:szCs w:val="22"/>
              </w:rPr>
              <w:t>0.00%</w:t>
            </w:r>
          </w:p>
        </w:tc>
        <w:tc>
          <w:tcPr>
            <w:tcW w:w="1206" w:type="dxa"/>
            <w:tcBorders>
              <w:top w:val="nil"/>
              <w:left w:val="nil"/>
              <w:bottom w:val="nil"/>
              <w:right w:val="nil"/>
            </w:tcBorders>
            <w:shd w:val="clear" w:color="auto" w:fill="auto"/>
            <w:noWrap/>
            <w:vAlign w:val="bottom"/>
            <w:hideMark/>
          </w:tcPr>
          <w:p w14:paraId="66C06E11" w14:textId="77777777" w:rsidR="00FC3797" w:rsidRPr="00E141A0" w:rsidRDefault="00FC3797">
            <w:pPr>
              <w:jc w:val="right"/>
              <w:rPr>
                <w:color w:val="000000"/>
                <w:sz w:val="22"/>
                <w:szCs w:val="22"/>
              </w:rPr>
            </w:pPr>
            <w:r w:rsidRPr="00E141A0">
              <w:rPr>
                <w:color w:val="000000"/>
                <w:sz w:val="22"/>
                <w:szCs w:val="22"/>
              </w:rPr>
              <w:t>0.00%</w:t>
            </w:r>
          </w:p>
        </w:tc>
      </w:tr>
      <w:tr w:rsidR="00FC3797" w:rsidRPr="00296330" w14:paraId="5640E7DB" w14:textId="77777777" w:rsidTr="00E141A0">
        <w:trPr>
          <w:trHeight w:val="290"/>
        </w:trPr>
        <w:tc>
          <w:tcPr>
            <w:tcW w:w="1976" w:type="dxa"/>
            <w:tcBorders>
              <w:top w:val="nil"/>
              <w:left w:val="nil"/>
              <w:bottom w:val="nil"/>
              <w:right w:val="nil"/>
            </w:tcBorders>
            <w:shd w:val="clear" w:color="auto" w:fill="auto"/>
            <w:noWrap/>
            <w:vAlign w:val="bottom"/>
            <w:hideMark/>
          </w:tcPr>
          <w:p w14:paraId="099FD0EC" w14:textId="6CF295D2" w:rsidR="00FC3797" w:rsidRPr="00E141A0" w:rsidRDefault="00FC3797" w:rsidP="00E141A0">
            <w:pPr>
              <w:ind w:left="342"/>
              <w:rPr>
                <w:color w:val="000000"/>
                <w:sz w:val="22"/>
                <w:szCs w:val="22"/>
              </w:rPr>
            </w:pPr>
            <w:r w:rsidRPr="00E141A0">
              <w:rPr>
                <w:color w:val="000000"/>
                <w:sz w:val="22"/>
                <w:szCs w:val="22"/>
              </w:rPr>
              <w:t>Hispanic</w:t>
            </w:r>
            <w:r w:rsidRPr="00296330">
              <w:rPr>
                <w:color w:val="000000"/>
                <w:sz w:val="22"/>
                <w:szCs w:val="22"/>
              </w:rPr>
              <w:t>/Latino</w:t>
            </w:r>
          </w:p>
        </w:tc>
        <w:tc>
          <w:tcPr>
            <w:tcW w:w="1140" w:type="dxa"/>
            <w:tcBorders>
              <w:top w:val="nil"/>
              <w:left w:val="nil"/>
              <w:bottom w:val="nil"/>
              <w:right w:val="nil"/>
            </w:tcBorders>
            <w:shd w:val="clear" w:color="auto" w:fill="auto"/>
            <w:noWrap/>
            <w:vAlign w:val="bottom"/>
            <w:hideMark/>
          </w:tcPr>
          <w:p w14:paraId="531E9AEA" w14:textId="77777777" w:rsidR="00FC3797" w:rsidRPr="00E141A0" w:rsidRDefault="00FC3797">
            <w:pPr>
              <w:jc w:val="right"/>
              <w:rPr>
                <w:color w:val="000000"/>
                <w:sz w:val="22"/>
                <w:szCs w:val="22"/>
              </w:rPr>
            </w:pPr>
            <w:r w:rsidRPr="00E141A0">
              <w:rPr>
                <w:color w:val="000000"/>
                <w:sz w:val="22"/>
                <w:szCs w:val="22"/>
              </w:rPr>
              <w:t>16.21%</w:t>
            </w:r>
          </w:p>
        </w:tc>
        <w:tc>
          <w:tcPr>
            <w:tcW w:w="1111" w:type="dxa"/>
            <w:tcBorders>
              <w:top w:val="nil"/>
              <w:left w:val="nil"/>
              <w:bottom w:val="nil"/>
              <w:right w:val="nil"/>
            </w:tcBorders>
            <w:shd w:val="clear" w:color="auto" w:fill="auto"/>
            <w:noWrap/>
            <w:vAlign w:val="bottom"/>
            <w:hideMark/>
          </w:tcPr>
          <w:p w14:paraId="5829F127" w14:textId="77777777" w:rsidR="00FC3797" w:rsidRPr="00E141A0" w:rsidRDefault="00FC3797">
            <w:pPr>
              <w:jc w:val="right"/>
              <w:rPr>
                <w:color w:val="000000"/>
                <w:sz w:val="22"/>
                <w:szCs w:val="22"/>
              </w:rPr>
            </w:pPr>
            <w:r w:rsidRPr="00E141A0">
              <w:rPr>
                <w:color w:val="000000"/>
                <w:sz w:val="22"/>
                <w:szCs w:val="22"/>
              </w:rPr>
              <w:t>8.30%</w:t>
            </w:r>
          </w:p>
        </w:tc>
        <w:tc>
          <w:tcPr>
            <w:tcW w:w="1328" w:type="dxa"/>
            <w:tcBorders>
              <w:top w:val="nil"/>
              <w:left w:val="nil"/>
              <w:bottom w:val="nil"/>
              <w:right w:val="nil"/>
            </w:tcBorders>
            <w:shd w:val="clear" w:color="auto" w:fill="auto"/>
            <w:noWrap/>
            <w:vAlign w:val="bottom"/>
            <w:hideMark/>
          </w:tcPr>
          <w:p w14:paraId="5C153F75" w14:textId="0A053BC5" w:rsidR="00FC3797" w:rsidRPr="00E141A0" w:rsidRDefault="00FC3797">
            <w:pPr>
              <w:jc w:val="right"/>
              <w:rPr>
                <w:color w:val="000000"/>
                <w:sz w:val="22"/>
                <w:szCs w:val="22"/>
              </w:rPr>
            </w:pPr>
            <w:r w:rsidRPr="00296330">
              <w:rPr>
                <w:color w:val="000000"/>
                <w:sz w:val="22"/>
                <w:szCs w:val="22"/>
              </w:rPr>
              <w:t>0.00%</w:t>
            </w:r>
          </w:p>
        </w:tc>
        <w:tc>
          <w:tcPr>
            <w:tcW w:w="998" w:type="dxa"/>
            <w:tcBorders>
              <w:top w:val="nil"/>
              <w:left w:val="nil"/>
              <w:bottom w:val="nil"/>
              <w:right w:val="nil"/>
            </w:tcBorders>
            <w:shd w:val="clear" w:color="auto" w:fill="auto"/>
            <w:noWrap/>
            <w:vAlign w:val="bottom"/>
            <w:hideMark/>
          </w:tcPr>
          <w:p w14:paraId="363040A0" w14:textId="77777777" w:rsidR="00FC3797" w:rsidRPr="00E141A0" w:rsidRDefault="00FC3797">
            <w:pPr>
              <w:jc w:val="right"/>
              <w:rPr>
                <w:color w:val="000000"/>
                <w:sz w:val="22"/>
                <w:szCs w:val="22"/>
              </w:rPr>
            </w:pPr>
            <w:r w:rsidRPr="00E141A0">
              <w:rPr>
                <w:color w:val="000000"/>
                <w:sz w:val="22"/>
                <w:szCs w:val="22"/>
              </w:rPr>
              <w:t>16.70%</w:t>
            </w:r>
          </w:p>
        </w:tc>
        <w:tc>
          <w:tcPr>
            <w:tcW w:w="1206" w:type="dxa"/>
            <w:tcBorders>
              <w:top w:val="nil"/>
              <w:left w:val="nil"/>
              <w:bottom w:val="nil"/>
              <w:right w:val="nil"/>
            </w:tcBorders>
            <w:shd w:val="clear" w:color="auto" w:fill="auto"/>
            <w:noWrap/>
            <w:vAlign w:val="bottom"/>
            <w:hideMark/>
          </w:tcPr>
          <w:p w14:paraId="742BFAC9" w14:textId="77777777" w:rsidR="00FC3797" w:rsidRPr="00E141A0" w:rsidRDefault="00FC3797">
            <w:pPr>
              <w:jc w:val="right"/>
              <w:rPr>
                <w:color w:val="000000"/>
                <w:sz w:val="22"/>
                <w:szCs w:val="22"/>
              </w:rPr>
            </w:pPr>
            <w:r w:rsidRPr="00E141A0">
              <w:rPr>
                <w:color w:val="000000"/>
                <w:sz w:val="22"/>
                <w:szCs w:val="22"/>
              </w:rPr>
              <w:t>15.40%</w:t>
            </w:r>
          </w:p>
        </w:tc>
      </w:tr>
      <w:tr w:rsidR="00FC3797" w:rsidRPr="00296330" w14:paraId="7ADF9F17" w14:textId="77777777" w:rsidTr="00FC3797">
        <w:trPr>
          <w:trHeight w:val="290"/>
        </w:trPr>
        <w:tc>
          <w:tcPr>
            <w:tcW w:w="1976" w:type="dxa"/>
            <w:tcBorders>
              <w:top w:val="nil"/>
              <w:left w:val="nil"/>
              <w:bottom w:val="nil"/>
              <w:right w:val="nil"/>
            </w:tcBorders>
            <w:shd w:val="clear" w:color="auto" w:fill="auto"/>
            <w:noWrap/>
            <w:vAlign w:val="bottom"/>
          </w:tcPr>
          <w:p w14:paraId="5907037F" w14:textId="162D533F" w:rsidR="00FC3797" w:rsidRPr="00E141A0" w:rsidRDefault="00FC3797" w:rsidP="00E141A0">
            <w:pPr>
              <w:rPr>
                <w:b/>
                <w:color w:val="000000"/>
                <w:sz w:val="22"/>
                <w:szCs w:val="22"/>
              </w:rPr>
            </w:pPr>
            <w:r w:rsidRPr="00E141A0">
              <w:rPr>
                <w:b/>
                <w:color w:val="000000"/>
                <w:sz w:val="22"/>
                <w:szCs w:val="22"/>
              </w:rPr>
              <w:t>Age</w:t>
            </w:r>
          </w:p>
        </w:tc>
        <w:tc>
          <w:tcPr>
            <w:tcW w:w="1140" w:type="dxa"/>
            <w:tcBorders>
              <w:top w:val="nil"/>
              <w:left w:val="nil"/>
              <w:bottom w:val="nil"/>
              <w:right w:val="nil"/>
            </w:tcBorders>
            <w:shd w:val="clear" w:color="auto" w:fill="auto"/>
            <w:noWrap/>
            <w:vAlign w:val="bottom"/>
          </w:tcPr>
          <w:p w14:paraId="7D1E063C" w14:textId="77777777" w:rsidR="00FC3797" w:rsidRPr="00E141A0" w:rsidRDefault="00FC3797">
            <w:pPr>
              <w:rPr>
                <w:sz w:val="22"/>
                <w:szCs w:val="22"/>
              </w:rPr>
            </w:pPr>
          </w:p>
        </w:tc>
        <w:tc>
          <w:tcPr>
            <w:tcW w:w="1111" w:type="dxa"/>
            <w:tcBorders>
              <w:top w:val="nil"/>
              <w:left w:val="nil"/>
              <w:bottom w:val="nil"/>
              <w:right w:val="nil"/>
            </w:tcBorders>
            <w:shd w:val="clear" w:color="auto" w:fill="auto"/>
            <w:noWrap/>
            <w:vAlign w:val="bottom"/>
          </w:tcPr>
          <w:p w14:paraId="03E2299B" w14:textId="77777777" w:rsidR="00FC3797" w:rsidRPr="00E141A0" w:rsidRDefault="00FC3797">
            <w:pPr>
              <w:rPr>
                <w:sz w:val="22"/>
                <w:szCs w:val="22"/>
              </w:rPr>
            </w:pPr>
          </w:p>
        </w:tc>
        <w:tc>
          <w:tcPr>
            <w:tcW w:w="1328" w:type="dxa"/>
            <w:tcBorders>
              <w:top w:val="nil"/>
              <w:left w:val="nil"/>
              <w:bottom w:val="nil"/>
              <w:right w:val="nil"/>
            </w:tcBorders>
            <w:shd w:val="clear" w:color="auto" w:fill="auto"/>
            <w:noWrap/>
            <w:vAlign w:val="bottom"/>
          </w:tcPr>
          <w:p w14:paraId="1662D1E3" w14:textId="77777777" w:rsidR="00FC3797" w:rsidRPr="00E141A0" w:rsidRDefault="00FC3797">
            <w:pPr>
              <w:rPr>
                <w:sz w:val="22"/>
                <w:szCs w:val="22"/>
              </w:rPr>
            </w:pPr>
          </w:p>
        </w:tc>
        <w:tc>
          <w:tcPr>
            <w:tcW w:w="998" w:type="dxa"/>
            <w:tcBorders>
              <w:top w:val="nil"/>
              <w:left w:val="nil"/>
              <w:bottom w:val="nil"/>
              <w:right w:val="nil"/>
            </w:tcBorders>
            <w:shd w:val="clear" w:color="auto" w:fill="auto"/>
            <w:noWrap/>
            <w:vAlign w:val="bottom"/>
          </w:tcPr>
          <w:p w14:paraId="681ABC3E" w14:textId="77777777" w:rsidR="00FC3797" w:rsidRPr="00E141A0" w:rsidRDefault="00FC3797">
            <w:pPr>
              <w:rPr>
                <w:sz w:val="22"/>
                <w:szCs w:val="22"/>
              </w:rPr>
            </w:pPr>
          </w:p>
        </w:tc>
        <w:tc>
          <w:tcPr>
            <w:tcW w:w="1206" w:type="dxa"/>
            <w:tcBorders>
              <w:top w:val="nil"/>
              <w:left w:val="nil"/>
              <w:bottom w:val="nil"/>
              <w:right w:val="nil"/>
            </w:tcBorders>
            <w:shd w:val="clear" w:color="auto" w:fill="auto"/>
            <w:noWrap/>
            <w:vAlign w:val="bottom"/>
          </w:tcPr>
          <w:p w14:paraId="64B47B00" w14:textId="77777777" w:rsidR="00FC3797" w:rsidRPr="00E141A0" w:rsidRDefault="00FC3797">
            <w:pPr>
              <w:rPr>
                <w:sz w:val="22"/>
                <w:szCs w:val="22"/>
              </w:rPr>
            </w:pPr>
          </w:p>
        </w:tc>
      </w:tr>
      <w:tr w:rsidR="00FC3797" w:rsidRPr="00296330" w14:paraId="6F9AD6CE" w14:textId="77777777" w:rsidTr="00E141A0">
        <w:trPr>
          <w:trHeight w:val="290"/>
        </w:trPr>
        <w:tc>
          <w:tcPr>
            <w:tcW w:w="1976" w:type="dxa"/>
            <w:tcBorders>
              <w:top w:val="nil"/>
              <w:left w:val="nil"/>
              <w:bottom w:val="nil"/>
              <w:right w:val="nil"/>
            </w:tcBorders>
            <w:shd w:val="clear" w:color="auto" w:fill="auto"/>
            <w:noWrap/>
            <w:vAlign w:val="bottom"/>
            <w:hideMark/>
          </w:tcPr>
          <w:p w14:paraId="5639F5D0" w14:textId="77777777" w:rsidR="00FC3797" w:rsidRPr="00E141A0" w:rsidRDefault="00FC3797" w:rsidP="00E141A0">
            <w:pPr>
              <w:ind w:left="342"/>
              <w:rPr>
                <w:color w:val="000000"/>
                <w:sz w:val="22"/>
                <w:szCs w:val="22"/>
              </w:rPr>
            </w:pPr>
            <w:r w:rsidRPr="00E141A0">
              <w:rPr>
                <w:color w:val="000000"/>
                <w:sz w:val="22"/>
                <w:szCs w:val="22"/>
              </w:rPr>
              <w:t>Bith-2</w:t>
            </w:r>
          </w:p>
        </w:tc>
        <w:tc>
          <w:tcPr>
            <w:tcW w:w="1140" w:type="dxa"/>
            <w:tcBorders>
              <w:top w:val="nil"/>
              <w:left w:val="nil"/>
              <w:bottom w:val="nil"/>
              <w:right w:val="nil"/>
            </w:tcBorders>
            <w:shd w:val="clear" w:color="auto" w:fill="auto"/>
            <w:noWrap/>
            <w:vAlign w:val="bottom"/>
            <w:hideMark/>
          </w:tcPr>
          <w:p w14:paraId="089822E1" w14:textId="77777777" w:rsidR="00FC3797" w:rsidRPr="00E141A0" w:rsidRDefault="00FC3797">
            <w:pPr>
              <w:jc w:val="right"/>
              <w:rPr>
                <w:color w:val="000000"/>
                <w:sz w:val="22"/>
                <w:szCs w:val="22"/>
              </w:rPr>
            </w:pPr>
            <w:r w:rsidRPr="00E141A0">
              <w:rPr>
                <w:color w:val="000000"/>
                <w:sz w:val="22"/>
                <w:szCs w:val="22"/>
              </w:rPr>
              <w:t>35.86%</w:t>
            </w:r>
          </w:p>
        </w:tc>
        <w:tc>
          <w:tcPr>
            <w:tcW w:w="1111" w:type="dxa"/>
            <w:tcBorders>
              <w:top w:val="nil"/>
              <w:left w:val="nil"/>
              <w:bottom w:val="nil"/>
              <w:right w:val="nil"/>
            </w:tcBorders>
            <w:shd w:val="clear" w:color="auto" w:fill="auto"/>
            <w:noWrap/>
            <w:vAlign w:val="bottom"/>
            <w:hideMark/>
          </w:tcPr>
          <w:p w14:paraId="4F7EBDF2" w14:textId="77777777" w:rsidR="00FC3797" w:rsidRPr="00E141A0" w:rsidRDefault="00FC3797">
            <w:pPr>
              <w:jc w:val="right"/>
              <w:rPr>
                <w:color w:val="000000"/>
                <w:sz w:val="22"/>
                <w:szCs w:val="22"/>
              </w:rPr>
            </w:pPr>
            <w:r w:rsidRPr="00E141A0">
              <w:rPr>
                <w:color w:val="000000"/>
                <w:sz w:val="22"/>
                <w:szCs w:val="22"/>
              </w:rPr>
              <w:t>7.80%</w:t>
            </w:r>
          </w:p>
        </w:tc>
        <w:tc>
          <w:tcPr>
            <w:tcW w:w="1328" w:type="dxa"/>
            <w:tcBorders>
              <w:top w:val="nil"/>
              <w:left w:val="nil"/>
              <w:bottom w:val="nil"/>
              <w:right w:val="nil"/>
            </w:tcBorders>
            <w:shd w:val="clear" w:color="auto" w:fill="auto"/>
            <w:noWrap/>
            <w:vAlign w:val="bottom"/>
            <w:hideMark/>
          </w:tcPr>
          <w:p w14:paraId="4C49CD32" w14:textId="608E683E" w:rsidR="00FC3797" w:rsidRPr="00E141A0" w:rsidRDefault="00FC3797">
            <w:pPr>
              <w:jc w:val="right"/>
              <w:rPr>
                <w:color w:val="000000"/>
                <w:sz w:val="22"/>
                <w:szCs w:val="22"/>
              </w:rPr>
            </w:pPr>
            <w:r w:rsidRPr="00296330">
              <w:rPr>
                <w:color w:val="000000"/>
                <w:sz w:val="22"/>
                <w:szCs w:val="22"/>
              </w:rPr>
              <w:t>0.00%</w:t>
            </w:r>
          </w:p>
        </w:tc>
        <w:tc>
          <w:tcPr>
            <w:tcW w:w="998" w:type="dxa"/>
            <w:tcBorders>
              <w:top w:val="nil"/>
              <w:left w:val="nil"/>
              <w:bottom w:val="nil"/>
              <w:right w:val="nil"/>
            </w:tcBorders>
            <w:shd w:val="clear" w:color="auto" w:fill="auto"/>
            <w:noWrap/>
            <w:vAlign w:val="bottom"/>
            <w:hideMark/>
          </w:tcPr>
          <w:p w14:paraId="4651E0AA" w14:textId="3821A1E7" w:rsidR="00FC3797" w:rsidRPr="00E141A0" w:rsidRDefault="00FC3797">
            <w:pPr>
              <w:jc w:val="right"/>
              <w:rPr>
                <w:color w:val="000000"/>
                <w:sz w:val="22"/>
                <w:szCs w:val="22"/>
              </w:rPr>
            </w:pPr>
            <w:r w:rsidRPr="00E141A0">
              <w:rPr>
                <w:color w:val="000000"/>
                <w:sz w:val="22"/>
                <w:szCs w:val="22"/>
              </w:rPr>
              <w:t>25</w:t>
            </w:r>
            <w:r w:rsidRPr="00296330">
              <w:rPr>
                <w:color w:val="000000"/>
                <w:sz w:val="22"/>
                <w:szCs w:val="22"/>
              </w:rPr>
              <w:t>.00</w:t>
            </w:r>
            <w:r w:rsidRPr="00E141A0">
              <w:rPr>
                <w:color w:val="000000"/>
                <w:sz w:val="22"/>
                <w:szCs w:val="22"/>
              </w:rPr>
              <w:t>%</w:t>
            </w:r>
          </w:p>
        </w:tc>
        <w:tc>
          <w:tcPr>
            <w:tcW w:w="1206" w:type="dxa"/>
            <w:tcBorders>
              <w:top w:val="nil"/>
              <w:left w:val="nil"/>
              <w:bottom w:val="nil"/>
              <w:right w:val="nil"/>
            </w:tcBorders>
            <w:shd w:val="clear" w:color="auto" w:fill="auto"/>
            <w:noWrap/>
            <w:vAlign w:val="bottom"/>
            <w:hideMark/>
          </w:tcPr>
          <w:p w14:paraId="4E24AA01" w14:textId="77777777" w:rsidR="00FC3797" w:rsidRPr="00E141A0" w:rsidRDefault="00FC3797">
            <w:pPr>
              <w:jc w:val="right"/>
              <w:rPr>
                <w:color w:val="000000"/>
                <w:sz w:val="22"/>
                <w:szCs w:val="22"/>
              </w:rPr>
            </w:pPr>
            <w:r w:rsidRPr="00E141A0">
              <w:rPr>
                <w:color w:val="000000"/>
                <w:sz w:val="22"/>
                <w:szCs w:val="22"/>
              </w:rPr>
              <w:t>3.80%</w:t>
            </w:r>
          </w:p>
        </w:tc>
      </w:tr>
      <w:tr w:rsidR="00FC3797" w:rsidRPr="00296330" w14:paraId="0A139653" w14:textId="77777777" w:rsidTr="00E141A0">
        <w:trPr>
          <w:trHeight w:val="290"/>
        </w:trPr>
        <w:tc>
          <w:tcPr>
            <w:tcW w:w="1976" w:type="dxa"/>
            <w:tcBorders>
              <w:top w:val="nil"/>
              <w:left w:val="nil"/>
              <w:bottom w:val="nil"/>
              <w:right w:val="nil"/>
            </w:tcBorders>
            <w:shd w:val="clear" w:color="auto" w:fill="auto"/>
            <w:noWrap/>
            <w:vAlign w:val="bottom"/>
            <w:hideMark/>
          </w:tcPr>
          <w:p w14:paraId="222F9300" w14:textId="77777777" w:rsidR="00FC3797" w:rsidRPr="00E141A0" w:rsidRDefault="00FC3797" w:rsidP="00E141A0">
            <w:pPr>
              <w:ind w:left="342"/>
              <w:rPr>
                <w:color w:val="000000"/>
                <w:sz w:val="22"/>
                <w:szCs w:val="22"/>
              </w:rPr>
            </w:pPr>
            <w:r w:rsidRPr="00E141A0">
              <w:rPr>
                <w:color w:val="000000"/>
                <w:sz w:val="22"/>
                <w:szCs w:val="22"/>
              </w:rPr>
              <w:t>3 Years</w:t>
            </w:r>
          </w:p>
        </w:tc>
        <w:tc>
          <w:tcPr>
            <w:tcW w:w="1140" w:type="dxa"/>
            <w:tcBorders>
              <w:top w:val="nil"/>
              <w:left w:val="nil"/>
              <w:bottom w:val="nil"/>
              <w:right w:val="nil"/>
            </w:tcBorders>
            <w:shd w:val="clear" w:color="auto" w:fill="auto"/>
            <w:noWrap/>
            <w:vAlign w:val="bottom"/>
            <w:hideMark/>
          </w:tcPr>
          <w:p w14:paraId="16272BB6" w14:textId="77777777" w:rsidR="00FC3797" w:rsidRPr="00E141A0" w:rsidRDefault="00FC3797">
            <w:pPr>
              <w:jc w:val="right"/>
              <w:rPr>
                <w:color w:val="000000"/>
                <w:sz w:val="22"/>
                <w:szCs w:val="22"/>
              </w:rPr>
            </w:pPr>
            <w:r w:rsidRPr="00E141A0">
              <w:rPr>
                <w:color w:val="000000"/>
                <w:sz w:val="22"/>
                <w:szCs w:val="22"/>
              </w:rPr>
              <w:t>29.39%</w:t>
            </w:r>
          </w:p>
        </w:tc>
        <w:tc>
          <w:tcPr>
            <w:tcW w:w="1111" w:type="dxa"/>
            <w:tcBorders>
              <w:top w:val="nil"/>
              <w:left w:val="nil"/>
              <w:bottom w:val="nil"/>
              <w:right w:val="nil"/>
            </w:tcBorders>
            <w:shd w:val="clear" w:color="auto" w:fill="auto"/>
            <w:noWrap/>
            <w:vAlign w:val="bottom"/>
            <w:hideMark/>
          </w:tcPr>
          <w:p w14:paraId="77C4AE3E" w14:textId="77777777" w:rsidR="00FC3797" w:rsidRPr="00E141A0" w:rsidRDefault="00FC3797">
            <w:pPr>
              <w:jc w:val="right"/>
              <w:rPr>
                <w:color w:val="000000"/>
                <w:sz w:val="22"/>
                <w:szCs w:val="22"/>
              </w:rPr>
            </w:pPr>
            <w:r w:rsidRPr="00E141A0">
              <w:rPr>
                <w:color w:val="000000"/>
                <w:sz w:val="22"/>
                <w:szCs w:val="22"/>
              </w:rPr>
              <w:t>29.40%</w:t>
            </w:r>
          </w:p>
        </w:tc>
        <w:tc>
          <w:tcPr>
            <w:tcW w:w="1328" w:type="dxa"/>
            <w:tcBorders>
              <w:top w:val="nil"/>
              <w:left w:val="nil"/>
              <w:bottom w:val="nil"/>
              <w:right w:val="nil"/>
            </w:tcBorders>
            <w:shd w:val="clear" w:color="auto" w:fill="auto"/>
            <w:noWrap/>
            <w:vAlign w:val="bottom"/>
            <w:hideMark/>
          </w:tcPr>
          <w:p w14:paraId="4F5D8B84" w14:textId="075799D4" w:rsidR="00FC3797" w:rsidRPr="00E141A0" w:rsidRDefault="00FC3797">
            <w:pPr>
              <w:jc w:val="right"/>
              <w:rPr>
                <w:color w:val="000000"/>
                <w:sz w:val="22"/>
                <w:szCs w:val="22"/>
              </w:rPr>
            </w:pPr>
            <w:r w:rsidRPr="00E141A0">
              <w:rPr>
                <w:color w:val="000000"/>
                <w:sz w:val="22"/>
                <w:szCs w:val="22"/>
              </w:rPr>
              <w:t>31</w:t>
            </w:r>
            <w:r w:rsidRPr="00296330">
              <w:rPr>
                <w:color w:val="000000"/>
                <w:sz w:val="22"/>
                <w:szCs w:val="22"/>
              </w:rPr>
              <w:t>.00</w:t>
            </w:r>
            <w:r w:rsidRPr="00E141A0">
              <w:rPr>
                <w:color w:val="000000"/>
                <w:sz w:val="22"/>
                <w:szCs w:val="22"/>
              </w:rPr>
              <w:t>%</w:t>
            </w:r>
          </w:p>
        </w:tc>
        <w:tc>
          <w:tcPr>
            <w:tcW w:w="998" w:type="dxa"/>
            <w:tcBorders>
              <w:top w:val="nil"/>
              <w:left w:val="nil"/>
              <w:bottom w:val="nil"/>
              <w:right w:val="nil"/>
            </w:tcBorders>
            <w:shd w:val="clear" w:color="auto" w:fill="auto"/>
            <w:noWrap/>
            <w:vAlign w:val="bottom"/>
            <w:hideMark/>
          </w:tcPr>
          <w:p w14:paraId="52BE1EB1" w14:textId="77777777" w:rsidR="00FC3797" w:rsidRPr="00E141A0" w:rsidRDefault="00FC3797">
            <w:pPr>
              <w:jc w:val="right"/>
              <w:rPr>
                <w:color w:val="000000"/>
                <w:sz w:val="22"/>
                <w:szCs w:val="22"/>
              </w:rPr>
            </w:pPr>
            <w:r w:rsidRPr="00E141A0">
              <w:rPr>
                <w:color w:val="000000"/>
                <w:sz w:val="22"/>
                <w:szCs w:val="22"/>
              </w:rPr>
              <w:t>16.70%</w:t>
            </w:r>
          </w:p>
        </w:tc>
        <w:tc>
          <w:tcPr>
            <w:tcW w:w="1206" w:type="dxa"/>
            <w:tcBorders>
              <w:top w:val="nil"/>
              <w:left w:val="nil"/>
              <w:bottom w:val="nil"/>
              <w:right w:val="nil"/>
            </w:tcBorders>
            <w:shd w:val="clear" w:color="auto" w:fill="auto"/>
            <w:noWrap/>
            <w:vAlign w:val="bottom"/>
            <w:hideMark/>
          </w:tcPr>
          <w:p w14:paraId="62AC610A" w14:textId="77777777" w:rsidR="00FC3797" w:rsidRPr="00E141A0" w:rsidRDefault="00FC3797">
            <w:pPr>
              <w:jc w:val="right"/>
              <w:rPr>
                <w:color w:val="000000"/>
                <w:sz w:val="22"/>
                <w:szCs w:val="22"/>
              </w:rPr>
            </w:pPr>
            <w:r w:rsidRPr="00E141A0">
              <w:rPr>
                <w:color w:val="000000"/>
                <w:sz w:val="22"/>
                <w:szCs w:val="22"/>
              </w:rPr>
              <w:t>34.60%</w:t>
            </w:r>
          </w:p>
        </w:tc>
      </w:tr>
      <w:tr w:rsidR="00FC3797" w:rsidRPr="00296330" w14:paraId="48AD5F0B" w14:textId="77777777" w:rsidTr="00E141A0">
        <w:trPr>
          <w:trHeight w:val="290"/>
        </w:trPr>
        <w:tc>
          <w:tcPr>
            <w:tcW w:w="1976" w:type="dxa"/>
            <w:tcBorders>
              <w:top w:val="nil"/>
              <w:left w:val="nil"/>
              <w:bottom w:val="nil"/>
              <w:right w:val="nil"/>
            </w:tcBorders>
            <w:shd w:val="clear" w:color="auto" w:fill="auto"/>
            <w:noWrap/>
            <w:vAlign w:val="bottom"/>
            <w:hideMark/>
          </w:tcPr>
          <w:p w14:paraId="2C7AB1E4" w14:textId="77777777" w:rsidR="00FC3797" w:rsidRPr="00E141A0" w:rsidRDefault="00FC3797" w:rsidP="00E141A0">
            <w:pPr>
              <w:ind w:left="342"/>
              <w:rPr>
                <w:color w:val="000000"/>
                <w:sz w:val="22"/>
                <w:szCs w:val="22"/>
              </w:rPr>
            </w:pPr>
            <w:r w:rsidRPr="00E141A0">
              <w:rPr>
                <w:color w:val="000000"/>
                <w:sz w:val="22"/>
                <w:szCs w:val="22"/>
              </w:rPr>
              <w:t>4 years</w:t>
            </w:r>
          </w:p>
        </w:tc>
        <w:tc>
          <w:tcPr>
            <w:tcW w:w="1140" w:type="dxa"/>
            <w:tcBorders>
              <w:top w:val="nil"/>
              <w:left w:val="nil"/>
              <w:bottom w:val="nil"/>
              <w:right w:val="nil"/>
            </w:tcBorders>
            <w:shd w:val="clear" w:color="auto" w:fill="auto"/>
            <w:noWrap/>
            <w:vAlign w:val="bottom"/>
            <w:hideMark/>
          </w:tcPr>
          <w:p w14:paraId="7A073318" w14:textId="77777777" w:rsidR="00FC3797" w:rsidRPr="00E141A0" w:rsidRDefault="00FC3797">
            <w:pPr>
              <w:jc w:val="right"/>
              <w:rPr>
                <w:color w:val="000000"/>
                <w:sz w:val="22"/>
                <w:szCs w:val="22"/>
              </w:rPr>
            </w:pPr>
            <w:r w:rsidRPr="00E141A0">
              <w:rPr>
                <w:color w:val="000000"/>
                <w:sz w:val="22"/>
                <w:szCs w:val="22"/>
              </w:rPr>
              <w:t>27.12%</w:t>
            </w:r>
          </w:p>
        </w:tc>
        <w:tc>
          <w:tcPr>
            <w:tcW w:w="1111" w:type="dxa"/>
            <w:tcBorders>
              <w:top w:val="nil"/>
              <w:left w:val="nil"/>
              <w:bottom w:val="nil"/>
              <w:right w:val="nil"/>
            </w:tcBorders>
            <w:shd w:val="clear" w:color="auto" w:fill="auto"/>
            <w:noWrap/>
            <w:vAlign w:val="bottom"/>
            <w:hideMark/>
          </w:tcPr>
          <w:p w14:paraId="01401390" w14:textId="77777777" w:rsidR="00FC3797" w:rsidRPr="00E141A0" w:rsidRDefault="00FC3797">
            <w:pPr>
              <w:jc w:val="right"/>
              <w:rPr>
                <w:color w:val="000000"/>
                <w:sz w:val="22"/>
                <w:szCs w:val="22"/>
              </w:rPr>
            </w:pPr>
            <w:r w:rsidRPr="00E141A0">
              <w:rPr>
                <w:color w:val="000000"/>
                <w:sz w:val="22"/>
                <w:szCs w:val="22"/>
              </w:rPr>
              <w:t>37.30%</w:t>
            </w:r>
          </w:p>
        </w:tc>
        <w:tc>
          <w:tcPr>
            <w:tcW w:w="1328" w:type="dxa"/>
            <w:tcBorders>
              <w:top w:val="nil"/>
              <w:left w:val="nil"/>
              <w:bottom w:val="nil"/>
              <w:right w:val="nil"/>
            </w:tcBorders>
            <w:shd w:val="clear" w:color="auto" w:fill="auto"/>
            <w:noWrap/>
            <w:vAlign w:val="bottom"/>
            <w:hideMark/>
          </w:tcPr>
          <w:p w14:paraId="123B27E6" w14:textId="77777777" w:rsidR="00FC3797" w:rsidRPr="00E141A0" w:rsidRDefault="00FC3797">
            <w:pPr>
              <w:jc w:val="right"/>
              <w:rPr>
                <w:color w:val="000000"/>
                <w:sz w:val="22"/>
                <w:szCs w:val="22"/>
              </w:rPr>
            </w:pPr>
            <w:r w:rsidRPr="00E141A0">
              <w:rPr>
                <w:color w:val="000000"/>
                <w:sz w:val="22"/>
                <w:szCs w:val="22"/>
              </w:rPr>
              <w:t>53.80%</w:t>
            </w:r>
          </w:p>
        </w:tc>
        <w:tc>
          <w:tcPr>
            <w:tcW w:w="998" w:type="dxa"/>
            <w:tcBorders>
              <w:top w:val="nil"/>
              <w:left w:val="nil"/>
              <w:bottom w:val="nil"/>
              <w:right w:val="nil"/>
            </w:tcBorders>
            <w:shd w:val="clear" w:color="auto" w:fill="auto"/>
            <w:noWrap/>
            <w:vAlign w:val="bottom"/>
            <w:hideMark/>
          </w:tcPr>
          <w:p w14:paraId="027658F5" w14:textId="5B643467" w:rsidR="00FC3797" w:rsidRPr="00E141A0" w:rsidRDefault="00FC3797">
            <w:pPr>
              <w:jc w:val="right"/>
              <w:rPr>
                <w:color w:val="000000"/>
                <w:sz w:val="22"/>
                <w:szCs w:val="22"/>
              </w:rPr>
            </w:pPr>
            <w:r w:rsidRPr="00E141A0">
              <w:rPr>
                <w:color w:val="000000"/>
                <w:sz w:val="22"/>
                <w:szCs w:val="22"/>
              </w:rPr>
              <w:t>25</w:t>
            </w:r>
            <w:r w:rsidRPr="00296330">
              <w:rPr>
                <w:color w:val="000000"/>
                <w:sz w:val="22"/>
                <w:szCs w:val="22"/>
              </w:rPr>
              <w:t>.00</w:t>
            </w:r>
            <w:r w:rsidRPr="00E141A0">
              <w:rPr>
                <w:color w:val="000000"/>
                <w:sz w:val="22"/>
                <w:szCs w:val="22"/>
              </w:rPr>
              <w:t>%</w:t>
            </w:r>
          </w:p>
        </w:tc>
        <w:tc>
          <w:tcPr>
            <w:tcW w:w="1206" w:type="dxa"/>
            <w:tcBorders>
              <w:top w:val="nil"/>
              <w:left w:val="nil"/>
              <w:bottom w:val="nil"/>
              <w:right w:val="nil"/>
            </w:tcBorders>
            <w:shd w:val="clear" w:color="auto" w:fill="auto"/>
            <w:noWrap/>
            <w:vAlign w:val="bottom"/>
            <w:hideMark/>
          </w:tcPr>
          <w:p w14:paraId="113F690A" w14:textId="77777777" w:rsidR="00FC3797" w:rsidRPr="00E141A0" w:rsidRDefault="00FC3797">
            <w:pPr>
              <w:jc w:val="right"/>
              <w:rPr>
                <w:color w:val="000000"/>
                <w:sz w:val="22"/>
                <w:szCs w:val="22"/>
              </w:rPr>
            </w:pPr>
            <w:r w:rsidRPr="00E141A0">
              <w:rPr>
                <w:color w:val="000000"/>
                <w:sz w:val="22"/>
                <w:szCs w:val="22"/>
              </w:rPr>
              <w:t>34.60%</w:t>
            </w:r>
          </w:p>
        </w:tc>
      </w:tr>
      <w:tr w:rsidR="00FC3797" w:rsidRPr="00296330" w14:paraId="2D32550E" w14:textId="77777777" w:rsidTr="00E141A0">
        <w:trPr>
          <w:trHeight w:val="290"/>
        </w:trPr>
        <w:tc>
          <w:tcPr>
            <w:tcW w:w="1976" w:type="dxa"/>
            <w:tcBorders>
              <w:top w:val="nil"/>
              <w:left w:val="nil"/>
              <w:bottom w:val="nil"/>
              <w:right w:val="nil"/>
            </w:tcBorders>
            <w:shd w:val="clear" w:color="auto" w:fill="auto"/>
            <w:noWrap/>
            <w:vAlign w:val="bottom"/>
            <w:hideMark/>
          </w:tcPr>
          <w:p w14:paraId="3E23F6E2" w14:textId="77777777" w:rsidR="00FC3797" w:rsidRPr="00E141A0" w:rsidRDefault="00FC3797" w:rsidP="00E141A0">
            <w:pPr>
              <w:ind w:left="342"/>
              <w:rPr>
                <w:color w:val="000000"/>
                <w:sz w:val="22"/>
                <w:szCs w:val="22"/>
              </w:rPr>
            </w:pPr>
            <w:r w:rsidRPr="00E141A0">
              <w:rPr>
                <w:color w:val="000000"/>
                <w:sz w:val="22"/>
                <w:szCs w:val="22"/>
              </w:rPr>
              <w:t>5+</w:t>
            </w:r>
          </w:p>
        </w:tc>
        <w:tc>
          <w:tcPr>
            <w:tcW w:w="1140" w:type="dxa"/>
            <w:tcBorders>
              <w:top w:val="nil"/>
              <w:left w:val="nil"/>
              <w:bottom w:val="nil"/>
              <w:right w:val="nil"/>
            </w:tcBorders>
            <w:shd w:val="clear" w:color="auto" w:fill="auto"/>
            <w:noWrap/>
            <w:vAlign w:val="bottom"/>
            <w:hideMark/>
          </w:tcPr>
          <w:p w14:paraId="04C32202" w14:textId="77777777" w:rsidR="00FC3797" w:rsidRPr="00E141A0" w:rsidRDefault="00FC3797">
            <w:pPr>
              <w:jc w:val="right"/>
              <w:rPr>
                <w:color w:val="000000"/>
                <w:sz w:val="22"/>
                <w:szCs w:val="22"/>
              </w:rPr>
            </w:pPr>
            <w:r w:rsidRPr="00E141A0">
              <w:rPr>
                <w:color w:val="000000"/>
                <w:sz w:val="22"/>
                <w:szCs w:val="22"/>
              </w:rPr>
              <w:t>7.64%</w:t>
            </w:r>
          </w:p>
        </w:tc>
        <w:tc>
          <w:tcPr>
            <w:tcW w:w="1111" w:type="dxa"/>
            <w:tcBorders>
              <w:top w:val="nil"/>
              <w:left w:val="nil"/>
              <w:bottom w:val="nil"/>
              <w:right w:val="nil"/>
            </w:tcBorders>
            <w:shd w:val="clear" w:color="auto" w:fill="auto"/>
            <w:noWrap/>
            <w:vAlign w:val="bottom"/>
            <w:hideMark/>
          </w:tcPr>
          <w:p w14:paraId="4CFC5B67" w14:textId="77777777" w:rsidR="00FC3797" w:rsidRPr="00E141A0" w:rsidRDefault="00FC3797">
            <w:pPr>
              <w:jc w:val="right"/>
              <w:rPr>
                <w:color w:val="000000"/>
                <w:sz w:val="22"/>
                <w:szCs w:val="22"/>
              </w:rPr>
            </w:pPr>
            <w:r w:rsidRPr="00E141A0">
              <w:rPr>
                <w:color w:val="000000"/>
                <w:sz w:val="22"/>
                <w:szCs w:val="22"/>
              </w:rPr>
              <w:t>25.50%</w:t>
            </w:r>
          </w:p>
        </w:tc>
        <w:tc>
          <w:tcPr>
            <w:tcW w:w="1328" w:type="dxa"/>
            <w:tcBorders>
              <w:top w:val="nil"/>
              <w:left w:val="nil"/>
              <w:bottom w:val="nil"/>
              <w:right w:val="nil"/>
            </w:tcBorders>
            <w:shd w:val="clear" w:color="auto" w:fill="auto"/>
            <w:noWrap/>
            <w:vAlign w:val="bottom"/>
            <w:hideMark/>
          </w:tcPr>
          <w:p w14:paraId="084B4C7F" w14:textId="77777777" w:rsidR="00FC3797" w:rsidRPr="00E141A0" w:rsidRDefault="00FC3797">
            <w:pPr>
              <w:jc w:val="right"/>
              <w:rPr>
                <w:color w:val="000000"/>
                <w:sz w:val="22"/>
                <w:szCs w:val="22"/>
              </w:rPr>
            </w:pPr>
            <w:r w:rsidRPr="00E141A0">
              <w:rPr>
                <w:color w:val="000000"/>
                <w:sz w:val="22"/>
                <w:szCs w:val="22"/>
              </w:rPr>
              <w:t>15.40%</w:t>
            </w:r>
          </w:p>
        </w:tc>
        <w:tc>
          <w:tcPr>
            <w:tcW w:w="998" w:type="dxa"/>
            <w:tcBorders>
              <w:top w:val="nil"/>
              <w:left w:val="nil"/>
              <w:bottom w:val="nil"/>
              <w:right w:val="nil"/>
            </w:tcBorders>
            <w:shd w:val="clear" w:color="auto" w:fill="auto"/>
            <w:noWrap/>
            <w:vAlign w:val="bottom"/>
            <w:hideMark/>
          </w:tcPr>
          <w:p w14:paraId="4BC261F4" w14:textId="77777777" w:rsidR="00FC3797" w:rsidRPr="00E141A0" w:rsidRDefault="00FC3797">
            <w:pPr>
              <w:jc w:val="right"/>
              <w:rPr>
                <w:color w:val="000000"/>
                <w:sz w:val="22"/>
                <w:szCs w:val="22"/>
              </w:rPr>
            </w:pPr>
            <w:r w:rsidRPr="00E141A0">
              <w:rPr>
                <w:color w:val="000000"/>
                <w:sz w:val="22"/>
                <w:szCs w:val="22"/>
              </w:rPr>
              <w:t>33.30%</w:t>
            </w:r>
          </w:p>
        </w:tc>
        <w:tc>
          <w:tcPr>
            <w:tcW w:w="1206" w:type="dxa"/>
            <w:tcBorders>
              <w:top w:val="nil"/>
              <w:left w:val="nil"/>
              <w:bottom w:val="nil"/>
              <w:right w:val="nil"/>
            </w:tcBorders>
            <w:shd w:val="clear" w:color="auto" w:fill="auto"/>
            <w:noWrap/>
            <w:vAlign w:val="bottom"/>
            <w:hideMark/>
          </w:tcPr>
          <w:p w14:paraId="7B34A1DB" w14:textId="77777777" w:rsidR="00FC3797" w:rsidRPr="00E141A0" w:rsidRDefault="00FC3797">
            <w:pPr>
              <w:jc w:val="right"/>
              <w:rPr>
                <w:color w:val="000000"/>
                <w:sz w:val="22"/>
                <w:szCs w:val="22"/>
              </w:rPr>
            </w:pPr>
            <w:r w:rsidRPr="00E141A0">
              <w:rPr>
                <w:color w:val="000000"/>
                <w:sz w:val="22"/>
                <w:szCs w:val="22"/>
              </w:rPr>
              <w:t>26.90%</w:t>
            </w:r>
          </w:p>
        </w:tc>
      </w:tr>
    </w:tbl>
    <w:p w14:paraId="4170EC0F" w14:textId="77777777" w:rsidR="00FA4A59" w:rsidRDefault="00FA4A59" w:rsidP="00E141A0">
      <w:pPr>
        <w:spacing w:line="259" w:lineRule="auto"/>
        <w:rPr>
          <w:i/>
          <w:sz w:val="20"/>
          <w:szCs w:val="20"/>
        </w:rPr>
      </w:pPr>
    </w:p>
    <w:p w14:paraId="2D0B7D4D" w14:textId="68EC0461" w:rsidR="00C00729" w:rsidRPr="00FA4A59" w:rsidRDefault="00EB3C69" w:rsidP="00E141A0">
      <w:pPr>
        <w:spacing w:line="259" w:lineRule="auto"/>
        <w:rPr>
          <w:sz w:val="20"/>
          <w:szCs w:val="20"/>
        </w:rPr>
      </w:pPr>
      <w:r w:rsidRPr="00FA4A59">
        <w:rPr>
          <w:i/>
          <w:sz w:val="20"/>
          <w:szCs w:val="20"/>
        </w:rPr>
        <w:t>Note:</w:t>
      </w:r>
      <w:r w:rsidRPr="00FA4A59">
        <w:rPr>
          <w:sz w:val="20"/>
          <w:szCs w:val="20"/>
        </w:rPr>
        <w:t xml:space="preserve"> Although administrators reported a total of 77 exclusions, demographic information was only provided for 51 children. </w:t>
      </w:r>
      <w:r w:rsidR="00416A64" w:rsidRPr="00FA4A59">
        <w:rPr>
          <w:sz w:val="20"/>
          <w:szCs w:val="20"/>
        </w:rPr>
        <w:t xml:space="preserve">Categorization of mechanism of exclusion is based on administrator report. </w:t>
      </w:r>
    </w:p>
    <w:sectPr w:rsidR="00C00729" w:rsidRPr="00FA4A59" w:rsidSect="005F38D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7C81F" w16cex:dateUtc="2020-10-19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4A653" w14:textId="77777777" w:rsidR="00034086" w:rsidRDefault="00034086" w:rsidP="004D4D16">
      <w:r>
        <w:separator/>
      </w:r>
    </w:p>
  </w:endnote>
  <w:endnote w:type="continuationSeparator" w:id="0">
    <w:p w14:paraId="03B47EC3" w14:textId="77777777" w:rsidR="00034086" w:rsidRDefault="00034086" w:rsidP="004D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venir Next Demi Bold">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787E" w14:textId="55DCC2DB" w:rsidR="002871DE" w:rsidRPr="00380E35" w:rsidRDefault="002871DE">
    <w:pPr>
      <w:pStyle w:val="Footer"/>
      <w:jc w:val="right"/>
      <w:rPr>
        <w:rFonts w:ascii="Times New Roman" w:hAnsi="Times New Roman" w:cs="Times New Roman"/>
      </w:rPr>
    </w:pPr>
  </w:p>
  <w:p w14:paraId="07FFC73B" w14:textId="77777777" w:rsidR="002871DE" w:rsidRPr="00380E35" w:rsidRDefault="002871D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013F" w14:textId="77777777" w:rsidR="00034086" w:rsidRDefault="00034086" w:rsidP="004D4D16">
      <w:r>
        <w:separator/>
      </w:r>
    </w:p>
  </w:footnote>
  <w:footnote w:type="continuationSeparator" w:id="0">
    <w:p w14:paraId="4A24F57A" w14:textId="77777777" w:rsidR="00034086" w:rsidRDefault="00034086" w:rsidP="004D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171B" w14:textId="45C14F87" w:rsidR="005F38D5" w:rsidRDefault="005F38D5">
    <w:pPr>
      <w:pStyle w:val="Header"/>
      <w:jc w:val="right"/>
    </w:pPr>
    <w:r>
      <w:rPr>
        <w:rFonts w:ascii="Times New Roman" w:hAnsi="Times New Roman" w:cs="Times New Roman"/>
        <w:sz w:val="24"/>
        <w:szCs w:val="24"/>
      </w:rPr>
      <w:t>EARLY CHILDHOOD DISCIPLINE POLICY</w:t>
    </w:r>
    <w:r>
      <w:rPr>
        <w:rFonts w:ascii="Times New Roman" w:hAnsi="Times New Roman" w:cs="Times New Roman"/>
        <w:sz w:val="24"/>
        <w:szCs w:val="24"/>
      </w:rPr>
      <w:tab/>
    </w:r>
    <w:r>
      <w:t xml:space="preserve"> </w:t>
    </w:r>
    <w:r>
      <w:tab/>
    </w:r>
    <w:sdt>
      <w:sdtPr>
        <w:id w:val="-17309929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3B47">
          <w:rPr>
            <w:noProof/>
          </w:rPr>
          <w:t>20</w:t>
        </w:r>
        <w:r>
          <w:rPr>
            <w:noProof/>
          </w:rPr>
          <w:fldChar w:fldCharType="end"/>
        </w:r>
      </w:sdtContent>
    </w:sdt>
  </w:p>
  <w:p w14:paraId="22DDDCA0" w14:textId="34EE41AC" w:rsidR="002871DE" w:rsidRPr="00891594" w:rsidRDefault="002871DE" w:rsidP="00891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BAEC" w14:textId="6FD6FA33" w:rsidR="005F38D5" w:rsidRDefault="005F38D5">
    <w:pPr>
      <w:pStyle w:val="Header"/>
      <w:jc w:val="right"/>
    </w:pPr>
    <w:r>
      <w:t xml:space="preserve"> </w:t>
    </w:r>
    <w:r>
      <w:rPr>
        <w:rFonts w:ascii="Times New Roman" w:hAnsi="Times New Roman" w:cs="Times New Roman"/>
        <w:sz w:val="24"/>
        <w:szCs w:val="24"/>
      </w:rPr>
      <w:t>EARLY CHILDHOOD DISCIPLINE POLICY</w:t>
    </w:r>
    <w:r>
      <w:t xml:space="preserve"> </w:t>
    </w:r>
    <w:r>
      <w:tab/>
    </w:r>
    <w:r>
      <w:tab/>
    </w:r>
    <w:sdt>
      <w:sdtPr>
        <w:id w:val="-5479884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3B47">
          <w:rPr>
            <w:noProof/>
          </w:rPr>
          <w:t>1</w:t>
        </w:r>
        <w:r>
          <w:rPr>
            <w:noProof/>
          </w:rPr>
          <w:fldChar w:fldCharType="end"/>
        </w:r>
      </w:sdtContent>
    </w:sdt>
  </w:p>
  <w:p w14:paraId="72994732" w14:textId="1C7E73AD" w:rsidR="002871DE" w:rsidRPr="005525BE" w:rsidRDefault="002871D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470"/>
    <w:multiLevelType w:val="hybridMultilevel"/>
    <w:tmpl w:val="41C0F710"/>
    <w:lvl w:ilvl="0" w:tplc="5F8E2A1E">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7246"/>
    <w:multiLevelType w:val="hybridMultilevel"/>
    <w:tmpl w:val="AB7E7D4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643A"/>
    <w:multiLevelType w:val="hybridMultilevel"/>
    <w:tmpl w:val="6B38A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C500A"/>
    <w:multiLevelType w:val="multilevel"/>
    <w:tmpl w:val="9864A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5F0386"/>
    <w:multiLevelType w:val="hybridMultilevel"/>
    <w:tmpl w:val="D190122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705D7"/>
    <w:multiLevelType w:val="hybridMultilevel"/>
    <w:tmpl w:val="B63E1F96"/>
    <w:lvl w:ilvl="0" w:tplc="27369DAE">
      <w:start w:val="8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F16EF"/>
    <w:multiLevelType w:val="hybridMultilevel"/>
    <w:tmpl w:val="3DBA8D4C"/>
    <w:lvl w:ilvl="0" w:tplc="942E56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A45310"/>
    <w:multiLevelType w:val="multilevel"/>
    <w:tmpl w:val="BB60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ED70A9"/>
    <w:multiLevelType w:val="hybridMultilevel"/>
    <w:tmpl w:val="76307FEE"/>
    <w:lvl w:ilvl="0" w:tplc="9E023C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2D5"/>
    <w:multiLevelType w:val="hybridMultilevel"/>
    <w:tmpl w:val="8A1AA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60064"/>
    <w:multiLevelType w:val="hybridMultilevel"/>
    <w:tmpl w:val="77325780"/>
    <w:lvl w:ilvl="0" w:tplc="85FCAF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93803"/>
    <w:multiLevelType w:val="multilevel"/>
    <w:tmpl w:val="2EEA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2E3361"/>
    <w:multiLevelType w:val="hybridMultilevel"/>
    <w:tmpl w:val="C4207368"/>
    <w:lvl w:ilvl="0" w:tplc="2E14FFAA">
      <w:start w:val="6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12"/>
  </w:num>
  <w:num w:numId="6">
    <w:abstractNumId w:val="6"/>
  </w:num>
  <w:num w:numId="7">
    <w:abstractNumId w:val="1"/>
  </w:num>
  <w:num w:numId="8">
    <w:abstractNumId w:val="4"/>
  </w:num>
  <w:num w:numId="9">
    <w:abstractNumId w:val="10"/>
  </w:num>
  <w:num w:numId="10">
    <w:abstractNumId w:val="5"/>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QwNjMztjAyNTMyNzBQ0lEKTi0uzszPAykwMqoFANTX58ctAAAA"/>
  </w:docVars>
  <w:rsids>
    <w:rsidRoot w:val="00A733B0"/>
    <w:rsid w:val="00003A47"/>
    <w:rsid w:val="00006D74"/>
    <w:rsid w:val="000179D6"/>
    <w:rsid w:val="0002513A"/>
    <w:rsid w:val="000253AD"/>
    <w:rsid w:val="00027C15"/>
    <w:rsid w:val="00030584"/>
    <w:rsid w:val="00031226"/>
    <w:rsid w:val="000336AC"/>
    <w:rsid w:val="00034086"/>
    <w:rsid w:val="00034CE1"/>
    <w:rsid w:val="00035EBB"/>
    <w:rsid w:val="00040719"/>
    <w:rsid w:val="0004079B"/>
    <w:rsid w:val="00044695"/>
    <w:rsid w:val="00047D6C"/>
    <w:rsid w:val="00047DFB"/>
    <w:rsid w:val="00053CD7"/>
    <w:rsid w:val="00057CD3"/>
    <w:rsid w:val="00063DDB"/>
    <w:rsid w:val="000660B4"/>
    <w:rsid w:val="000708BF"/>
    <w:rsid w:val="00072A70"/>
    <w:rsid w:val="00085ECB"/>
    <w:rsid w:val="00087E52"/>
    <w:rsid w:val="0009212E"/>
    <w:rsid w:val="00096279"/>
    <w:rsid w:val="000A29DF"/>
    <w:rsid w:val="000A2CC3"/>
    <w:rsid w:val="000A2F07"/>
    <w:rsid w:val="000A5889"/>
    <w:rsid w:val="000B0AB8"/>
    <w:rsid w:val="000C0203"/>
    <w:rsid w:val="000C052A"/>
    <w:rsid w:val="000C53D5"/>
    <w:rsid w:val="000C641F"/>
    <w:rsid w:val="000D1AC7"/>
    <w:rsid w:val="000D2C3D"/>
    <w:rsid w:val="000D4B2B"/>
    <w:rsid w:val="000D5606"/>
    <w:rsid w:val="000D78F0"/>
    <w:rsid w:val="000E04B1"/>
    <w:rsid w:val="000E6A38"/>
    <w:rsid w:val="000E733B"/>
    <w:rsid w:val="000E7897"/>
    <w:rsid w:val="000F0222"/>
    <w:rsid w:val="000F0E2F"/>
    <w:rsid w:val="000F2F0F"/>
    <w:rsid w:val="000F428C"/>
    <w:rsid w:val="000F45A7"/>
    <w:rsid w:val="00101CF7"/>
    <w:rsid w:val="00102103"/>
    <w:rsid w:val="00103009"/>
    <w:rsid w:val="00103395"/>
    <w:rsid w:val="001151C4"/>
    <w:rsid w:val="001205A3"/>
    <w:rsid w:val="001222CC"/>
    <w:rsid w:val="00123C1F"/>
    <w:rsid w:val="00133405"/>
    <w:rsid w:val="001437C4"/>
    <w:rsid w:val="00144473"/>
    <w:rsid w:val="00146816"/>
    <w:rsid w:val="00155B94"/>
    <w:rsid w:val="00163A79"/>
    <w:rsid w:val="001657EC"/>
    <w:rsid w:val="00165ED3"/>
    <w:rsid w:val="00166682"/>
    <w:rsid w:val="00173147"/>
    <w:rsid w:val="001748D8"/>
    <w:rsid w:val="00180881"/>
    <w:rsid w:val="00183D0B"/>
    <w:rsid w:val="0018457F"/>
    <w:rsid w:val="00185577"/>
    <w:rsid w:val="00185A51"/>
    <w:rsid w:val="00185B1D"/>
    <w:rsid w:val="00191401"/>
    <w:rsid w:val="00194EDC"/>
    <w:rsid w:val="00194F12"/>
    <w:rsid w:val="001958B5"/>
    <w:rsid w:val="001A0399"/>
    <w:rsid w:val="001A0733"/>
    <w:rsid w:val="001A3031"/>
    <w:rsid w:val="001A394E"/>
    <w:rsid w:val="001B10D3"/>
    <w:rsid w:val="001B1B6B"/>
    <w:rsid w:val="001B3D87"/>
    <w:rsid w:val="001B43D6"/>
    <w:rsid w:val="001B4454"/>
    <w:rsid w:val="001B6E21"/>
    <w:rsid w:val="001C3E7D"/>
    <w:rsid w:val="001C7756"/>
    <w:rsid w:val="001D102E"/>
    <w:rsid w:val="001E03E5"/>
    <w:rsid w:val="001E633C"/>
    <w:rsid w:val="001E68F6"/>
    <w:rsid w:val="001E784C"/>
    <w:rsid w:val="001F15B6"/>
    <w:rsid w:val="001F2570"/>
    <w:rsid w:val="001F3D73"/>
    <w:rsid w:val="00203749"/>
    <w:rsid w:val="00204A33"/>
    <w:rsid w:val="0020605C"/>
    <w:rsid w:val="00207C7F"/>
    <w:rsid w:val="0021292C"/>
    <w:rsid w:val="0021451D"/>
    <w:rsid w:val="00214AC9"/>
    <w:rsid w:val="002179FF"/>
    <w:rsid w:val="0022264E"/>
    <w:rsid w:val="00224DD5"/>
    <w:rsid w:val="002342C1"/>
    <w:rsid w:val="00234498"/>
    <w:rsid w:val="00240D74"/>
    <w:rsid w:val="00241732"/>
    <w:rsid w:val="00242BB5"/>
    <w:rsid w:val="00243001"/>
    <w:rsid w:val="00243071"/>
    <w:rsid w:val="00243566"/>
    <w:rsid w:val="002443C3"/>
    <w:rsid w:val="002462A3"/>
    <w:rsid w:val="00247AAE"/>
    <w:rsid w:val="002554C2"/>
    <w:rsid w:val="0026377A"/>
    <w:rsid w:val="0027015F"/>
    <w:rsid w:val="002704FB"/>
    <w:rsid w:val="002716C1"/>
    <w:rsid w:val="00275ECD"/>
    <w:rsid w:val="0027681F"/>
    <w:rsid w:val="00280DDD"/>
    <w:rsid w:val="002823FB"/>
    <w:rsid w:val="002826BF"/>
    <w:rsid w:val="00282E7E"/>
    <w:rsid w:val="002871DE"/>
    <w:rsid w:val="00291DE0"/>
    <w:rsid w:val="00292A0F"/>
    <w:rsid w:val="00292DC8"/>
    <w:rsid w:val="00296330"/>
    <w:rsid w:val="00296756"/>
    <w:rsid w:val="00296B1B"/>
    <w:rsid w:val="002A1232"/>
    <w:rsid w:val="002A53D3"/>
    <w:rsid w:val="002B218F"/>
    <w:rsid w:val="002B2952"/>
    <w:rsid w:val="002B2A0C"/>
    <w:rsid w:val="002B4034"/>
    <w:rsid w:val="002B4809"/>
    <w:rsid w:val="002B4F76"/>
    <w:rsid w:val="002B77CC"/>
    <w:rsid w:val="002C1935"/>
    <w:rsid w:val="002C543F"/>
    <w:rsid w:val="002C5650"/>
    <w:rsid w:val="002D0879"/>
    <w:rsid w:val="002D3111"/>
    <w:rsid w:val="002D7930"/>
    <w:rsid w:val="002E35EF"/>
    <w:rsid w:val="002E4BBB"/>
    <w:rsid w:val="002E60B2"/>
    <w:rsid w:val="002E75B0"/>
    <w:rsid w:val="002E7BD7"/>
    <w:rsid w:val="002F1216"/>
    <w:rsid w:val="002F27F1"/>
    <w:rsid w:val="002F2FAE"/>
    <w:rsid w:val="0030155B"/>
    <w:rsid w:val="00301842"/>
    <w:rsid w:val="003018FF"/>
    <w:rsid w:val="003035F7"/>
    <w:rsid w:val="0030471C"/>
    <w:rsid w:val="00305B05"/>
    <w:rsid w:val="00311907"/>
    <w:rsid w:val="00312EAB"/>
    <w:rsid w:val="003137E7"/>
    <w:rsid w:val="00322316"/>
    <w:rsid w:val="00323AFD"/>
    <w:rsid w:val="00326B5E"/>
    <w:rsid w:val="00330205"/>
    <w:rsid w:val="00331F84"/>
    <w:rsid w:val="00334382"/>
    <w:rsid w:val="0033641C"/>
    <w:rsid w:val="0033756A"/>
    <w:rsid w:val="00341DCA"/>
    <w:rsid w:val="003500DA"/>
    <w:rsid w:val="00352185"/>
    <w:rsid w:val="003532A3"/>
    <w:rsid w:val="003645EE"/>
    <w:rsid w:val="00367E40"/>
    <w:rsid w:val="00371E25"/>
    <w:rsid w:val="0037500A"/>
    <w:rsid w:val="00376C5C"/>
    <w:rsid w:val="00380E35"/>
    <w:rsid w:val="003811C5"/>
    <w:rsid w:val="00386780"/>
    <w:rsid w:val="0038758A"/>
    <w:rsid w:val="003877BA"/>
    <w:rsid w:val="00392120"/>
    <w:rsid w:val="003958CB"/>
    <w:rsid w:val="00396B82"/>
    <w:rsid w:val="00397FC5"/>
    <w:rsid w:val="003A082D"/>
    <w:rsid w:val="003A0DA2"/>
    <w:rsid w:val="003A1055"/>
    <w:rsid w:val="003A21F3"/>
    <w:rsid w:val="003A3193"/>
    <w:rsid w:val="003A5440"/>
    <w:rsid w:val="003A60BF"/>
    <w:rsid w:val="003A7A90"/>
    <w:rsid w:val="003B3442"/>
    <w:rsid w:val="003B3616"/>
    <w:rsid w:val="003B5201"/>
    <w:rsid w:val="003B67AF"/>
    <w:rsid w:val="003B7988"/>
    <w:rsid w:val="003B7B0E"/>
    <w:rsid w:val="003C09C6"/>
    <w:rsid w:val="003C5D9C"/>
    <w:rsid w:val="003D056B"/>
    <w:rsid w:val="003D42E9"/>
    <w:rsid w:val="003D65EB"/>
    <w:rsid w:val="003E0827"/>
    <w:rsid w:val="003E0EAE"/>
    <w:rsid w:val="003E2E8F"/>
    <w:rsid w:val="003E5D36"/>
    <w:rsid w:val="003E7539"/>
    <w:rsid w:val="003F40A5"/>
    <w:rsid w:val="003F456C"/>
    <w:rsid w:val="003F5089"/>
    <w:rsid w:val="00401EF8"/>
    <w:rsid w:val="0040209C"/>
    <w:rsid w:val="00407773"/>
    <w:rsid w:val="00407E63"/>
    <w:rsid w:val="00411DE7"/>
    <w:rsid w:val="0041204B"/>
    <w:rsid w:val="00415345"/>
    <w:rsid w:val="00416A64"/>
    <w:rsid w:val="00417554"/>
    <w:rsid w:val="00422700"/>
    <w:rsid w:val="00423A7C"/>
    <w:rsid w:val="00427A1A"/>
    <w:rsid w:val="00431F94"/>
    <w:rsid w:val="004326FE"/>
    <w:rsid w:val="004345CA"/>
    <w:rsid w:val="0044049F"/>
    <w:rsid w:val="00446B22"/>
    <w:rsid w:val="00446FE5"/>
    <w:rsid w:val="00453B14"/>
    <w:rsid w:val="0045415B"/>
    <w:rsid w:val="004562D5"/>
    <w:rsid w:val="00456715"/>
    <w:rsid w:val="00461CDB"/>
    <w:rsid w:val="00470FCF"/>
    <w:rsid w:val="00476905"/>
    <w:rsid w:val="00482C8A"/>
    <w:rsid w:val="00485109"/>
    <w:rsid w:val="004867F2"/>
    <w:rsid w:val="004964B2"/>
    <w:rsid w:val="004A1CB6"/>
    <w:rsid w:val="004A40AA"/>
    <w:rsid w:val="004A54DC"/>
    <w:rsid w:val="004A622E"/>
    <w:rsid w:val="004B538D"/>
    <w:rsid w:val="004B63E6"/>
    <w:rsid w:val="004B79C6"/>
    <w:rsid w:val="004C30A2"/>
    <w:rsid w:val="004C62A4"/>
    <w:rsid w:val="004C67FD"/>
    <w:rsid w:val="004C72EE"/>
    <w:rsid w:val="004D0EFD"/>
    <w:rsid w:val="004D446A"/>
    <w:rsid w:val="004D4D16"/>
    <w:rsid w:val="004D51C3"/>
    <w:rsid w:val="004E2781"/>
    <w:rsid w:val="004F0552"/>
    <w:rsid w:val="004F284A"/>
    <w:rsid w:val="004F7876"/>
    <w:rsid w:val="004F7A27"/>
    <w:rsid w:val="005002C2"/>
    <w:rsid w:val="00501C7E"/>
    <w:rsid w:val="0050326B"/>
    <w:rsid w:val="00505397"/>
    <w:rsid w:val="005068D1"/>
    <w:rsid w:val="005114A4"/>
    <w:rsid w:val="005127AA"/>
    <w:rsid w:val="00513534"/>
    <w:rsid w:val="005137A6"/>
    <w:rsid w:val="00514E11"/>
    <w:rsid w:val="0051610F"/>
    <w:rsid w:val="005176CD"/>
    <w:rsid w:val="00521380"/>
    <w:rsid w:val="00524AC5"/>
    <w:rsid w:val="00527A07"/>
    <w:rsid w:val="00527A09"/>
    <w:rsid w:val="005306FD"/>
    <w:rsid w:val="0053265C"/>
    <w:rsid w:val="0053375F"/>
    <w:rsid w:val="0054025B"/>
    <w:rsid w:val="005407A1"/>
    <w:rsid w:val="00543252"/>
    <w:rsid w:val="00543CDD"/>
    <w:rsid w:val="00546C32"/>
    <w:rsid w:val="005519E3"/>
    <w:rsid w:val="005525BE"/>
    <w:rsid w:val="00553F8E"/>
    <w:rsid w:val="005542C7"/>
    <w:rsid w:val="0056179A"/>
    <w:rsid w:val="005646C8"/>
    <w:rsid w:val="005661F5"/>
    <w:rsid w:val="005710EB"/>
    <w:rsid w:val="00573336"/>
    <w:rsid w:val="00573ACF"/>
    <w:rsid w:val="0057628A"/>
    <w:rsid w:val="0058679A"/>
    <w:rsid w:val="00595EA0"/>
    <w:rsid w:val="005972C6"/>
    <w:rsid w:val="005A7B76"/>
    <w:rsid w:val="005A7FA2"/>
    <w:rsid w:val="005B4E75"/>
    <w:rsid w:val="005B6383"/>
    <w:rsid w:val="005B6BB6"/>
    <w:rsid w:val="005C0397"/>
    <w:rsid w:val="005C1D86"/>
    <w:rsid w:val="005C41E1"/>
    <w:rsid w:val="005C7397"/>
    <w:rsid w:val="005C7A31"/>
    <w:rsid w:val="005D0A68"/>
    <w:rsid w:val="005D77E8"/>
    <w:rsid w:val="005E0656"/>
    <w:rsid w:val="005E103C"/>
    <w:rsid w:val="005E2311"/>
    <w:rsid w:val="005E7A52"/>
    <w:rsid w:val="005F08C2"/>
    <w:rsid w:val="005F38D5"/>
    <w:rsid w:val="005F3D4A"/>
    <w:rsid w:val="006003F8"/>
    <w:rsid w:val="00600987"/>
    <w:rsid w:val="00600CDB"/>
    <w:rsid w:val="00604140"/>
    <w:rsid w:val="00611BDF"/>
    <w:rsid w:val="006156A1"/>
    <w:rsid w:val="0061730F"/>
    <w:rsid w:val="00624B50"/>
    <w:rsid w:val="00624F27"/>
    <w:rsid w:val="00625258"/>
    <w:rsid w:val="0063419A"/>
    <w:rsid w:val="00636A2C"/>
    <w:rsid w:val="00640114"/>
    <w:rsid w:val="00644D71"/>
    <w:rsid w:val="006524D7"/>
    <w:rsid w:val="0066302D"/>
    <w:rsid w:val="00664619"/>
    <w:rsid w:val="00672065"/>
    <w:rsid w:val="006725F3"/>
    <w:rsid w:val="00683F0E"/>
    <w:rsid w:val="00687BBF"/>
    <w:rsid w:val="006903B4"/>
    <w:rsid w:val="00693B3A"/>
    <w:rsid w:val="006A1CA2"/>
    <w:rsid w:val="006A58CA"/>
    <w:rsid w:val="006B2FBC"/>
    <w:rsid w:val="006B5491"/>
    <w:rsid w:val="006B7226"/>
    <w:rsid w:val="006B753F"/>
    <w:rsid w:val="006C47F1"/>
    <w:rsid w:val="006C5409"/>
    <w:rsid w:val="006C5784"/>
    <w:rsid w:val="006D1468"/>
    <w:rsid w:val="006D21A8"/>
    <w:rsid w:val="006D35FE"/>
    <w:rsid w:val="006D5057"/>
    <w:rsid w:val="006D762D"/>
    <w:rsid w:val="006E21DE"/>
    <w:rsid w:val="006E26FA"/>
    <w:rsid w:val="006E3681"/>
    <w:rsid w:val="006E6F6A"/>
    <w:rsid w:val="006E7B5C"/>
    <w:rsid w:val="006E7F5B"/>
    <w:rsid w:val="006F11AE"/>
    <w:rsid w:val="006F1A00"/>
    <w:rsid w:val="006F4354"/>
    <w:rsid w:val="006F7754"/>
    <w:rsid w:val="00701108"/>
    <w:rsid w:val="0070434D"/>
    <w:rsid w:val="007065EF"/>
    <w:rsid w:val="007108AA"/>
    <w:rsid w:val="007116D9"/>
    <w:rsid w:val="00714AEC"/>
    <w:rsid w:val="00716918"/>
    <w:rsid w:val="00716CC7"/>
    <w:rsid w:val="007230F9"/>
    <w:rsid w:val="007235E6"/>
    <w:rsid w:val="00724921"/>
    <w:rsid w:val="007259D6"/>
    <w:rsid w:val="0072612E"/>
    <w:rsid w:val="00727708"/>
    <w:rsid w:val="00727DE6"/>
    <w:rsid w:val="0073022C"/>
    <w:rsid w:val="007307D3"/>
    <w:rsid w:val="0073788B"/>
    <w:rsid w:val="007400A4"/>
    <w:rsid w:val="007404B7"/>
    <w:rsid w:val="0074141F"/>
    <w:rsid w:val="00741FCE"/>
    <w:rsid w:val="00742E46"/>
    <w:rsid w:val="00744C59"/>
    <w:rsid w:val="007462C1"/>
    <w:rsid w:val="00746FB8"/>
    <w:rsid w:val="00747A42"/>
    <w:rsid w:val="00751D76"/>
    <w:rsid w:val="00761898"/>
    <w:rsid w:val="00762956"/>
    <w:rsid w:val="007633E3"/>
    <w:rsid w:val="00771B7B"/>
    <w:rsid w:val="00776A90"/>
    <w:rsid w:val="00776DFC"/>
    <w:rsid w:val="00776E26"/>
    <w:rsid w:val="00780E9B"/>
    <w:rsid w:val="00785395"/>
    <w:rsid w:val="0079041D"/>
    <w:rsid w:val="00790870"/>
    <w:rsid w:val="007912A4"/>
    <w:rsid w:val="007925EF"/>
    <w:rsid w:val="007929C5"/>
    <w:rsid w:val="00794B19"/>
    <w:rsid w:val="00797A1F"/>
    <w:rsid w:val="007A2559"/>
    <w:rsid w:val="007A524F"/>
    <w:rsid w:val="007A6012"/>
    <w:rsid w:val="007A63E0"/>
    <w:rsid w:val="007A785E"/>
    <w:rsid w:val="007A7953"/>
    <w:rsid w:val="007B103D"/>
    <w:rsid w:val="007B166E"/>
    <w:rsid w:val="007B179C"/>
    <w:rsid w:val="007B4321"/>
    <w:rsid w:val="007B7BDF"/>
    <w:rsid w:val="007C5121"/>
    <w:rsid w:val="007C6218"/>
    <w:rsid w:val="007C7905"/>
    <w:rsid w:val="007C7A91"/>
    <w:rsid w:val="007C7B15"/>
    <w:rsid w:val="007D2069"/>
    <w:rsid w:val="007D2CD0"/>
    <w:rsid w:val="007D2D55"/>
    <w:rsid w:val="007D76FE"/>
    <w:rsid w:val="007E3523"/>
    <w:rsid w:val="007F0560"/>
    <w:rsid w:val="007F0E20"/>
    <w:rsid w:val="007F1677"/>
    <w:rsid w:val="007F3B47"/>
    <w:rsid w:val="007F4F36"/>
    <w:rsid w:val="0080112B"/>
    <w:rsid w:val="00807488"/>
    <w:rsid w:val="00807CD6"/>
    <w:rsid w:val="00812A59"/>
    <w:rsid w:val="00814C14"/>
    <w:rsid w:val="00821A8C"/>
    <w:rsid w:val="008222B0"/>
    <w:rsid w:val="00824030"/>
    <w:rsid w:val="00825C34"/>
    <w:rsid w:val="00826069"/>
    <w:rsid w:val="008322AB"/>
    <w:rsid w:val="00832F95"/>
    <w:rsid w:val="00834699"/>
    <w:rsid w:val="00840642"/>
    <w:rsid w:val="008475DB"/>
    <w:rsid w:val="00863A6B"/>
    <w:rsid w:val="008641D3"/>
    <w:rsid w:val="0086483B"/>
    <w:rsid w:val="00864EEA"/>
    <w:rsid w:val="00866C82"/>
    <w:rsid w:val="008729D4"/>
    <w:rsid w:val="008813D3"/>
    <w:rsid w:val="00881E79"/>
    <w:rsid w:val="008863FA"/>
    <w:rsid w:val="008902CD"/>
    <w:rsid w:val="00890456"/>
    <w:rsid w:val="00891594"/>
    <w:rsid w:val="00893FC7"/>
    <w:rsid w:val="00896551"/>
    <w:rsid w:val="008A0AAB"/>
    <w:rsid w:val="008A47A2"/>
    <w:rsid w:val="008B0534"/>
    <w:rsid w:val="008B5E2D"/>
    <w:rsid w:val="008C24E0"/>
    <w:rsid w:val="008C63A9"/>
    <w:rsid w:val="008C6501"/>
    <w:rsid w:val="008D1D59"/>
    <w:rsid w:val="008D49C8"/>
    <w:rsid w:val="008D6FD9"/>
    <w:rsid w:val="008E1467"/>
    <w:rsid w:val="008E31C9"/>
    <w:rsid w:val="008E4DD5"/>
    <w:rsid w:val="008E55B2"/>
    <w:rsid w:val="008F0204"/>
    <w:rsid w:val="008F0BC0"/>
    <w:rsid w:val="008F1C05"/>
    <w:rsid w:val="008F2EEF"/>
    <w:rsid w:val="008F3DFF"/>
    <w:rsid w:val="008F4892"/>
    <w:rsid w:val="008F51AE"/>
    <w:rsid w:val="008F5221"/>
    <w:rsid w:val="008F7FF9"/>
    <w:rsid w:val="009028AB"/>
    <w:rsid w:val="00903764"/>
    <w:rsid w:val="0090477F"/>
    <w:rsid w:val="009071F8"/>
    <w:rsid w:val="00915D2A"/>
    <w:rsid w:val="0091704E"/>
    <w:rsid w:val="00921C1E"/>
    <w:rsid w:val="0092527C"/>
    <w:rsid w:val="009265A7"/>
    <w:rsid w:val="0094050F"/>
    <w:rsid w:val="00940FA4"/>
    <w:rsid w:val="009423B6"/>
    <w:rsid w:val="00943666"/>
    <w:rsid w:val="0095217D"/>
    <w:rsid w:val="009617F1"/>
    <w:rsid w:val="00961E40"/>
    <w:rsid w:val="00966A20"/>
    <w:rsid w:val="00970908"/>
    <w:rsid w:val="0097113F"/>
    <w:rsid w:val="00971A2B"/>
    <w:rsid w:val="00976EC0"/>
    <w:rsid w:val="009803BC"/>
    <w:rsid w:val="00980B85"/>
    <w:rsid w:val="0098182A"/>
    <w:rsid w:val="00985990"/>
    <w:rsid w:val="00987263"/>
    <w:rsid w:val="0098743A"/>
    <w:rsid w:val="00994AAD"/>
    <w:rsid w:val="00994BD2"/>
    <w:rsid w:val="009A08E3"/>
    <w:rsid w:val="009A2200"/>
    <w:rsid w:val="009A2810"/>
    <w:rsid w:val="009A2997"/>
    <w:rsid w:val="009A5284"/>
    <w:rsid w:val="009A5A4D"/>
    <w:rsid w:val="009A62EF"/>
    <w:rsid w:val="009A701B"/>
    <w:rsid w:val="009B04F5"/>
    <w:rsid w:val="009B19A3"/>
    <w:rsid w:val="009B2C9B"/>
    <w:rsid w:val="009B2EA4"/>
    <w:rsid w:val="009B509F"/>
    <w:rsid w:val="009C404C"/>
    <w:rsid w:val="009D0493"/>
    <w:rsid w:val="009D3D25"/>
    <w:rsid w:val="009D6E62"/>
    <w:rsid w:val="009E38D4"/>
    <w:rsid w:val="009E3F03"/>
    <w:rsid w:val="009E541E"/>
    <w:rsid w:val="009E593C"/>
    <w:rsid w:val="009F0F53"/>
    <w:rsid w:val="009F1375"/>
    <w:rsid w:val="009F31DD"/>
    <w:rsid w:val="009F58A9"/>
    <w:rsid w:val="009F58AA"/>
    <w:rsid w:val="009F6923"/>
    <w:rsid w:val="009F6E81"/>
    <w:rsid w:val="00A05D93"/>
    <w:rsid w:val="00A063BF"/>
    <w:rsid w:val="00A0705D"/>
    <w:rsid w:val="00A10119"/>
    <w:rsid w:val="00A101DD"/>
    <w:rsid w:val="00A20AF4"/>
    <w:rsid w:val="00A225EE"/>
    <w:rsid w:val="00A236AB"/>
    <w:rsid w:val="00A31871"/>
    <w:rsid w:val="00A31B2D"/>
    <w:rsid w:val="00A36197"/>
    <w:rsid w:val="00A37785"/>
    <w:rsid w:val="00A40B08"/>
    <w:rsid w:val="00A4535B"/>
    <w:rsid w:val="00A50DF9"/>
    <w:rsid w:val="00A50FD8"/>
    <w:rsid w:val="00A514D8"/>
    <w:rsid w:val="00A54AEB"/>
    <w:rsid w:val="00A644CE"/>
    <w:rsid w:val="00A64D85"/>
    <w:rsid w:val="00A6683E"/>
    <w:rsid w:val="00A70F04"/>
    <w:rsid w:val="00A721FF"/>
    <w:rsid w:val="00A724AA"/>
    <w:rsid w:val="00A733B0"/>
    <w:rsid w:val="00A76337"/>
    <w:rsid w:val="00A80363"/>
    <w:rsid w:val="00A8250D"/>
    <w:rsid w:val="00A844AA"/>
    <w:rsid w:val="00A86191"/>
    <w:rsid w:val="00A86649"/>
    <w:rsid w:val="00A91807"/>
    <w:rsid w:val="00A92D83"/>
    <w:rsid w:val="00A9535C"/>
    <w:rsid w:val="00AA6803"/>
    <w:rsid w:val="00AB0DFA"/>
    <w:rsid w:val="00AB3A37"/>
    <w:rsid w:val="00AB5E33"/>
    <w:rsid w:val="00AB7910"/>
    <w:rsid w:val="00AC4D2F"/>
    <w:rsid w:val="00AC5222"/>
    <w:rsid w:val="00AC7E6A"/>
    <w:rsid w:val="00AD19FF"/>
    <w:rsid w:val="00AD4693"/>
    <w:rsid w:val="00AD6226"/>
    <w:rsid w:val="00AD6F7C"/>
    <w:rsid w:val="00AE244C"/>
    <w:rsid w:val="00AE7162"/>
    <w:rsid w:val="00AF1E30"/>
    <w:rsid w:val="00B022F9"/>
    <w:rsid w:val="00B05920"/>
    <w:rsid w:val="00B117AA"/>
    <w:rsid w:val="00B21684"/>
    <w:rsid w:val="00B2277E"/>
    <w:rsid w:val="00B33F1E"/>
    <w:rsid w:val="00B35A4C"/>
    <w:rsid w:val="00B373EE"/>
    <w:rsid w:val="00B4136D"/>
    <w:rsid w:val="00B429A4"/>
    <w:rsid w:val="00B44579"/>
    <w:rsid w:val="00B47CA8"/>
    <w:rsid w:val="00B52783"/>
    <w:rsid w:val="00B539F3"/>
    <w:rsid w:val="00B55212"/>
    <w:rsid w:val="00B555A4"/>
    <w:rsid w:val="00B55E80"/>
    <w:rsid w:val="00B561D0"/>
    <w:rsid w:val="00B56E49"/>
    <w:rsid w:val="00B56EDD"/>
    <w:rsid w:val="00B57CC8"/>
    <w:rsid w:val="00B604FC"/>
    <w:rsid w:val="00B61623"/>
    <w:rsid w:val="00B638E1"/>
    <w:rsid w:val="00B65029"/>
    <w:rsid w:val="00B71752"/>
    <w:rsid w:val="00B760D0"/>
    <w:rsid w:val="00B809E4"/>
    <w:rsid w:val="00B81360"/>
    <w:rsid w:val="00B82119"/>
    <w:rsid w:val="00B8712A"/>
    <w:rsid w:val="00B9319C"/>
    <w:rsid w:val="00B9640C"/>
    <w:rsid w:val="00B972ED"/>
    <w:rsid w:val="00BA1838"/>
    <w:rsid w:val="00BA1E68"/>
    <w:rsid w:val="00BB00BD"/>
    <w:rsid w:val="00BB07AA"/>
    <w:rsid w:val="00BB07D9"/>
    <w:rsid w:val="00BB1029"/>
    <w:rsid w:val="00BB2FDB"/>
    <w:rsid w:val="00BB4566"/>
    <w:rsid w:val="00BB4F27"/>
    <w:rsid w:val="00BB6446"/>
    <w:rsid w:val="00BB6C43"/>
    <w:rsid w:val="00BB6EB1"/>
    <w:rsid w:val="00BC2FC7"/>
    <w:rsid w:val="00BC3C13"/>
    <w:rsid w:val="00BC3CCF"/>
    <w:rsid w:val="00BC3E3E"/>
    <w:rsid w:val="00BC445D"/>
    <w:rsid w:val="00BC4ED3"/>
    <w:rsid w:val="00BC5C1E"/>
    <w:rsid w:val="00BC5F08"/>
    <w:rsid w:val="00BC635D"/>
    <w:rsid w:val="00BC678A"/>
    <w:rsid w:val="00BC6F49"/>
    <w:rsid w:val="00BD017B"/>
    <w:rsid w:val="00BD0B82"/>
    <w:rsid w:val="00BD7323"/>
    <w:rsid w:val="00BE4C6A"/>
    <w:rsid w:val="00BE4EC4"/>
    <w:rsid w:val="00BF062E"/>
    <w:rsid w:val="00BF1988"/>
    <w:rsid w:val="00C00729"/>
    <w:rsid w:val="00C0489D"/>
    <w:rsid w:val="00C04E60"/>
    <w:rsid w:val="00C05892"/>
    <w:rsid w:val="00C07CE2"/>
    <w:rsid w:val="00C1173A"/>
    <w:rsid w:val="00C11CA6"/>
    <w:rsid w:val="00C12F93"/>
    <w:rsid w:val="00C134EA"/>
    <w:rsid w:val="00C165F2"/>
    <w:rsid w:val="00C26AD0"/>
    <w:rsid w:val="00C270D3"/>
    <w:rsid w:val="00C325EC"/>
    <w:rsid w:val="00C32819"/>
    <w:rsid w:val="00C352C6"/>
    <w:rsid w:val="00C36E36"/>
    <w:rsid w:val="00C40BA4"/>
    <w:rsid w:val="00C443C7"/>
    <w:rsid w:val="00C63682"/>
    <w:rsid w:val="00C63AF7"/>
    <w:rsid w:val="00C63C27"/>
    <w:rsid w:val="00C656D0"/>
    <w:rsid w:val="00C70BCD"/>
    <w:rsid w:val="00C72C4F"/>
    <w:rsid w:val="00C835B1"/>
    <w:rsid w:val="00C85075"/>
    <w:rsid w:val="00C8646A"/>
    <w:rsid w:val="00C91798"/>
    <w:rsid w:val="00CA139E"/>
    <w:rsid w:val="00CA24E3"/>
    <w:rsid w:val="00CA77CF"/>
    <w:rsid w:val="00CB7648"/>
    <w:rsid w:val="00CC09A8"/>
    <w:rsid w:val="00CC5D6B"/>
    <w:rsid w:val="00CC5F4D"/>
    <w:rsid w:val="00CC78C7"/>
    <w:rsid w:val="00CD0673"/>
    <w:rsid w:val="00CD38DD"/>
    <w:rsid w:val="00CD6141"/>
    <w:rsid w:val="00CD6ADB"/>
    <w:rsid w:val="00CE1C5E"/>
    <w:rsid w:val="00CE3B59"/>
    <w:rsid w:val="00CE5C16"/>
    <w:rsid w:val="00CF0341"/>
    <w:rsid w:val="00CF1020"/>
    <w:rsid w:val="00CF10C2"/>
    <w:rsid w:val="00D03216"/>
    <w:rsid w:val="00D048F2"/>
    <w:rsid w:val="00D05F68"/>
    <w:rsid w:val="00D10976"/>
    <w:rsid w:val="00D1460A"/>
    <w:rsid w:val="00D22201"/>
    <w:rsid w:val="00D2335C"/>
    <w:rsid w:val="00D24926"/>
    <w:rsid w:val="00D26C7F"/>
    <w:rsid w:val="00D324BD"/>
    <w:rsid w:val="00D377EF"/>
    <w:rsid w:val="00D37DEB"/>
    <w:rsid w:val="00D409E7"/>
    <w:rsid w:val="00D418B2"/>
    <w:rsid w:val="00D50CCD"/>
    <w:rsid w:val="00D52665"/>
    <w:rsid w:val="00D60407"/>
    <w:rsid w:val="00D611FA"/>
    <w:rsid w:val="00D649DB"/>
    <w:rsid w:val="00D708CF"/>
    <w:rsid w:val="00D722CC"/>
    <w:rsid w:val="00D73628"/>
    <w:rsid w:val="00D76926"/>
    <w:rsid w:val="00D80534"/>
    <w:rsid w:val="00D8758A"/>
    <w:rsid w:val="00D92103"/>
    <w:rsid w:val="00D92EDE"/>
    <w:rsid w:val="00D93310"/>
    <w:rsid w:val="00D951FA"/>
    <w:rsid w:val="00DA15AF"/>
    <w:rsid w:val="00DA1775"/>
    <w:rsid w:val="00DA4B96"/>
    <w:rsid w:val="00DA6038"/>
    <w:rsid w:val="00DB0586"/>
    <w:rsid w:val="00DB3652"/>
    <w:rsid w:val="00DB4F88"/>
    <w:rsid w:val="00DB56AB"/>
    <w:rsid w:val="00DB7FE0"/>
    <w:rsid w:val="00DC0A9A"/>
    <w:rsid w:val="00DC1D86"/>
    <w:rsid w:val="00DC6EF9"/>
    <w:rsid w:val="00DD10A2"/>
    <w:rsid w:val="00DD5F61"/>
    <w:rsid w:val="00DE3994"/>
    <w:rsid w:val="00DE55D2"/>
    <w:rsid w:val="00DE5ACD"/>
    <w:rsid w:val="00DF19B4"/>
    <w:rsid w:val="00DF4EB9"/>
    <w:rsid w:val="00E0196A"/>
    <w:rsid w:val="00E01BF7"/>
    <w:rsid w:val="00E141A0"/>
    <w:rsid w:val="00E14781"/>
    <w:rsid w:val="00E14825"/>
    <w:rsid w:val="00E24548"/>
    <w:rsid w:val="00E2571C"/>
    <w:rsid w:val="00E34FA3"/>
    <w:rsid w:val="00E42BC4"/>
    <w:rsid w:val="00E45089"/>
    <w:rsid w:val="00E45FF1"/>
    <w:rsid w:val="00E512C1"/>
    <w:rsid w:val="00E55CC8"/>
    <w:rsid w:val="00E55FBE"/>
    <w:rsid w:val="00E61AA4"/>
    <w:rsid w:val="00E6251A"/>
    <w:rsid w:val="00E62BCD"/>
    <w:rsid w:val="00E62D43"/>
    <w:rsid w:val="00E634C1"/>
    <w:rsid w:val="00E63A81"/>
    <w:rsid w:val="00E65427"/>
    <w:rsid w:val="00E66B31"/>
    <w:rsid w:val="00E673F5"/>
    <w:rsid w:val="00E819A0"/>
    <w:rsid w:val="00E82382"/>
    <w:rsid w:val="00E83051"/>
    <w:rsid w:val="00E83999"/>
    <w:rsid w:val="00E848A0"/>
    <w:rsid w:val="00E90BE5"/>
    <w:rsid w:val="00E90EDF"/>
    <w:rsid w:val="00E943D1"/>
    <w:rsid w:val="00E94E81"/>
    <w:rsid w:val="00EA39F5"/>
    <w:rsid w:val="00EA4671"/>
    <w:rsid w:val="00EA64B3"/>
    <w:rsid w:val="00EB2A2C"/>
    <w:rsid w:val="00EB3C69"/>
    <w:rsid w:val="00EB65B4"/>
    <w:rsid w:val="00EC1478"/>
    <w:rsid w:val="00EC2BF2"/>
    <w:rsid w:val="00EC3DD1"/>
    <w:rsid w:val="00EC7CC4"/>
    <w:rsid w:val="00EE1E73"/>
    <w:rsid w:val="00EE29E7"/>
    <w:rsid w:val="00EE3299"/>
    <w:rsid w:val="00EE4F89"/>
    <w:rsid w:val="00EE53E5"/>
    <w:rsid w:val="00EE69B1"/>
    <w:rsid w:val="00EE7BC7"/>
    <w:rsid w:val="00EF0FFC"/>
    <w:rsid w:val="00EF2DDC"/>
    <w:rsid w:val="00F01D5D"/>
    <w:rsid w:val="00F03AB1"/>
    <w:rsid w:val="00F11860"/>
    <w:rsid w:val="00F11A81"/>
    <w:rsid w:val="00F15FF5"/>
    <w:rsid w:val="00F16EEF"/>
    <w:rsid w:val="00F21C4E"/>
    <w:rsid w:val="00F23593"/>
    <w:rsid w:val="00F276A2"/>
    <w:rsid w:val="00F27A05"/>
    <w:rsid w:val="00F32997"/>
    <w:rsid w:val="00F33E18"/>
    <w:rsid w:val="00F34C59"/>
    <w:rsid w:val="00F47EE4"/>
    <w:rsid w:val="00F5030B"/>
    <w:rsid w:val="00F52C5F"/>
    <w:rsid w:val="00F563C9"/>
    <w:rsid w:val="00F61A69"/>
    <w:rsid w:val="00F61C0A"/>
    <w:rsid w:val="00F62392"/>
    <w:rsid w:val="00F63432"/>
    <w:rsid w:val="00F64A32"/>
    <w:rsid w:val="00F74622"/>
    <w:rsid w:val="00F76671"/>
    <w:rsid w:val="00F7692E"/>
    <w:rsid w:val="00F83B53"/>
    <w:rsid w:val="00F9569D"/>
    <w:rsid w:val="00F95BCB"/>
    <w:rsid w:val="00FA0151"/>
    <w:rsid w:val="00FA11E2"/>
    <w:rsid w:val="00FA26AF"/>
    <w:rsid w:val="00FA29D7"/>
    <w:rsid w:val="00FA2CC7"/>
    <w:rsid w:val="00FA479F"/>
    <w:rsid w:val="00FA4A59"/>
    <w:rsid w:val="00FA5007"/>
    <w:rsid w:val="00FA7BFF"/>
    <w:rsid w:val="00FC1870"/>
    <w:rsid w:val="00FC1BC3"/>
    <w:rsid w:val="00FC3797"/>
    <w:rsid w:val="00FC5024"/>
    <w:rsid w:val="00FC55DE"/>
    <w:rsid w:val="00FC5D37"/>
    <w:rsid w:val="00FD0860"/>
    <w:rsid w:val="00FD2D4C"/>
    <w:rsid w:val="00FD44D0"/>
    <w:rsid w:val="00FE2A15"/>
    <w:rsid w:val="00FE3238"/>
    <w:rsid w:val="00FF17E5"/>
    <w:rsid w:val="00FF4208"/>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F154A"/>
  <w15:chartTrackingRefBased/>
  <w15:docId w15:val="{29131430-9334-4BE8-91A4-75AB7E47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4E8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B6C43"/>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BB6C43"/>
    <w:pPr>
      <w:keepNext/>
      <w:keepLines/>
      <w:spacing w:before="240" w:after="40"/>
      <w:outlineLvl w:val="3"/>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21F3"/>
    <w:rPr>
      <w:sz w:val="16"/>
      <w:szCs w:val="16"/>
    </w:rPr>
  </w:style>
  <w:style w:type="paragraph" w:styleId="CommentText">
    <w:name w:val="annotation text"/>
    <w:basedOn w:val="Normal"/>
    <w:link w:val="CommentTextChar"/>
    <w:uiPriority w:val="99"/>
    <w:unhideWhenUsed/>
    <w:rsid w:val="003A21F3"/>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A21F3"/>
    <w:rPr>
      <w:rFonts w:ascii="Calibri" w:eastAsia="Calibri" w:hAnsi="Calibri" w:cs="Calibri"/>
      <w:sz w:val="20"/>
      <w:szCs w:val="20"/>
    </w:rPr>
  </w:style>
  <w:style w:type="paragraph" w:styleId="BalloonText">
    <w:name w:val="Balloon Text"/>
    <w:basedOn w:val="Normal"/>
    <w:link w:val="BalloonTextChar"/>
    <w:uiPriority w:val="99"/>
    <w:semiHidden/>
    <w:unhideWhenUsed/>
    <w:rsid w:val="003A21F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A21F3"/>
    <w:rPr>
      <w:rFonts w:ascii="Segoe UI" w:hAnsi="Segoe UI" w:cs="Segoe UI"/>
      <w:sz w:val="18"/>
      <w:szCs w:val="18"/>
    </w:rPr>
  </w:style>
  <w:style w:type="paragraph" w:customStyle="1" w:styleId="Body">
    <w:name w:val="Body"/>
    <w:rsid w:val="00241732"/>
    <w:pPr>
      <w:pBdr>
        <w:top w:val="nil"/>
        <w:left w:val="nil"/>
        <w:bottom w:val="nil"/>
        <w:right w:val="nil"/>
        <w:between w:val="nil"/>
        <w:bar w:val="nil"/>
      </w:pBdr>
      <w:spacing w:after="0" w:line="264" w:lineRule="auto"/>
    </w:pPr>
    <w:rPr>
      <w:rFonts w:ascii="Avenir Next" w:eastAsia="Arial Unicode MS" w:hAnsi="Avenir Next" w:cs="Arial Unicode MS"/>
      <w:color w:val="0B0C33"/>
      <w:sz w:val="26"/>
      <w:szCs w:val="26"/>
      <w:bdr w:val="nil"/>
    </w:rPr>
  </w:style>
  <w:style w:type="paragraph" w:customStyle="1" w:styleId="TableStyle1">
    <w:name w:val="Table Style 1"/>
    <w:rsid w:val="00241732"/>
    <w:pPr>
      <w:pBdr>
        <w:top w:val="nil"/>
        <w:left w:val="nil"/>
        <w:bottom w:val="nil"/>
        <w:right w:val="nil"/>
        <w:between w:val="nil"/>
        <w:bar w:val="nil"/>
      </w:pBdr>
      <w:spacing w:after="0" w:line="240" w:lineRule="auto"/>
    </w:pPr>
    <w:rPr>
      <w:rFonts w:ascii="Avenir Next Demi Bold" w:eastAsia="Avenir Next Demi Bold" w:hAnsi="Avenir Next Demi Bold" w:cs="Avenir Next Demi Bold"/>
      <w:color w:val="FEFEFE"/>
      <w:sz w:val="26"/>
      <w:szCs w:val="26"/>
      <w:bdr w:val="nil"/>
    </w:rPr>
  </w:style>
  <w:style w:type="paragraph" w:customStyle="1" w:styleId="TableStyle2">
    <w:name w:val="Table Style 2"/>
    <w:rsid w:val="00241732"/>
    <w:pPr>
      <w:pBdr>
        <w:top w:val="nil"/>
        <w:left w:val="nil"/>
        <w:bottom w:val="nil"/>
        <w:right w:val="nil"/>
        <w:between w:val="nil"/>
        <w:bar w:val="nil"/>
      </w:pBdr>
      <w:spacing w:after="0" w:line="240" w:lineRule="auto"/>
    </w:pPr>
    <w:rPr>
      <w:rFonts w:ascii="Avenir Next Demi Bold" w:eastAsia="Avenir Next Demi Bold" w:hAnsi="Avenir Next Demi Bold" w:cs="Avenir Next Demi Bold"/>
      <w:color w:val="323232"/>
      <w:sz w:val="26"/>
      <w:szCs w:val="26"/>
      <w:bdr w:val="nil"/>
    </w:rPr>
  </w:style>
  <w:style w:type="paragraph" w:customStyle="1" w:styleId="TableStyle3">
    <w:name w:val="Table Style 3"/>
    <w:rsid w:val="00241732"/>
    <w:pPr>
      <w:pBdr>
        <w:top w:val="nil"/>
        <w:left w:val="nil"/>
        <w:bottom w:val="nil"/>
        <w:right w:val="nil"/>
        <w:between w:val="nil"/>
        <w:bar w:val="nil"/>
      </w:pBdr>
      <w:spacing w:after="0" w:line="240" w:lineRule="auto"/>
    </w:pPr>
    <w:rPr>
      <w:rFonts w:ascii="Avenir Next" w:eastAsia="Avenir Next" w:hAnsi="Avenir Next" w:cs="Avenir Next"/>
      <w:color w:val="000000"/>
      <w:sz w:val="26"/>
      <w:szCs w:val="26"/>
      <w:bdr w:val="nil"/>
    </w:rPr>
  </w:style>
  <w:style w:type="table" w:styleId="TableGrid">
    <w:name w:val="Table Grid"/>
    <w:basedOn w:val="TableNormal"/>
    <w:uiPriority w:val="39"/>
    <w:rsid w:val="0060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0098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0987"/>
    <w:rPr>
      <w:rFonts w:ascii="Calibri" w:eastAsia="Calibri" w:hAnsi="Calibri" w:cs="Calibri"/>
      <w:b/>
      <w:bCs/>
      <w:sz w:val="20"/>
      <w:szCs w:val="20"/>
    </w:rPr>
  </w:style>
  <w:style w:type="character" w:customStyle="1" w:styleId="Heading3Char">
    <w:name w:val="Heading 3 Char"/>
    <w:basedOn w:val="DefaultParagraphFont"/>
    <w:link w:val="Heading3"/>
    <w:uiPriority w:val="9"/>
    <w:rsid w:val="00BB6C43"/>
    <w:rPr>
      <w:rFonts w:ascii="Calibri" w:eastAsia="Calibri" w:hAnsi="Calibri" w:cs="Calibri"/>
      <w:b/>
      <w:sz w:val="28"/>
      <w:szCs w:val="28"/>
    </w:rPr>
  </w:style>
  <w:style w:type="character" w:customStyle="1" w:styleId="Heading4Char">
    <w:name w:val="Heading 4 Char"/>
    <w:basedOn w:val="DefaultParagraphFont"/>
    <w:link w:val="Heading4"/>
    <w:uiPriority w:val="9"/>
    <w:rsid w:val="00BB6C43"/>
    <w:rPr>
      <w:rFonts w:ascii="Calibri" w:eastAsia="Calibri" w:hAnsi="Calibri" w:cs="Calibri"/>
      <w:b/>
      <w:sz w:val="24"/>
      <w:szCs w:val="24"/>
    </w:rPr>
  </w:style>
  <w:style w:type="paragraph" w:styleId="ListParagraph">
    <w:name w:val="List Paragraph"/>
    <w:basedOn w:val="Normal"/>
    <w:uiPriority w:val="34"/>
    <w:qFormat/>
    <w:rsid w:val="00C00729"/>
    <w:pPr>
      <w:ind w:left="720"/>
      <w:contextualSpacing/>
    </w:pPr>
    <w:rPr>
      <w:rFonts w:ascii="Calibri" w:eastAsia="Calibri" w:hAnsi="Calibri" w:cs="Calibri"/>
    </w:rPr>
  </w:style>
  <w:style w:type="paragraph" w:styleId="NormalWeb">
    <w:name w:val="Normal (Web)"/>
    <w:basedOn w:val="Normal"/>
    <w:uiPriority w:val="99"/>
    <w:semiHidden/>
    <w:unhideWhenUsed/>
    <w:rsid w:val="008F7FF9"/>
    <w:pPr>
      <w:spacing w:before="100" w:beforeAutospacing="1" w:after="100" w:afterAutospacing="1"/>
    </w:pPr>
  </w:style>
  <w:style w:type="paragraph" w:styleId="Header">
    <w:name w:val="header"/>
    <w:basedOn w:val="Normal"/>
    <w:link w:val="HeaderChar"/>
    <w:uiPriority w:val="99"/>
    <w:unhideWhenUsed/>
    <w:rsid w:val="004D4D1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4D16"/>
  </w:style>
  <w:style w:type="paragraph" w:styleId="Footer">
    <w:name w:val="footer"/>
    <w:basedOn w:val="Normal"/>
    <w:link w:val="FooterChar"/>
    <w:uiPriority w:val="99"/>
    <w:unhideWhenUsed/>
    <w:rsid w:val="004D4D1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4D16"/>
  </w:style>
  <w:style w:type="character" w:styleId="Emphasis">
    <w:name w:val="Emphasis"/>
    <w:basedOn w:val="DefaultParagraphFont"/>
    <w:uiPriority w:val="20"/>
    <w:qFormat/>
    <w:rsid w:val="00624B50"/>
    <w:rPr>
      <w:i/>
      <w:iCs/>
    </w:rPr>
  </w:style>
  <w:style w:type="character" w:customStyle="1" w:styleId="Heading1Char">
    <w:name w:val="Heading 1 Char"/>
    <w:basedOn w:val="DefaultParagraphFont"/>
    <w:link w:val="Heading1"/>
    <w:uiPriority w:val="9"/>
    <w:rsid w:val="00E94E8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E81"/>
    <w:rPr>
      <w:color w:val="0000FF"/>
      <w:u w:val="single"/>
    </w:rPr>
  </w:style>
  <w:style w:type="character" w:customStyle="1" w:styleId="UnresolvedMention1">
    <w:name w:val="Unresolved Mention1"/>
    <w:basedOn w:val="DefaultParagraphFont"/>
    <w:uiPriority w:val="99"/>
    <w:rsid w:val="00EC2BF2"/>
    <w:rPr>
      <w:color w:val="605E5C"/>
      <w:shd w:val="clear" w:color="auto" w:fill="E1DFDD"/>
    </w:rPr>
  </w:style>
  <w:style w:type="paragraph" w:styleId="Revision">
    <w:name w:val="Revision"/>
    <w:hidden/>
    <w:uiPriority w:val="99"/>
    <w:semiHidden/>
    <w:rsid w:val="007B179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3999"/>
    <w:rPr>
      <w:color w:val="954F72" w:themeColor="followedHyperlink"/>
      <w:u w:val="single"/>
    </w:rPr>
  </w:style>
  <w:style w:type="character" w:customStyle="1" w:styleId="UnresolvedMention2">
    <w:name w:val="Unresolved Mention2"/>
    <w:basedOn w:val="DefaultParagraphFont"/>
    <w:uiPriority w:val="99"/>
    <w:semiHidden/>
    <w:unhideWhenUsed/>
    <w:rsid w:val="00E83999"/>
    <w:rPr>
      <w:color w:val="605E5C"/>
      <w:shd w:val="clear" w:color="auto" w:fill="E1DFDD"/>
    </w:rPr>
  </w:style>
  <w:style w:type="character" w:customStyle="1" w:styleId="UnresolvedMention3">
    <w:name w:val="Unresolved Mention3"/>
    <w:basedOn w:val="DefaultParagraphFont"/>
    <w:uiPriority w:val="99"/>
    <w:semiHidden/>
    <w:unhideWhenUsed/>
    <w:rsid w:val="004B538D"/>
    <w:rPr>
      <w:color w:val="605E5C"/>
      <w:shd w:val="clear" w:color="auto" w:fill="E1DFDD"/>
    </w:rPr>
  </w:style>
  <w:style w:type="character" w:customStyle="1" w:styleId="hilite">
    <w:name w:val="hilite"/>
    <w:basedOn w:val="DefaultParagraphFont"/>
    <w:rsid w:val="007F3B47"/>
  </w:style>
  <w:style w:type="character" w:styleId="Strong">
    <w:name w:val="Strong"/>
    <w:basedOn w:val="DefaultParagraphFont"/>
    <w:uiPriority w:val="22"/>
    <w:qFormat/>
    <w:rsid w:val="007F3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625">
      <w:bodyDiv w:val="1"/>
      <w:marLeft w:val="0"/>
      <w:marRight w:val="0"/>
      <w:marTop w:val="0"/>
      <w:marBottom w:val="0"/>
      <w:divBdr>
        <w:top w:val="none" w:sz="0" w:space="0" w:color="auto"/>
        <w:left w:val="none" w:sz="0" w:space="0" w:color="auto"/>
        <w:bottom w:val="none" w:sz="0" w:space="0" w:color="auto"/>
        <w:right w:val="none" w:sz="0" w:space="0" w:color="auto"/>
      </w:divBdr>
    </w:div>
    <w:div w:id="73625852">
      <w:bodyDiv w:val="1"/>
      <w:marLeft w:val="0"/>
      <w:marRight w:val="0"/>
      <w:marTop w:val="0"/>
      <w:marBottom w:val="0"/>
      <w:divBdr>
        <w:top w:val="none" w:sz="0" w:space="0" w:color="auto"/>
        <w:left w:val="none" w:sz="0" w:space="0" w:color="auto"/>
        <w:bottom w:val="none" w:sz="0" w:space="0" w:color="auto"/>
        <w:right w:val="none" w:sz="0" w:space="0" w:color="auto"/>
      </w:divBdr>
    </w:div>
    <w:div w:id="141703416">
      <w:bodyDiv w:val="1"/>
      <w:marLeft w:val="0"/>
      <w:marRight w:val="0"/>
      <w:marTop w:val="0"/>
      <w:marBottom w:val="0"/>
      <w:divBdr>
        <w:top w:val="none" w:sz="0" w:space="0" w:color="auto"/>
        <w:left w:val="none" w:sz="0" w:space="0" w:color="auto"/>
        <w:bottom w:val="none" w:sz="0" w:space="0" w:color="auto"/>
        <w:right w:val="none" w:sz="0" w:space="0" w:color="auto"/>
      </w:divBdr>
    </w:div>
    <w:div w:id="152724929">
      <w:bodyDiv w:val="1"/>
      <w:marLeft w:val="0"/>
      <w:marRight w:val="0"/>
      <w:marTop w:val="0"/>
      <w:marBottom w:val="0"/>
      <w:divBdr>
        <w:top w:val="none" w:sz="0" w:space="0" w:color="auto"/>
        <w:left w:val="none" w:sz="0" w:space="0" w:color="auto"/>
        <w:bottom w:val="none" w:sz="0" w:space="0" w:color="auto"/>
        <w:right w:val="none" w:sz="0" w:space="0" w:color="auto"/>
      </w:divBdr>
    </w:div>
    <w:div w:id="192307968">
      <w:bodyDiv w:val="1"/>
      <w:marLeft w:val="0"/>
      <w:marRight w:val="0"/>
      <w:marTop w:val="0"/>
      <w:marBottom w:val="0"/>
      <w:divBdr>
        <w:top w:val="none" w:sz="0" w:space="0" w:color="auto"/>
        <w:left w:val="none" w:sz="0" w:space="0" w:color="auto"/>
        <w:bottom w:val="none" w:sz="0" w:space="0" w:color="auto"/>
        <w:right w:val="none" w:sz="0" w:space="0" w:color="auto"/>
      </w:divBdr>
    </w:div>
    <w:div w:id="281771771">
      <w:bodyDiv w:val="1"/>
      <w:marLeft w:val="0"/>
      <w:marRight w:val="0"/>
      <w:marTop w:val="0"/>
      <w:marBottom w:val="0"/>
      <w:divBdr>
        <w:top w:val="none" w:sz="0" w:space="0" w:color="auto"/>
        <w:left w:val="none" w:sz="0" w:space="0" w:color="auto"/>
        <w:bottom w:val="none" w:sz="0" w:space="0" w:color="auto"/>
        <w:right w:val="none" w:sz="0" w:space="0" w:color="auto"/>
      </w:divBdr>
    </w:div>
    <w:div w:id="357317083">
      <w:bodyDiv w:val="1"/>
      <w:marLeft w:val="0"/>
      <w:marRight w:val="0"/>
      <w:marTop w:val="0"/>
      <w:marBottom w:val="0"/>
      <w:divBdr>
        <w:top w:val="none" w:sz="0" w:space="0" w:color="auto"/>
        <w:left w:val="none" w:sz="0" w:space="0" w:color="auto"/>
        <w:bottom w:val="none" w:sz="0" w:space="0" w:color="auto"/>
        <w:right w:val="none" w:sz="0" w:space="0" w:color="auto"/>
      </w:divBdr>
      <w:divsChild>
        <w:div w:id="1833637810">
          <w:marLeft w:val="0"/>
          <w:marRight w:val="0"/>
          <w:marTop w:val="0"/>
          <w:marBottom w:val="0"/>
          <w:divBdr>
            <w:top w:val="none" w:sz="0" w:space="0" w:color="auto"/>
            <w:left w:val="none" w:sz="0" w:space="0" w:color="auto"/>
            <w:bottom w:val="none" w:sz="0" w:space="0" w:color="auto"/>
            <w:right w:val="none" w:sz="0" w:space="0" w:color="auto"/>
          </w:divBdr>
          <w:divsChild>
            <w:div w:id="2059694738">
              <w:marLeft w:val="0"/>
              <w:marRight w:val="0"/>
              <w:marTop w:val="0"/>
              <w:marBottom w:val="0"/>
              <w:divBdr>
                <w:top w:val="none" w:sz="0" w:space="0" w:color="auto"/>
                <w:left w:val="none" w:sz="0" w:space="0" w:color="auto"/>
                <w:bottom w:val="none" w:sz="0" w:space="0" w:color="auto"/>
                <w:right w:val="none" w:sz="0" w:space="0" w:color="auto"/>
              </w:divBdr>
              <w:divsChild>
                <w:div w:id="7603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8859">
      <w:bodyDiv w:val="1"/>
      <w:marLeft w:val="0"/>
      <w:marRight w:val="0"/>
      <w:marTop w:val="0"/>
      <w:marBottom w:val="0"/>
      <w:divBdr>
        <w:top w:val="none" w:sz="0" w:space="0" w:color="auto"/>
        <w:left w:val="none" w:sz="0" w:space="0" w:color="auto"/>
        <w:bottom w:val="none" w:sz="0" w:space="0" w:color="auto"/>
        <w:right w:val="none" w:sz="0" w:space="0" w:color="auto"/>
      </w:divBdr>
    </w:div>
    <w:div w:id="431172261">
      <w:bodyDiv w:val="1"/>
      <w:marLeft w:val="0"/>
      <w:marRight w:val="0"/>
      <w:marTop w:val="0"/>
      <w:marBottom w:val="0"/>
      <w:divBdr>
        <w:top w:val="none" w:sz="0" w:space="0" w:color="auto"/>
        <w:left w:val="none" w:sz="0" w:space="0" w:color="auto"/>
        <w:bottom w:val="none" w:sz="0" w:space="0" w:color="auto"/>
        <w:right w:val="none" w:sz="0" w:space="0" w:color="auto"/>
      </w:divBdr>
      <w:divsChild>
        <w:div w:id="1094745535">
          <w:marLeft w:val="0"/>
          <w:marRight w:val="0"/>
          <w:marTop w:val="0"/>
          <w:marBottom w:val="0"/>
          <w:divBdr>
            <w:top w:val="none" w:sz="0" w:space="0" w:color="auto"/>
            <w:left w:val="none" w:sz="0" w:space="0" w:color="auto"/>
            <w:bottom w:val="none" w:sz="0" w:space="0" w:color="auto"/>
            <w:right w:val="none" w:sz="0" w:space="0" w:color="auto"/>
          </w:divBdr>
          <w:divsChild>
            <w:div w:id="299191636">
              <w:marLeft w:val="0"/>
              <w:marRight w:val="0"/>
              <w:marTop w:val="0"/>
              <w:marBottom w:val="0"/>
              <w:divBdr>
                <w:top w:val="none" w:sz="0" w:space="0" w:color="auto"/>
                <w:left w:val="none" w:sz="0" w:space="0" w:color="auto"/>
                <w:bottom w:val="none" w:sz="0" w:space="0" w:color="auto"/>
                <w:right w:val="none" w:sz="0" w:space="0" w:color="auto"/>
              </w:divBdr>
              <w:divsChild>
                <w:div w:id="22093243">
                  <w:marLeft w:val="0"/>
                  <w:marRight w:val="0"/>
                  <w:marTop w:val="0"/>
                  <w:marBottom w:val="0"/>
                  <w:divBdr>
                    <w:top w:val="none" w:sz="0" w:space="0" w:color="auto"/>
                    <w:left w:val="none" w:sz="0" w:space="0" w:color="auto"/>
                    <w:bottom w:val="none" w:sz="0" w:space="0" w:color="auto"/>
                    <w:right w:val="none" w:sz="0" w:space="0" w:color="auto"/>
                  </w:divBdr>
                </w:div>
              </w:divsChild>
            </w:div>
            <w:div w:id="1049382158">
              <w:marLeft w:val="0"/>
              <w:marRight w:val="0"/>
              <w:marTop w:val="0"/>
              <w:marBottom w:val="0"/>
              <w:divBdr>
                <w:top w:val="none" w:sz="0" w:space="0" w:color="auto"/>
                <w:left w:val="none" w:sz="0" w:space="0" w:color="auto"/>
                <w:bottom w:val="none" w:sz="0" w:space="0" w:color="auto"/>
                <w:right w:val="none" w:sz="0" w:space="0" w:color="auto"/>
              </w:divBdr>
              <w:divsChild>
                <w:div w:id="9211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543">
          <w:marLeft w:val="0"/>
          <w:marRight w:val="0"/>
          <w:marTop w:val="0"/>
          <w:marBottom w:val="0"/>
          <w:divBdr>
            <w:top w:val="none" w:sz="0" w:space="0" w:color="auto"/>
            <w:left w:val="none" w:sz="0" w:space="0" w:color="auto"/>
            <w:bottom w:val="none" w:sz="0" w:space="0" w:color="auto"/>
            <w:right w:val="none" w:sz="0" w:space="0" w:color="auto"/>
          </w:divBdr>
          <w:divsChild>
            <w:div w:id="369569919">
              <w:marLeft w:val="0"/>
              <w:marRight w:val="0"/>
              <w:marTop w:val="0"/>
              <w:marBottom w:val="0"/>
              <w:divBdr>
                <w:top w:val="none" w:sz="0" w:space="0" w:color="auto"/>
                <w:left w:val="none" w:sz="0" w:space="0" w:color="auto"/>
                <w:bottom w:val="none" w:sz="0" w:space="0" w:color="auto"/>
                <w:right w:val="none" w:sz="0" w:space="0" w:color="auto"/>
              </w:divBdr>
              <w:divsChild>
                <w:div w:id="7543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8719">
      <w:bodyDiv w:val="1"/>
      <w:marLeft w:val="0"/>
      <w:marRight w:val="0"/>
      <w:marTop w:val="0"/>
      <w:marBottom w:val="0"/>
      <w:divBdr>
        <w:top w:val="none" w:sz="0" w:space="0" w:color="auto"/>
        <w:left w:val="none" w:sz="0" w:space="0" w:color="auto"/>
        <w:bottom w:val="none" w:sz="0" w:space="0" w:color="auto"/>
        <w:right w:val="none" w:sz="0" w:space="0" w:color="auto"/>
      </w:divBdr>
    </w:div>
    <w:div w:id="477696012">
      <w:bodyDiv w:val="1"/>
      <w:marLeft w:val="0"/>
      <w:marRight w:val="0"/>
      <w:marTop w:val="0"/>
      <w:marBottom w:val="0"/>
      <w:divBdr>
        <w:top w:val="none" w:sz="0" w:space="0" w:color="auto"/>
        <w:left w:val="none" w:sz="0" w:space="0" w:color="auto"/>
        <w:bottom w:val="none" w:sz="0" w:space="0" w:color="auto"/>
        <w:right w:val="none" w:sz="0" w:space="0" w:color="auto"/>
      </w:divBdr>
    </w:div>
    <w:div w:id="509150876">
      <w:bodyDiv w:val="1"/>
      <w:marLeft w:val="0"/>
      <w:marRight w:val="0"/>
      <w:marTop w:val="0"/>
      <w:marBottom w:val="0"/>
      <w:divBdr>
        <w:top w:val="none" w:sz="0" w:space="0" w:color="auto"/>
        <w:left w:val="none" w:sz="0" w:space="0" w:color="auto"/>
        <w:bottom w:val="none" w:sz="0" w:space="0" w:color="auto"/>
        <w:right w:val="none" w:sz="0" w:space="0" w:color="auto"/>
      </w:divBdr>
    </w:div>
    <w:div w:id="518349576">
      <w:bodyDiv w:val="1"/>
      <w:marLeft w:val="0"/>
      <w:marRight w:val="0"/>
      <w:marTop w:val="0"/>
      <w:marBottom w:val="0"/>
      <w:divBdr>
        <w:top w:val="none" w:sz="0" w:space="0" w:color="auto"/>
        <w:left w:val="none" w:sz="0" w:space="0" w:color="auto"/>
        <w:bottom w:val="none" w:sz="0" w:space="0" w:color="auto"/>
        <w:right w:val="none" w:sz="0" w:space="0" w:color="auto"/>
      </w:divBdr>
      <w:divsChild>
        <w:div w:id="1405881546">
          <w:marLeft w:val="0"/>
          <w:marRight w:val="0"/>
          <w:marTop w:val="0"/>
          <w:marBottom w:val="0"/>
          <w:divBdr>
            <w:top w:val="none" w:sz="0" w:space="0" w:color="auto"/>
            <w:left w:val="none" w:sz="0" w:space="0" w:color="auto"/>
            <w:bottom w:val="none" w:sz="0" w:space="0" w:color="auto"/>
            <w:right w:val="none" w:sz="0" w:space="0" w:color="auto"/>
          </w:divBdr>
          <w:divsChild>
            <w:div w:id="17742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732">
      <w:bodyDiv w:val="1"/>
      <w:marLeft w:val="0"/>
      <w:marRight w:val="0"/>
      <w:marTop w:val="0"/>
      <w:marBottom w:val="0"/>
      <w:divBdr>
        <w:top w:val="none" w:sz="0" w:space="0" w:color="auto"/>
        <w:left w:val="none" w:sz="0" w:space="0" w:color="auto"/>
        <w:bottom w:val="none" w:sz="0" w:space="0" w:color="auto"/>
        <w:right w:val="none" w:sz="0" w:space="0" w:color="auto"/>
      </w:divBdr>
      <w:divsChild>
        <w:div w:id="146744643">
          <w:marLeft w:val="0"/>
          <w:marRight w:val="0"/>
          <w:marTop w:val="0"/>
          <w:marBottom w:val="0"/>
          <w:divBdr>
            <w:top w:val="none" w:sz="0" w:space="0" w:color="auto"/>
            <w:left w:val="none" w:sz="0" w:space="0" w:color="auto"/>
            <w:bottom w:val="none" w:sz="0" w:space="0" w:color="auto"/>
            <w:right w:val="none" w:sz="0" w:space="0" w:color="auto"/>
          </w:divBdr>
          <w:divsChild>
            <w:div w:id="1845779976">
              <w:marLeft w:val="0"/>
              <w:marRight w:val="0"/>
              <w:marTop w:val="0"/>
              <w:marBottom w:val="0"/>
              <w:divBdr>
                <w:top w:val="none" w:sz="0" w:space="0" w:color="auto"/>
                <w:left w:val="none" w:sz="0" w:space="0" w:color="auto"/>
                <w:bottom w:val="none" w:sz="0" w:space="0" w:color="auto"/>
                <w:right w:val="none" w:sz="0" w:space="0" w:color="auto"/>
              </w:divBdr>
              <w:divsChild>
                <w:div w:id="12684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6530">
      <w:bodyDiv w:val="1"/>
      <w:marLeft w:val="0"/>
      <w:marRight w:val="0"/>
      <w:marTop w:val="0"/>
      <w:marBottom w:val="0"/>
      <w:divBdr>
        <w:top w:val="none" w:sz="0" w:space="0" w:color="auto"/>
        <w:left w:val="none" w:sz="0" w:space="0" w:color="auto"/>
        <w:bottom w:val="none" w:sz="0" w:space="0" w:color="auto"/>
        <w:right w:val="none" w:sz="0" w:space="0" w:color="auto"/>
      </w:divBdr>
    </w:div>
    <w:div w:id="722681100">
      <w:bodyDiv w:val="1"/>
      <w:marLeft w:val="0"/>
      <w:marRight w:val="0"/>
      <w:marTop w:val="0"/>
      <w:marBottom w:val="0"/>
      <w:divBdr>
        <w:top w:val="none" w:sz="0" w:space="0" w:color="auto"/>
        <w:left w:val="none" w:sz="0" w:space="0" w:color="auto"/>
        <w:bottom w:val="none" w:sz="0" w:space="0" w:color="auto"/>
        <w:right w:val="none" w:sz="0" w:space="0" w:color="auto"/>
      </w:divBdr>
    </w:div>
    <w:div w:id="751052676">
      <w:bodyDiv w:val="1"/>
      <w:marLeft w:val="0"/>
      <w:marRight w:val="0"/>
      <w:marTop w:val="0"/>
      <w:marBottom w:val="0"/>
      <w:divBdr>
        <w:top w:val="none" w:sz="0" w:space="0" w:color="auto"/>
        <w:left w:val="none" w:sz="0" w:space="0" w:color="auto"/>
        <w:bottom w:val="none" w:sz="0" w:space="0" w:color="auto"/>
        <w:right w:val="none" w:sz="0" w:space="0" w:color="auto"/>
      </w:divBdr>
    </w:div>
    <w:div w:id="799692225">
      <w:bodyDiv w:val="1"/>
      <w:marLeft w:val="0"/>
      <w:marRight w:val="0"/>
      <w:marTop w:val="0"/>
      <w:marBottom w:val="0"/>
      <w:divBdr>
        <w:top w:val="none" w:sz="0" w:space="0" w:color="auto"/>
        <w:left w:val="none" w:sz="0" w:space="0" w:color="auto"/>
        <w:bottom w:val="none" w:sz="0" w:space="0" w:color="auto"/>
        <w:right w:val="none" w:sz="0" w:space="0" w:color="auto"/>
      </w:divBdr>
      <w:divsChild>
        <w:div w:id="546574241">
          <w:marLeft w:val="0"/>
          <w:marRight w:val="0"/>
          <w:marTop w:val="0"/>
          <w:marBottom w:val="0"/>
          <w:divBdr>
            <w:top w:val="none" w:sz="0" w:space="0" w:color="auto"/>
            <w:left w:val="none" w:sz="0" w:space="0" w:color="auto"/>
            <w:bottom w:val="none" w:sz="0" w:space="0" w:color="auto"/>
            <w:right w:val="none" w:sz="0" w:space="0" w:color="auto"/>
          </w:divBdr>
          <w:divsChild>
            <w:div w:id="2095277664">
              <w:marLeft w:val="0"/>
              <w:marRight w:val="0"/>
              <w:marTop w:val="0"/>
              <w:marBottom w:val="0"/>
              <w:divBdr>
                <w:top w:val="none" w:sz="0" w:space="0" w:color="auto"/>
                <w:left w:val="none" w:sz="0" w:space="0" w:color="auto"/>
                <w:bottom w:val="none" w:sz="0" w:space="0" w:color="auto"/>
                <w:right w:val="none" w:sz="0" w:space="0" w:color="auto"/>
              </w:divBdr>
              <w:divsChild>
                <w:div w:id="12153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2078">
      <w:bodyDiv w:val="1"/>
      <w:marLeft w:val="0"/>
      <w:marRight w:val="0"/>
      <w:marTop w:val="0"/>
      <w:marBottom w:val="0"/>
      <w:divBdr>
        <w:top w:val="none" w:sz="0" w:space="0" w:color="auto"/>
        <w:left w:val="none" w:sz="0" w:space="0" w:color="auto"/>
        <w:bottom w:val="none" w:sz="0" w:space="0" w:color="auto"/>
        <w:right w:val="none" w:sz="0" w:space="0" w:color="auto"/>
      </w:divBdr>
    </w:div>
    <w:div w:id="915938917">
      <w:bodyDiv w:val="1"/>
      <w:marLeft w:val="0"/>
      <w:marRight w:val="0"/>
      <w:marTop w:val="0"/>
      <w:marBottom w:val="0"/>
      <w:divBdr>
        <w:top w:val="none" w:sz="0" w:space="0" w:color="auto"/>
        <w:left w:val="none" w:sz="0" w:space="0" w:color="auto"/>
        <w:bottom w:val="none" w:sz="0" w:space="0" w:color="auto"/>
        <w:right w:val="none" w:sz="0" w:space="0" w:color="auto"/>
      </w:divBdr>
    </w:div>
    <w:div w:id="1076240752">
      <w:bodyDiv w:val="1"/>
      <w:marLeft w:val="0"/>
      <w:marRight w:val="0"/>
      <w:marTop w:val="0"/>
      <w:marBottom w:val="0"/>
      <w:divBdr>
        <w:top w:val="none" w:sz="0" w:space="0" w:color="auto"/>
        <w:left w:val="none" w:sz="0" w:space="0" w:color="auto"/>
        <w:bottom w:val="none" w:sz="0" w:space="0" w:color="auto"/>
        <w:right w:val="none" w:sz="0" w:space="0" w:color="auto"/>
      </w:divBdr>
    </w:div>
    <w:div w:id="1101141990">
      <w:bodyDiv w:val="1"/>
      <w:marLeft w:val="0"/>
      <w:marRight w:val="0"/>
      <w:marTop w:val="0"/>
      <w:marBottom w:val="0"/>
      <w:divBdr>
        <w:top w:val="none" w:sz="0" w:space="0" w:color="auto"/>
        <w:left w:val="none" w:sz="0" w:space="0" w:color="auto"/>
        <w:bottom w:val="none" w:sz="0" w:space="0" w:color="auto"/>
        <w:right w:val="none" w:sz="0" w:space="0" w:color="auto"/>
      </w:divBdr>
    </w:div>
    <w:div w:id="1140154811">
      <w:bodyDiv w:val="1"/>
      <w:marLeft w:val="0"/>
      <w:marRight w:val="0"/>
      <w:marTop w:val="0"/>
      <w:marBottom w:val="0"/>
      <w:divBdr>
        <w:top w:val="none" w:sz="0" w:space="0" w:color="auto"/>
        <w:left w:val="none" w:sz="0" w:space="0" w:color="auto"/>
        <w:bottom w:val="none" w:sz="0" w:space="0" w:color="auto"/>
        <w:right w:val="none" w:sz="0" w:space="0" w:color="auto"/>
      </w:divBdr>
      <w:divsChild>
        <w:div w:id="1518275873">
          <w:marLeft w:val="0"/>
          <w:marRight w:val="0"/>
          <w:marTop w:val="0"/>
          <w:marBottom w:val="0"/>
          <w:divBdr>
            <w:top w:val="none" w:sz="0" w:space="0" w:color="auto"/>
            <w:left w:val="none" w:sz="0" w:space="0" w:color="auto"/>
            <w:bottom w:val="none" w:sz="0" w:space="0" w:color="auto"/>
            <w:right w:val="none" w:sz="0" w:space="0" w:color="auto"/>
          </w:divBdr>
          <w:divsChild>
            <w:div w:id="1058363284">
              <w:marLeft w:val="0"/>
              <w:marRight w:val="0"/>
              <w:marTop w:val="0"/>
              <w:marBottom w:val="0"/>
              <w:divBdr>
                <w:top w:val="none" w:sz="0" w:space="0" w:color="auto"/>
                <w:left w:val="none" w:sz="0" w:space="0" w:color="auto"/>
                <w:bottom w:val="none" w:sz="0" w:space="0" w:color="auto"/>
                <w:right w:val="none" w:sz="0" w:space="0" w:color="auto"/>
              </w:divBdr>
              <w:divsChild>
                <w:div w:id="13741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4918">
      <w:bodyDiv w:val="1"/>
      <w:marLeft w:val="0"/>
      <w:marRight w:val="0"/>
      <w:marTop w:val="0"/>
      <w:marBottom w:val="0"/>
      <w:divBdr>
        <w:top w:val="none" w:sz="0" w:space="0" w:color="auto"/>
        <w:left w:val="none" w:sz="0" w:space="0" w:color="auto"/>
        <w:bottom w:val="none" w:sz="0" w:space="0" w:color="auto"/>
        <w:right w:val="none" w:sz="0" w:space="0" w:color="auto"/>
      </w:divBdr>
    </w:div>
    <w:div w:id="1205363204">
      <w:bodyDiv w:val="1"/>
      <w:marLeft w:val="0"/>
      <w:marRight w:val="0"/>
      <w:marTop w:val="0"/>
      <w:marBottom w:val="0"/>
      <w:divBdr>
        <w:top w:val="none" w:sz="0" w:space="0" w:color="auto"/>
        <w:left w:val="none" w:sz="0" w:space="0" w:color="auto"/>
        <w:bottom w:val="none" w:sz="0" w:space="0" w:color="auto"/>
        <w:right w:val="none" w:sz="0" w:space="0" w:color="auto"/>
      </w:divBdr>
    </w:div>
    <w:div w:id="1259027624">
      <w:bodyDiv w:val="1"/>
      <w:marLeft w:val="0"/>
      <w:marRight w:val="0"/>
      <w:marTop w:val="0"/>
      <w:marBottom w:val="0"/>
      <w:divBdr>
        <w:top w:val="none" w:sz="0" w:space="0" w:color="auto"/>
        <w:left w:val="none" w:sz="0" w:space="0" w:color="auto"/>
        <w:bottom w:val="none" w:sz="0" w:space="0" w:color="auto"/>
        <w:right w:val="none" w:sz="0" w:space="0" w:color="auto"/>
      </w:divBdr>
    </w:div>
    <w:div w:id="1288391390">
      <w:bodyDiv w:val="1"/>
      <w:marLeft w:val="0"/>
      <w:marRight w:val="0"/>
      <w:marTop w:val="0"/>
      <w:marBottom w:val="0"/>
      <w:divBdr>
        <w:top w:val="none" w:sz="0" w:space="0" w:color="auto"/>
        <w:left w:val="none" w:sz="0" w:space="0" w:color="auto"/>
        <w:bottom w:val="none" w:sz="0" w:space="0" w:color="auto"/>
        <w:right w:val="none" w:sz="0" w:space="0" w:color="auto"/>
      </w:divBdr>
    </w:div>
    <w:div w:id="1328095531">
      <w:bodyDiv w:val="1"/>
      <w:marLeft w:val="0"/>
      <w:marRight w:val="0"/>
      <w:marTop w:val="0"/>
      <w:marBottom w:val="0"/>
      <w:divBdr>
        <w:top w:val="none" w:sz="0" w:space="0" w:color="auto"/>
        <w:left w:val="none" w:sz="0" w:space="0" w:color="auto"/>
        <w:bottom w:val="none" w:sz="0" w:space="0" w:color="auto"/>
        <w:right w:val="none" w:sz="0" w:space="0" w:color="auto"/>
      </w:divBdr>
    </w:div>
    <w:div w:id="1383747214">
      <w:bodyDiv w:val="1"/>
      <w:marLeft w:val="0"/>
      <w:marRight w:val="0"/>
      <w:marTop w:val="0"/>
      <w:marBottom w:val="0"/>
      <w:divBdr>
        <w:top w:val="none" w:sz="0" w:space="0" w:color="auto"/>
        <w:left w:val="none" w:sz="0" w:space="0" w:color="auto"/>
        <w:bottom w:val="none" w:sz="0" w:space="0" w:color="auto"/>
        <w:right w:val="none" w:sz="0" w:space="0" w:color="auto"/>
      </w:divBdr>
    </w:div>
    <w:div w:id="1435400179">
      <w:bodyDiv w:val="1"/>
      <w:marLeft w:val="0"/>
      <w:marRight w:val="0"/>
      <w:marTop w:val="0"/>
      <w:marBottom w:val="0"/>
      <w:divBdr>
        <w:top w:val="none" w:sz="0" w:space="0" w:color="auto"/>
        <w:left w:val="none" w:sz="0" w:space="0" w:color="auto"/>
        <w:bottom w:val="none" w:sz="0" w:space="0" w:color="auto"/>
        <w:right w:val="none" w:sz="0" w:space="0" w:color="auto"/>
      </w:divBdr>
    </w:div>
    <w:div w:id="1579629956">
      <w:bodyDiv w:val="1"/>
      <w:marLeft w:val="0"/>
      <w:marRight w:val="0"/>
      <w:marTop w:val="0"/>
      <w:marBottom w:val="0"/>
      <w:divBdr>
        <w:top w:val="none" w:sz="0" w:space="0" w:color="auto"/>
        <w:left w:val="none" w:sz="0" w:space="0" w:color="auto"/>
        <w:bottom w:val="none" w:sz="0" w:space="0" w:color="auto"/>
        <w:right w:val="none" w:sz="0" w:space="0" w:color="auto"/>
      </w:divBdr>
    </w:div>
    <w:div w:id="1662655324">
      <w:bodyDiv w:val="1"/>
      <w:marLeft w:val="0"/>
      <w:marRight w:val="0"/>
      <w:marTop w:val="0"/>
      <w:marBottom w:val="0"/>
      <w:divBdr>
        <w:top w:val="none" w:sz="0" w:space="0" w:color="auto"/>
        <w:left w:val="none" w:sz="0" w:space="0" w:color="auto"/>
        <w:bottom w:val="none" w:sz="0" w:space="0" w:color="auto"/>
        <w:right w:val="none" w:sz="0" w:space="0" w:color="auto"/>
      </w:divBdr>
    </w:div>
    <w:div w:id="1681546197">
      <w:bodyDiv w:val="1"/>
      <w:marLeft w:val="0"/>
      <w:marRight w:val="0"/>
      <w:marTop w:val="0"/>
      <w:marBottom w:val="0"/>
      <w:divBdr>
        <w:top w:val="none" w:sz="0" w:space="0" w:color="auto"/>
        <w:left w:val="none" w:sz="0" w:space="0" w:color="auto"/>
        <w:bottom w:val="none" w:sz="0" w:space="0" w:color="auto"/>
        <w:right w:val="none" w:sz="0" w:space="0" w:color="auto"/>
      </w:divBdr>
    </w:div>
    <w:div w:id="1851529043">
      <w:bodyDiv w:val="1"/>
      <w:marLeft w:val="0"/>
      <w:marRight w:val="0"/>
      <w:marTop w:val="0"/>
      <w:marBottom w:val="0"/>
      <w:divBdr>
        <w:top w:val="none" w:sz="0" w:space="0" w:color="auto"/>
        <w:left w:val="none" w:sz="0" w:space="0" w:color="auto"/>
        <w:bottom w:val="none" w:sz="0" w:space="0" w:color="auto"/>
        <w:right w:val="none" w:sz="0" w:space="0" w:color="auto"/>
      </w:divBdr>
    </w:div>
    <w:div w:id="1901398642">
      <w:bodyDiv w:val="1"/>
      <w:marLeft w:val="0"/>
      <w:marRight w:val="0"/>
      <w:marTop w:val="0"/>
      <w:marBottom w:val="0"/>
      <w:divBdr>
        <w:top w:val="none" w:sz="0" w:space="0" w:color="auto"/>
        <w:left w:val="none" w:sz="0" w:space="0" w:color="auto"/>
        <w:bottom w:val="none" w:sz="0" w:space="0" w:color="auto"/>
        <w:right w:val="none" w:sz="0" w:space="0" w:color="auto"/>
      </w:divBdr>
    </w:div>
    <w:div w:id="1922521904">
      <w:bodyDiv w:val="1"/>
      <w:marLeft w:val="0"/>
      <w:marRight w:val="0"/>
      <w:marTop w:val="0"/>
      <w:marBottom w:val="0"/>
      <w:divBdr>
        <w:top w:val="none" w:sz="0" w:space="0" w:color="auto"/>
        <w:left w:val="none" w:sz="0" w:space="0" w:color="auto"/>
        <w:bottom w:val="none" w:sz="0" w:space="0" w:color="auto"/>
        <w:right w:val="none" w:sz="0" w:space="0" w:color="auto"/>
      </w:divBdr>
    </w:div>
    <w:div w:id="1996764503">
      <w:bodyDiv w:val="1"/>
      <w:marLeft w:val="0"/>
      <w:marRight w:val="0"/>
      <w:marTop w:val="0"/>
      <w:marBottom w:val="0"/>
      <w:divBdr>
        <w:top w:val="none" w:sz="0" w:space="0" w:color="auto"/>
        <w:left w:val="none" w:sz="0" w:space="0" w:color="auto"/>
        <w:bottom w:val="none" w:sz="0" w:space="0" w:color="auto"/>
        <w:right w:val="none" w:sz="0" w:space="0" w:color="auto"/>
      </w:divBdr>
    </w:div>
    <w:div w:id="2040280736">
      <w:bodyDiv w:val="1"/>
      <w:marLeft w:val="0"/>
      <w:marRight w:val="0"/>
      <w:marTop w:val="0"/>
      <w:marBottom w:val="0"/>
      <w:divBdr>
        <w:top w:val="none" w:sz="0" w:space="0" w:color="auto"/>
        <w:left w:val="none" w:sz="0" w:space="0" w:color="auto"/>
        <w:bottom w:val="none" w:sz="0" w:space="0" w:color="auto"/>
        <w:right w:val="none" w:sz="0" w:space="0" w:color="auto"/>
      </w:divBdr>
    </w:div>
    <w:div w:id="2059280012">
      <w:bodyDiv w:val="1"/>
      <w:marLeft w:val="0"/>
      <w:marRight w:val="0"/>
      <w:marTop w:val="0"/>
      <w:marBottom w:val="0"/>
      <w:divBdr>
        <w:top w:val="none" w:sz="0" w:space="0" w:color="auto"/>
        <w:left w:val="none" w:sz="0" w:space="0" w:color="auto"/>
        <w:bottom w:val="none" w:sz="0" w:space="0" w:color="auto"/>
        <w:right w:val="none" w:sz="0" w:space="0" w:color="auto"/>
      </w:divBdr>
    </w:div>
    <w:div w:id="2115779209">
      <w:bodyDiv w:val="1"/>
      <w:marLeft w:val="0"/>
      <w:marRight w:val="0"/>
      <w:marTop w:val="0"/>
      <w:marBottom w:val="0"/>
      <w:divBdr>
        <w:top w:val="none" w:sz="0" w:space="0" w:color="auto"/>
        <w:left w:val="none" w:sz="0" w:space="0" w:color="auto"/>
        <w:bottom w:val="none" w:sz="0" w:space="0" w:color="auto"/>
        <w:right w:val="none" w:sz="0" w:space="0" w:color="auto"/>
      </w:divBdr>
      <w:divsChild>
        <w:div w:id="1657613166">
          <w:marLeft w:val="0"/>
          <w:marRight w:val="0"/>
          <w:marTop w:val="0"/>
          <w:marBottom w:val="0"/>
          <w:divBdr>
            <w:top w:val="none" w:sz="0" w:space="0" w:color="auto"/>
            <w:left w:val="none" w:sz="0" w:space="0" w:color="auto"/>
            <w:bottom w:val="none" w:sz="0" w:space="0" w:color="auto"/>
            <w:right w:val="none" w:sz="0" w:space="0" w:color="auto"/>
          </w:divBdr>
        </w:div>
        <w:div w:id="874317700">
          <w:marLeft w:val="0"/>
          <w:marRight w:val="0"/>
          <w:marTop w:val="0"/>
          <w:marBottom w:val="0"/>
          <w:divBdr>
            <w:top w:val="none" w:sz="0" w:space="0" w:color="auto"/>
            <w:left w:val="none" w:sz="0" w:space="0" w:color="auto"/>
            <w:bottom w:val="none" w:sz="0" w:space="0" w:color="auto"/>
            <w:right w:val="none" w:sz="0" w:space="0" w:color="auto"/>
          </w:divBdr>
        </w:div>
        <w:div w:id="1549609326">
          <w:marLeft w:val="0"/>
          <w:marRight w:val="0"/>
          <w:marTop w:val="0"/>
          <w:marBottom w:val="0"/>
          <w:divBdr>
            <w:top w:val="none" w:sz="0" w:space="0" w:color="auto"/>
            <w:left w:val="none" w:sz="0" w:space="0" w:color="auto"/>
            <w:bottom w:val="none" w:sz="0" w:space="0" w:color="auto"/>
            <w:right w:val="none" w:sz="0" w:space="0" w:color="auto"/>
          </w:divBdr>
        </w:div>
        <w:div w:id="2036419023">
          <w:marLeft w:val="0"/>
          <w:marRight w:val="0"/>
          <w:marTop w:val="0"/>
          <w:marBottom w:val="0"/>
          <w:divBdr>
            <w:top w:val="none" w:sz="0" w:space="0" w:color="auto"/>
            <w:left w:val="none" w:sz="0" w:space="0" w:color="auto"/>
            <w:bottom w:val="none" w:sz="0" w:space="0" w:color="auto"/>
            <w:right w:val="none" w:sz="0" w:space="0" w:color="auto"/>
          </w:divBdr>
        </w:div>
        <w:div w:id="947195933">
          <w:marLeft w:val="0"/>
          <w:marRight w:val="0"/>
          <w:marTop w:val="0"/>
          <w:marBottom w:val="0"/>
          <w:divBdr>
            <w:top w:val="none" w:sz="0" w:space="0" w:color="auto"/>
            <w:left w:val="none" w:sz="0" w:space="0" w:color="auto"/>
            <w:bottom w:val="none" w:sz="0" w:space="0" w:color="auto"/>
            <w:right w:val="none" w:sz="0" w:space="0" w:color="auto"/>
          </w:divBdr>
        </w:div>
        <w:div w:id="792135797">
          <w:marLeft w:val="0"/>
          <w:marRight w:val="0"/>
          <w:marTop w:val="0"/>
          <w:marBottom w:val="0"/>
          <w:divBdr>
            <w:top w:val="none" w:sz="0" w:space="0" w:color="auto"/>
            <w:left w:val="none" w:sz="0" w:space="0" w:color="auto"/>
            <w:bottom w:val="none" w:sz="0" w:space="0" w:color="auto"/>
            <w:right w:val="none" w:sz="0" w:space="0" w:color="auto"/>
          </w:divBdr>
        </w:div>
      </w:divsChild>
    </w:div>
    <w:div w:id="2118409519">
      <w:bodyDiv w:val="1"/>
      <w:marLeft w:val="0"/>
      <w:marRight w:val="0"/>
      <w:marTop w:val="0"/>
      <w:marBottom w:val="0"/>
      <w:divBdr>
        <w:top w:val="none" w:sz="0" w:space="0" w:color="auto"/>
        <w:left w:val="none" w:sz="0" w:space="0" w:color="auto"/>
        <w:bottom w:val="none" w:sz="0" w:space="0" w:color="auto"/>
        <w:right w:val="none" w:sz="0" w:space="0" w:color="auto"/>
      </w:divBdr>
    </w:div>
    <w:div w:id="2122872831">
      <w:bodyDiv w:val="1"/>
      <w:marLeft w:val="0"/>
      <w:marRight w:val="0"/>
      <w:marTop w:val="0"/>
      <w:marBottom w:val="0"/>
      <w:divBdr>
        <w:top w:val="none" w:sz="0" w:space="0" w:color="auto"/>
        <w:left w:val="none" w:sz="0" w:space="0" w:color="auto"/>
        <w:bottom w:val="none" w:sz="0" w:space="0" w:color="auto"/>
        <w:right w:val="none" w:sz="0" w:space="0" w:color="auto"/>
      </w:divBdr>
    </w:div>
    <w:div w:id="21410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trends.org/wp-content/uploads/2018/05/PreschoolFadeOutFactSheet_ChildTrends_April2018.pdf" TargetMode="External"/><Relationship Id="rId18" Type="http://schemas.openxmlformats.org/officeDocument/2006/relationships/hyperlink" Target="https://public.tableau.com/profile/sarah2036" TargetMode="External"/><Relationship Id="rId26" Type="http://schemas.openxmlformats.org/officeDocument/2006/relationships/hyperlink" Target="https://eclkc.ohs.acf.hhs.gov/sites/default/files/docs/policy-im/acf-im-hs-16-01-r.pdf" TargetMode="External"/><Relationship Id="rId3" Type="http://schemas.openxmlformats.org/officeDocument/2006/relationships/styles" Target="styles.xml"/><Relationship Id="rId21" Type="http://schemas.openxmlformats.org/officeDocument/2006/relationships/hyperlink" Target="https://www.americanprogress.org/issues/earlychildhood/reports/2018/12/06/461643/americas-child-care-deserts-2018" TargetMode="External"/><Relationship Id="rId7" Type="http://schemas.openxmlformats.org/officeDocument/2006/relationships/endnotes" Target="endnotes.xml"/><Relationship Id="rId12" Type="http://schemas.openxmlformats.org/officeDocument/2006/relationships/hyperlink" Target="https://www.congress.gov/113/bills/s1086/BILLS-113s1086enr.pdf" TargetMode="External"/><Relationship Id="rId17" Type="http://schemas.openxmlformats.org/officeDocument/2006/relationships/hyperlink" Target="https://doi.org/10.3102/0013189X09357621" TargetMode="External"/><Relationship Id="rId25" Type="http://schemas.openxmlformats.org/officeDocument/2006/relationships/hyperlink" Target="https://www2.ed.gov/policy/gen/guid/school-discipline/policy-statement-ece-expulsions-suspensions.pdf" TargetMode="External"/><Relationship Id="rId2" Type="http://schemas.openxmlformats.org/officeDocument/2006/relationships/numbering" Target="numbering.xml"/><Relationship Id="rId16" Type="http://schemas.openxmlformats.org/officeDocument/2006/relationships/hyperlink" Target="http://www.state.il.us/agency/icdd/includes/Unmet%20Needs%20Final%20Report.pdf" TargetMode="External"/><Relationship Id="rId20" Type="http://schemas.openxmlformats.org/officeDocument/2006/relationships/hyperlink" Target="https://chicago.suntime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26/science.1204534" TargetMode="External"/><Relationship Id="rId24" Type="http://schemas.openxmlformats.org/officeDocument/2006/relationships/hyperlink" Target="https://doi.org/10.1177/216769681558764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542/peds.2012-3932." TargetMode="External"/><Relationship Id="rId23" Type="http://schemas.openxmlformats.org/officeDocument/2006/relationships/hyperlink" Target="https://www.childhealthdata.org/learn-about-the-nsch/NSCH" TargetMode="External"/><Relationship Id="rId28" Type="http://schemas.openxmlformats.org/officeDocument/2006/relationships/header" Target="header1.xml"/><Relationship Id="rId10" Type="http://schemas.openxmlformats.org/officeDocument/2006/relationships/hyperlink" Target="mailto:kinsser@uic.edu" TargetMode="External"/><Relationship Id="rId19" Type="http://schemas.openxmlformats.org/officeDocument/2006/relationships/hyperlink" Target="https://doi.org/10.1016/j.ecresq.2015.09.0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sycnet.apa.org/doi/10.1037/tps0000279" TargetMode="External"/><Relationship Id="rId14" Type="http://schemas.openxmlformats.org/officeDocument/2006/relationships/hyperlink" Target="https://doi.org/10.1177/1053815118789177." TargetMode="External"/><Relationship Id="rId22" Type="http://schemas.openxmlformats.org/officeDocument/2006/relationships/hyperlink" Target="https://childandfamilysuccess.asu.edu/cep/start-with-equity" TargetMode="External"/><Relationship Id="rId27" Type="http://schemas.openxmlformats.org/officeDocument/2006/relationships/hyperlink" Target="https://doi.org/10.1016/j.appdev.2017.11.006" TargetMode="External"/><Relationship Id="rId30" Type="http://schemas.openxmlformats.org/officeDocument/2006/relationships/footer" Target="footer1.xml"/><Relationship Id="rId35" Type="http://schemas.microsoft.com/office/2018/08/relationships/commentsExtensible" Target="commentsExtensible.xml"/><Relationship Id="rId8" Type="http://schemas.openxmlformats.org/officeDocument/2006/relationships/hyperlink" Target="https://psycnet.apa.org/doi/10.1037/tps0000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8859-743D-426F-91BD-D3DC26D4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8574</Words>
  <Characters>48878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Callie</dc:creator>
  <cp:keywords/>
  <dc:description/>
  <cp:lastModifiedBy>Zinsser, Kate</cp:lastModifiedBy>
  <cp:revision>5</cp:revision>
  <cp:lastPrinted>2020-02-24T15:29:00Z</cp:lastPrinted>
  <dcterms:created xsi:type="dcterms:W3CDTF">2020-10-28T19:59:00Z</dcterms:created>
  <dcterms:modified xsi:type="dcterms:W3CDTF">2021-01-14T19:26:00Z</dcterms:modified>
</cp:coreProperties>
</file>